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C32FBF" w:rsidP="005B7347">
            <w:pPr>
              <w:suppressAutoHyphens w:val="0"/>
              <w:spacing w:after="20"/>
              <w:jc w:val="right"/>
            </w:pPr>
            <w:r w:rsidRPr="00C32FBF">
              <w:rPr>
                <w:sz w:val="40"/>
              </w:rPr>
              <w:t>ECE</w:t>
            </w:r>
            <w:r>
              <w:t>/TRANS/WP.15/AC.2/201</w:t>
            </w:r>
            <w:r w:rsidR="00C125CF">
              <w:t>7</w:t>
            </w:r>
            <w:r>
              <w:t>/</w:t>
            </w:r>
            <w:r w:rsidR="005B7347">
              <w:t>9</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C32FBF" w:rsidP="00C32FBF">
            <w:pPr>
              <w:suppressAutoHyphens w:val="0"/>
              <w:spacing w:before="240" w:line="240" w:lineRule="exact"/>
            </w:pPr>
            <w:r>
              <w:t>Distr.: General</w:t>
            </w:r>
          </w:p>
          <w:p w:rsidR="00C32FBF" w:rsidRDefault="005B7347" w:rsidP="00C32FBF">
            <w:pPr>
              <w:suppressAutoHyphens w:val="0"/>
            </w:pPr>
            <w:r>
              <w:t>11</w:t>
            </w:r>
            <w:r w:rsidR="00C32FBF">
              <w:t xml:space="preserve"> </w:t>
            </w:r>
            <w:r w:rsidR="008E5B74">
              <w:t>November</w:t>
            </w:r>
            <w:r w:rsidR="00C32FBF">
              <w:t xml:space="preserve"> 2016</w:t>
            </w:r>
          </w:p>
          <w:p w:rsidR="00C32FBF" w:rsidRDefault="00C32FBF" w:rsidP="00C32FBF">
            <w:pPr>
              <w:suppressAutoHyphens w:val="0"/>
            </w:pPr>
          </w:p>
          <w:p w:rsidR="00C32FBF" w:rsidRDefault="00C32FBF" w:rsidP="00C32FBF">
            <w:pPr>
              <w:suppressAutoHyphens w:val="0"/>
            </w:pPr>
            <w:r>
              <w:t xml:space="preserve">Original: </w:t>
            </w:r>
            <w:r w:rsidR="00C125CF" w:rsidRPr="00C125CF">
              <w:t xml:space="preserve"> English</w:t>
            </w:r>
          </w:p>
        </w:tc>
      </w:tr>
    </w:tbl>
    <w:p w:rsidR="00C32FBF" w:rsidRDefault="00C32FBF">
      <w:pPr>
        <w:spacing w:before="120"/>
        <w:rPr>
          <w:b/>
          <w:sz w:val="28"/>
          <w:szCs w:val="28"/>
        </w:rPr>
      </w:pPr>
      <w:r>
        <w:rPr>
          <w:b/>
          <w:sz w:val="28"/>
          <w:szCs w:val="28"/>
        </w:rPr>
        <w:t>Economic Commission for Europe</w:t>
      </w:r>
    </w:p>
    <w:p w:rsidR="00C32FBF" w:rsidRDefault="00C32FBF">
      <w:pPr>
        <w:spacing w:before="120"/>
        <w:rPr>
          <w:sz w:val="28"/>
          <w:szCs w:val="28"/>
        </w:rPr>
      </w:pPr>
      <w:r>
        <w:rPr>
          <w:sz w:val="28"/>
          <w:szCs w:val="28"/>
        </w:rPr>
        <w:t>Inland Transport Committee</w:t>
      </w:r>
    </w:p>
    <w:p w:rsidR="00C32FBF" w:rsidRDefault="00C32FBF" w:rsidP="00C32FBF">
      <w:pPr>
        <w:spacing w:before="120"/>
        <w:rPr>
          <w:b/>
          <w:sz w:val="24"/>
          <w:szCs w:val="24"/>
        </w:rPr>
      </w:pPr>
      <w:r>
        <w:rPr>
          <w:b/>
          <w:sz w:val="24"/>
          <w:szCs w:val="24"/>
        </w:rPr>
        <w:t>Working Party on the Transport of Dangerous Goods</w:t>
      </w:r>
    </w:p>
    <w:p w:rsidR="00C32FBF" w:rsidRDefault="00C32FBF" w:rsidP="00C32FBF">
      <w:pPr>
        <w:spacing w:before="120"/>
        <w:rPr>
          <w:b/>
        </w:rPr>
      </w:pPr>
      <w:r>
        <w:rPr>
          <w:b/>
        </w:rPr>
        <w:t>Joint Meeting of Experts on the Regulations annexed to the</w:t>
      </w:r>
    </w:p>
    <w:p w:rsidR="00C32FBF" w:rsidRDefault="00C32FBF" w:rsidP="00C32FBF">
      <w:pPr>
        <w:rPr>
          <w:b/>
        </w:rPr>
      </w:pPr>
      <w:r>
        <w:rPr>
          <w:b/>
        </w:rPr>
        <w:t xml:space="preserve">European Agreement concerning the International Carriage </w:t>
      </w:r>
    </w:p>
    <w:p w:rsidR="00C32FBF" w:rsidRDefault="00C32FBF" w:rsidP="00C32FBF">
      <w:pPr>
        <w:rPr>
          <w:b/>
        </w:rPr>
      </w:pPr>
      <w:r>
        <w:rPr>
          <w:b/>
        </w:rPr>
        <w:t>of Dangerous Goods by Inland Waterways (ADN)</w:t>
      </w:r>
    </w:p>
    <w:p w:rsidR="00C32FBF" w:rsidRPr="00C32FBF" w:rsidRDefault="00AC1C8A" w:rsidP="00C32FBF">
      <w:pPr>
        <w:spacing w:after="120"/>
        <w:rPr>
          <w:b/>
        </w:rPr>
      </w:pPr>
      <w:r>
        <w:rPr>
          <w:b/>
        </w:rPr>
        <w:t>(ADN</w:t>
      </w:r>
      <w:r w:rsidR="00C32FBF">
        <w:rPr>
          <w:b/>
        </w:rPr>
        <w:t xml:space="preserve"> Safety Committee</w:t>
      </w:r>
      <w:r>
        <w:rPr>
          <w:b/>
        </w:rPr>
        <w:t>)</w:t>
      </w:r>
    </w:p>
    <w:p w:rsidR="007268F9" w:rsidRDefault="00C125CF" w:rsidP="00FB1744">
      <w:pPr>
        <w:rPr>
          <w:b/>
          <w:bCs/>
        </w:rPr>
      </w:pPr>
      <w:r>
        <w:rPr>
          <w:b/>
          <w:bCs/>
        </w:rPr>
        <w:t>Thirtieth</w:t>
      </w:r>
      <w:r w:rsidR="00C32FBF">
        <w:rPr>
          <w:b/>
          <w:bCs/>
        </w:rPr>
        <w:t xml:space="preserve"> session</w:t>
      </w:r>
    </w:p>
    <w:p w:rsidR="00C32FBF" w:rsidRDefault="00C32FBF" w:rsidP="00FB1744">
      <w:r>
        <w:t>Geneva, 2</w:t>
      </w:r>
      <w:r w:rsidR="00C125CF">
        <w:t>3</w:t>
      </w:r>
      <w:r>
        <w:t>-2</w:t>
      </w:r>
      <w:r w:rsidR="00C125CF">
        <w:t>7</w:t>
      </w:r>
      <w:r>
        <w:t xml:space="preserve"> </w:t>
      </w:r>
      <w:r w:rsidR="00C125CF">
        <w:t>January</w:t>
      </w:r>
      <w:r>
        <w:t xml:space="preserve"> 201</w:t>
      </w:r>
      <w:r w:rsidR="00C125CF">
        <w:t>7</w:t>
      </w:r>
    </w:p>
    <w:p w:rsidR="005F4DAD" w:rsidRPr="005F4DAD" w:rsidRDefault="005F4DAD" w:rsidP="005F4DAD">
      <w:r w:rsidRPr="005F4DAD">
        <w:t xml:space="preserve">Item </w:t>
      </w:r>
      <w:r w:rsidR="004671C1">
        <w:t>5</w:t>
      </w:r>
      <w:r w:rsidR="00C72375">
        <w:t xml:space="preserve"> (</w:t>
      </w:r>
      <w:r w:rsidR="004671C1">
        <w:t>a</w:t>
      </w:r>
      <w:r w:rsidR="00C72375">
        <w:t>)</w:t>
      </w:r>
      <w:r w:rsidRPr="005F4DAD">
        <w:t xml:space="preserve"> of the provisional agenda</w:t>
      </w:r>
    </w:p>
    <w:p w:rsidR="00C72375" w:rsidRPr="004671C1" w:rsidRDefault="004671C1" w:rsidP="00C72375">
      <w:pPr>
        <w:rPr>
          <w:b/>
        </w:rPr>
      </w:pPr>
      <w:r w:rsidRPr="004671C1">
        <w:rPr>
          <w:b/>
        </w:rPr>
        <w:t>Proposals for amendments to the Regulations annexed to ADN</w:t>
      </w:r>
      <w:r w:rsidR="00C72375" w:rsidRPr="004671C1">
        <w:rPr>
          <w:b/>
        </w:rPr>
        <w:t>:</w:t>
      </w:r>
    </w:p>
    <w:p w:rsidR="00C32FBF" w:rsidRPr="004671C1" w:rsidRDefault="004671C1" w:rsidP="00C72375">
      <w:pPr>
        <w:rPr>
          <w:b/>
          <w:bCs/>
        </w:rPr>
      </w:pPr>
      <w:r>
        <w:rPr>
          <w:b/>
        </w:rPr>
        <w:t>w</w:t>
      </w:r>
      <w:r w:rsidRPr="004671C1">
        <w:rPr>
          <w:b/>
        </w:rPr>
        <w:t>ork o</w:t>
      </w:r>
      <w:r w:rsidR="00AC1C8A">
        <w:rPr>
          <w:b/>
        </w:rPr>
        <w:t>f the RID/ADR/ADN Joint Meeting</w:t>
      </w:r>
    </w:p>
    <w:p w:rsidR="00D2078A" w:rsidRPr="00D2078A" w:rsidRDefault="00D2078A" w:rsidP="00D2078A">
      <w:pPr>
        <w:pStyle w:val="HChG"/>
      </w:pPr>
      <w:r w:rsidRPr="00D2078A">
        <w:tab/>
      </w:r>
      <w:r w:rsidRPr="00D2078A">
        <w:tab/>
      </w:r>
      <w:r w:rsidR="004671C1">
        <w:t>Special provision 665</w:t>
      </w:r>
      <w:r w:rsidR="00082096">
        <w:t xml:space="preserve"> – </w:t>
      </w:r>
      <w:r w:rsidR="00AC1C8A">
        <w:t>C</w:t>
      </w:r>
      <w:r w:rsidR="00082096">
        <w:t>arriage of coal</w:t>
      </w:r>
    </w:p>
    <w:p w:rsidR="00D2078A" w:rsidRPr="00D2078A" w:rsidRDefault="00D2078A" w:rsidP="00D2078A">
      <w:pPr>
        <w:pStyle w:val="H1G"/>
      </w:pPr>
      <w:r w:rsidRPr="00D2078A">
        <w:tab/>
      </w:r>
      <w:r w:rsidRPr="00D2078A">
        <w:tab/>
      </w:r>
      <w:r w:rsidR="00082096">
        <w:t>Note</w:t>
      </w:r>
      <w:r w:rsidRPr="00D2078A">
        <w:t xml:space="preserve"> by the </w:t>
      </w:r>
      <w:r w:rsidR="00AC1C8A">
        <w:t>S</w:t>
      </w:r>
      <w:r w:rsidR="004671C1">
        <w:t>ecretariat</w:t>
      </w:r>
      <w:r w:rsidR="000B4F2F" w:rsidRPr="008E5B74">
        <w:rPr>
          <w:rStyle w:val="FootnoteReference"/>
          <w:sz w:val="24"/>
          <w:szCs w:val="24"/>
        </w:rPr>
        <w:footnoteReference w:customMarkFollows="1" w:id="1"/>
        <w:t>*</w:t>
      </w:r>
      <w:r w:rsidR="000B4F2F" w:rsidRPr="008E5B74">
        <w:rPr>
          <w:szCs w:val="24"/>
          <w:vertAlign w:val="superscript"/>
        </w:rPr>
        <w:t>,</w:t>
      </w:r>
      <w:r w:rsidR="00550DEF">
        <w:rPr>
          <w:szCs w:val="24"/>
          <w:vertAlign w:val="superscript"/>
        </w:rPr>
        <w:t xml:space="preserve"> </w:t>
      </w:r>
      <w:r w:rsidR="000B4F2F" w:rsidRPr="008E5B74">
        <w:rPr>
          <w:rStyle w:val="FootnoteReference"/>
          <w:sz w:val="24"/>
          <w:szCs w:val="24"/>
        </w:rPr>
        <w:footnoteReference w:customMarkFollows="1" w:id="2"/>
        <w:t>**</w:t>
      </w:r>
    </w:p>
    <w:p w:rsidR="001425AE" w:rsidRDefault="00C72375" w:rsidP="00082096">
      <w:pPr>
        <w:pStyle w:val="SingleTxtG"/>
      </w:pPr>
      <w:r>
        <w:t>1.</w:t>
      </w:r>
      <w:r>
        <w:tab/>
      </w:r>
      <w:r w:rsidR="00082096">
        <w:t>In ADN 2015, special provision 803 applies to the carriage of UN No. 1361, CARBON, animal or vegetal origin, and reads as follows:</w:t>
      </w:r>
    </w:p>
    <w:p w:rsidR="00AC1C8A" w:rsidRPr="00AC1C8A" w:rsidRDefault="00AC1C8A" w:rsidP="00FB065E">
      <w:pPr>
        <w:tabs>
          <w:tab w:val="left" w:pos="-22"/>
          <w:tab w:val="left" w:pos="1418"/>
          <w:tab w:val="left" w:pos="2552"/>
        </w:tabs>
        <w:suppressAutoHyphens w:val="0"/>
        <w:spacing w:after="240" w:line="240" w:lineRule="auto"/>
        <w:ind w:left="1985" w:right="1134" w:hanging="567"/>
        <w:jc w:val="both"/>
      </w:pPr>
      <w:r>
        <w:t>"</w:t>
      </w:r>
      <w:r w:rsidRPr="00AC1C8A">
        <w:t>803</w:t>
      </w:r>
      <w:r w:rsidRPr="00AC1C8A">
        <w:tab/>
        <w:t>Hard coal, coke and anthracite, when carried in bulk, are not subject to the provisions of ADN if:</w:t>
      </w:r>
    </w:p>
    <w:p w:rsidR="00AC1C8A" w:rsidRPr="00AC1C8A" w:rsidRDefault="00AC1C8A" w:rsidP="00FB065E">
      <w:pPr>
        <w:tabs>
          <w:tab w:val="left" w:pos="1418"/>
          <w:tab w:val="left" w:pos="2552"/>
        </w:tabs>
        <w:suppressAutoHyphens w:val="0"/>
        <w:spacing w:after="240" w:line="240" w:lineRule="auto"/>
        <w:ind w:left="2552" w:right="1134" w:hanging="567"/>
        <w:jc w:val="both"/>
      </w:pPr>
      <w:r w:rsidRPr="00AC1C8A">
        <w:t>(a)</w:t>
      </w:r>
      <w:r w:rsidRPr="00AC1C8A">
        <w:tab/>
        <w:t>The temperature of the cargo has been determined using an appropriate procedure and is not higher than 60°C before, during or immediately after loading of the hold;</w:t>
      </w:r>
    </w:p>
    <w:p w:rsidR="00AC1C8A" w:rsidRPr="00AC1C8A" w:rsidRDefault="00AC1C8A" w:rsidP="00FB065E">
      <w:pPr>
        <w:tabs>
          <w:tab w:val="left" w:pos="1418"/>
          <w:tab w:val="left" w:pos="2552"/>
        </w:tabs>
        <w:suppressAutoHyphens w:val="0"/>
        <w:spacing w:after="240" w:line="240" w:lineRule="auto"/>
        <w:ind w:left="2552" w:right="1134" w:hanging="567"/>
        <w:jc w:val="both"/>
      </w:pPr>
      <w:r w:rsidRPr="00AC1C8A">
        <w:t>(b)</w:t>
      </w:r>
      <w:r w:rsidRPr="00AC1C8A">
        <w:tab/>
        <w:t>Depending on the temperature of the cargo before, during and immediately after loading of the hold, the expected duration of carriage without temperature monitoring does not exceed the maximum number of days shown in the table below:</w:t>
      </w:r>
    </w:p>
    <w:tbl>
      <w:tblPr>
        <w:tblW w:w="6377" w:type="dxa"/>
        <w:tblInd w:w="2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60"/>
        <w:gridCol w:w="3117"/>
      </w:tblGrid>
      <w:tr w:rsidR="00AC1C8A" w:rsidRPr="00AC1C8A" w:rsidTr="00AC1C8A">
        <w:trPr>
          <w:cantSplit/>
          <w:tblHeader/>
        </w:trPr>
        <w:tc>
          <w:tcPr>
            <w:tcW w:w="3260" w:type="dxa"/>
            <w:shd w:val="clear" w:color="auto" w:fill="auto"/>
            <w:vAlign w:val="bottom"/>
          </w:tcPr>
          <w:p w:rsidR="00AC1C8A" w:rsidRPr="00AC1C8A" w:rsidRDefault="00AC1C8A" w:rsidP="00CB01FA">
            <w:pPr>
              <w:keepNext/>
              <w:keepLines/>
              <w:suppressAutoHyphens w:val="0"/>
              <w:spacing w:after="80" w:line="200" w:lineRule="exact"/>
              <w:ind w:right="113"/>
              <w:jc w:val="center"/>
              <w:rPr>
                <w:i/>
              </w:rPr>
            </w:pPr>
            <w:r w:rsidRPr="00AC1C8A">
              <w:rPr>
                <w:i/>
              </w:rPr>
              <w:lastRenderedPageBreak/>
              <w:t>Maximum temperature on loading (°C)</w:t>
            </w:r>
          </w:p>
        </w:tc>
        <w:tc>
          <w:tcPr>
            <w:tcW w:w="3117" w:type="dxa"/>
            <w:shd w:val="clear" w:color="auto" w:fill="auto"/>
            <w:vAlign w:val="bottom"/>
          </w:tcPr>
          <w:p w:rsidR="00AC1C8A" w:rsidRPr="00AC1C8A" w:rsidRDefault="00AC1C8A" w:rsidP="00CB01FA">
            <w:pPr>
              <w:keepNext/>
              <w:keepLines/>
              <w:suppressAutoHyphens w:val="0"/>
              <w:spacing w:after="80" w:line="200" w:lineRule="exact"/>
              <w:ind w:right="113"/>
              <w:jc w:val="center"/>
              <w:rPr>
                <w:i/>
              </w:rPr>
            </w:pPr>
            <w:r w:rsidRPr="00AC1C8A">
              <w:rPr>
                <w:i/>
              </w:rPr>
              <w:t>Maximum duration of journey (days)</w:t>
            </w:r>
          </w:p>
        </w:tc>
      </w:tr>
      <w:tr w:rsidR="00AC1C8A" w:rsidRPr="00AC1C8A" w:rsidTr="00AC1C8A">
        <w:trPr>
          <w:cantSplit/>
        </w:trPr>
        <w:tc>
          <w:tcPr>
            <w:tcW w:w="3260" w:type="dxa"/>
            <w:shd w:val="clear" w:color="auto" w:fill="auto"/>
          </w:tcPr>
          <w:p w:rsidR="00AC1C8A" w:rsidRPr="00AC1C8A" w:rsidRDefault="00AC1C8A" w:rsidP="00CB01FA">
            <w:pPr>
              <w:keepNext/>
              <w:keepLines/>
              <w:suppressAutoHyphens w:val="0"/>
              <w:spacing w:after="120" w:line="220" w:lineRule="exact"/>
              <w:ind w:right="113"/>
              <w:jc w:val="center"/>
            </w:pPr>
            <w:r w:rsidRPr="00AC1C8A">
              <w:t>60</w:t>
            </w:r>
          </w:p>
        </w:tc>
        <w:tc>
          <w:tcPr>
            <w:tcW w:w="3117" w:type="dxa"/>
            <w:shd w:val="clear" w:color="auto" w:fill="auto"/>
            <w:vAlign w:val="bottom"/>
          </w:tcPr>
          <w:p w:rsidR="00AC1C8A" w:rsidRPr="00AC1C8A" w:rsidRDefault="00AC1C8A" w:rsidP="00CB01FA">
            <w:pPr>
              <w:keepNext/>
              <w:keepLines/>
              <w:suppressAutoHyphens w:val="0"/>
              <w:spacing w:after="120" w:line="220" w:lineRule="exact"/>
              <w:ind w:right="113"/>
              <w:jc w:val="center"/>
            </w:pPr>
            <w:r w:rsidRPr="00AC1C8A">
              <w:t>10</w:t>
            </w:r>
          </w:p>
        </w:tc>
      </w:tr>
      <w:tr w:rsidR="00AC1C8A" w:rsidRPr="00AC1C8A" w:rsidTr="00AC1C8A">
        <w:trPr>
          <w:cantSplit/>
        </w:trPr>
        <w:tc>
          <w:tcPr>
            <w:tcW w:w="3260" w:type="dxa"/>
            <w:shd w:val="clear" w:color="auto" w:fill="auto"/>
          </w:tcPr>
          <w:p w:rsidR="00AC1C8A" w:rsidRPr="00AC1C8A" w:rsidRDefault="00AC1C8A" w:rsidP="00FB065E">
            <w:pPr>
              <w:suppressAutoHyphens w:val="0"/>
              <w:spacing w:after="120" w:line="220" w:lineRule="exact"/>
              <w:ind w:right="113"/>
              <w:jc w:val="center"/>
            </w:pPr>
            <w:r w:rsidRPr="00AC1C8A">
              <w:t>50</w:t>
            </w:r>
          </w:p>
        </w:tc>
        <w:tc>
          <w:tcPr>
            <w:tcW w:w="3117" w:type="dxa"/>
            <w:shd w:val="clear" w:color="auto" w:fill="auto"/>
            <w:vAlign w:val="bottom"/>
          </w:tcPr>
          <w:p w:rsidR="00AC1C8A" w:rsidRPr="00AC1C8A" w:rsidRDefault="00AC1C8A" w:rsidP="00FB065E">
            <w:pPr>
              <w:suppressAutoHyphens w:val="0"/>
              <w:spacing w:after="120" w:line="220" w:lineRule="exact"/>
              <w:ind w:right="113"/>
              <w:jc w:val="center"/>
            </w:pPr>
            <w:r w:rsidRPr="00AC1C8A">
              <w:rPr>
                <w:lang w:val="fr-FR"/>
              </w:rPr>
              <w:t>18</w:t>
            </w:r>
          </w:p>
        </w:tc>
      </w:tr>
      <w:tr w:rsidR="00AC1C8A" w:rsidRPr="00AC1C8A" w:rsidTr="00AC1C8A">
        <w:trPr>
          <w:cantSplit/>
        </w:trPr>
        <w:tc>
          <w:tcPr>
            <w:tcW w:w="3260" w:type="dxa"/>
            <w:shd w:val="clear" w:color="auto" w:fill="auto"/>
          </w:tcPr>
          <w:p w:rsidR="00AC1C8A" w:rsidRPr="00AC1C8A" w:rsidRDefault="00AC1C8A" w:rsidP="00FB065E">
            <w:pPr>
              <w:suppressAutoHyphens w:val="0"/>
              <w:spacing w:after="120" w:line="220" w:lineRule="exact"/>
              <w:ind w:right="113"/>
              <w:jc w:val="center"/>
            </w:pPr>
            <w:r w:rsidRPr="00AC1C8A">
              <w:t>40</w:t>
            </w:r>
          </w:p>
        </w:tc>
        <w:tc>
          <w:tcPr>
            <w:tcW w:w="3117" w:type="dxa"/>
            <w:shd w:val="clear" w:color="auto" w:fill="auto"/>
            <w:vAlign w:val="bottom"/>
          </w:tcPr>
          <w:p w:rsidR="00AC1C8A" w:rsidRPr="00AC1C8A" w:rsidRDefault="00AC1C8A" w:rsidP="00FB065E">
            <w:pPr>
              <w:suppressAutoHyphens w:val="0"/>
              <w:spacing w:after="120" w:line="220" w:lineRule="exact"/>
              <w:ind w:right="113"/>
              <w:jc w:val="center"/>
            </w:pPr>
            <w:r w:rsidRPr="00AC1C8A">
              <w:rPr>
                <w:lang w:val="fr-FR"/>
              </w:rPr>
              <w:t>32</w:t>
            </w:r>
          </w:p>
        </w:tc>
      </w:tr>
      <w:tr w:rsidR="00AC1C8A" w:rsidRPr="00AC1C8A" w:rsidTr="00AC1C8A">
        <w:trPr>
          <w:cantSplit/>
        </w:trPr>
        <w:tc>
          <w:tcPr>
            <w:tcW w:w="3260" w:type="dxa"/>
            <w:shd w:val="clear" w:color="auto" w:fill="auto"/>
          </w:tcPr>
          <w:p w:rsidR="00AC1C8A" w:rsidRPr="00AC1C8A" w:rsidRDefault="00AC1C8A" w:rsidP="00FB065E">
            <w:pPr>
              <w:suppressAutoHyphens w:val="0"/>
              <w:spacing w:after="120" w:line="220" w:lineRule="exact"/>
              <w:ind w:right="113"/>
              <w:jc w:val="center"/>
            </w:pPr>
            <w:r w:rsidRPr="00AC1C8A">
              <w:t>30</w:t>
            </w:r>
          </w:p>
        </w:tc>
        <w:tc>
          <w:tcPr>
            <w:tcW w:w="3117" w:type="dxa"/>
            <w:shd w:val="clear" w:color="auto" w:fill="auto"/>
            <w:vAlign w:val="bottom"/>
          </w:tcPr>
          <w:p w:rsidR="00AC1C8A" w:rsidRPr="00AC1C8A" w:rsidRDefault="00AC1C8A" w:rsidP="00FB065E">
            <w:pPr>
              <w:suppressAutoHyphens w:val="0"/>
              <w:spacing w:after="120" w:line="220" w:lineRule="exact"/>
              <w:ind w:right="113"/>
              <w:jc w:val="center"/>
            </w:pPr>
            <w:r w:rsidRPr="00AC1C8A">
              <w:rPr>
                <w:lang w:val="fr-FR"/>
              </w:rPr>
              <w:t>57</w:t>
            </w:r>
          </w:p>
        </w:tc>
      </w:tr>
    </w:tbl>
    <w:p w:rsidR="00AC1C8A" w:rsidRPr="00AC1C8A" w:rsidRDefault="00AC1C8A" w:rsidP="00FB065E">
      <w:pPr>
        <w:tabs>
          <w:tab w:val="left" w:pos="1418"/>
          <w:tab w:val="left" w:pos="2552"/>
        </w:tabs>
        <w:suppressAutoHyphens w:val="0"/>
        <w:spacing w:before="240" w:after="240" w:line="240" w:lineRule="auto"/>
        <w:ind w:left="2552" w:right="1134" w:hanging="567"/>
        <w:jc w:val="both"/>
      </w:pPr>
      <w:r w:rsidRPr="00AC1C8A">
        <w:t>(c)</w:t>
      </w:r>
      <w:r w:rsidRPr="00AC1C8A">
        <w:tab/>
        <w:t>Where the effective duration of carriage exceeds the maximum duration shown in sub-paragraph (b), temperature monitoring is carried out from the first day over the maximum duration. The necessary monitoring apparatus shall be on board as from the first day of the carriage following the maximum duration of the journey;</w:t>
      </w:r>
    </w:p>
    <w:p w:rsidR="00082096" w:rsidRPr="00AC1C8A" w:rsidRDefault="00AC1C8A" w:rsidP="00FB065E">
      <w:pPr>
        <w:tabs>
          <w:tab w:val="left" w:pos="1418"/>
          <w:tab w:val="left" w:pos="2552"/>
        </w:tabs>
        <w:suppressAutoHyphens w:val="0"/>
        <w:spacing w:before="240" w:after="240" w:line="240" w:lineRule="auto"/>
        <w:ind w:left="2552" w:right="1134" w:hanging="567"/>
        <w:jc w:val="both"/>
      </w:pPr>
      <w:r w:rsidRPr="00AC1C8A">
        <w:t>(d)</w:t>
      </w:r>
      <w:r w:rsidRPr="00AC1C8A">
        <w:tab/>
        <w:t>The master is given, at the time of loading and in a traceable form, instructions on how to proceed if there is a significant heating of the cargo.</w:t>
      </w:r>
      <w:r>
        <w:t>"</w:t>
      </w:r>
      <w:r w:rsidR="00CB01FA">
        <w:t>.</w:t>
      </w:r>
    </w:p>
    <w:p w:rsidR="00082096" w:rsidRDefault="00082096" w:rsidP="00FB065E">
      <w:pPr>
        <w:pStyle w:val="SingleTxtG"/>
      </w:pPr>
      <w:r>
        <w:t>2.</w:t>
      </w:r>
      <w:r>
        <w:tab/>
        <w:t xml:space="preserve">The question of carriage of coal in bulk in rail wagons </w:t>
      </w:r>
      <w:r w:rsidR="00FB065E">
        <w:t>and</w:t>
      </w:r>
      <w:r>
        <w:t xml:space="preserve"> in road vehicles has also been discussed by the RID/ADR/ADN Joint Meeting, by the Working Party on the Transport of Dangerous Goods and by the RID Committee of Experts and this led to the inclusion of a special provision 665 in RID 2015 and a similar provision in ADR which will enter into force on 1 January 2017. For ADR, the special provision reads as follows: </w:t>
      </w:r>
    </w:p>
    <w:p w:rsidR="00082096" w:rsidRDefault="00FB065E" w:rsidP="00FB065E">
      <w:pPr>
        <w:tabs>
          <w:tab w:val="left" w:pos="-22"/>
          <w:tab w:val="left" w:pos="1418"/>
          <w:tab w:val="left" w:pos="2552"/>
        </w:tabs>
        <w:suppressAutoHyphens w:val="0"/>
        <w:spacing w:after="240" w:line="240" w:lineRule="auto"/>
        <w:ind w:left="1985" w:right="1134" w:hanging="567"/>
        <w:jc w:val="both"/>
      </w:pPr>
      <w:r>
        <w:t>"</w:t>
      </w:r>
      <w:r w:rsidRPr="00FB065E">
        <w:t>665</w:t>
      </w:r>
      <w:r w:rsidRPr="00FB065E">
        <w:tab/>
        <w:t>Unground hard coal, coke and anthracite, meeting the classification criteria of Class 4.2, packing group III, are not subject to the requirements of ADN.</w:t>
      </w:r>
      <w:r>
        <w:t>"</w:t>
      </w:r>
      <w:r w:rsidR="00CB01FA">
        <w:t>.</w:t>
      </w:r>
    </w:p>
    <w:p w:rsidR="00082096" w:rsidRDefault="00082096" w:rsidP="00082096">
      <w:pPr>
        <w:pStyle w:val="SingleTxtG"/>
      </w:pPr>
      <w:r>
        <w:t xml:space="preserve">For RID, the special provision reads as follows: </w:t>
      </w:r>
    </w:p>
    <w:p w:rsidR="00082096" w:rsidRDefault="00AC4D01" w:rsidP="001156AA">
      <w:pPr>
        <w:tabs>
          <w:tab w:val="left" w:pos="-22"/>
          <w:tab w:val="left" w:pos="1418"/>
          <w:tab w:val="left" w:pos="2552"/>
        </w:tabs>
        <w:suppressAutoHyphens w:val="0"/>
        <w:spacing w:after="240" w:line="240" w:lineRule="auto"/>
        <w:ind w:left="1985" w:right="1134" w:hanging="567"/>
        <w:jc w:val="both"/>
      </w:pPr>
      <w:r>
        <w:t>"</w:t>
      </w:r>
      <w:r w:rsidR="001156AA">
        <w:t>665</w:t>
      </w:r>
      <w:r w:rsidR="001156AA">
        <w:tab/>
        <w:t>When carried in bulk, hard coal, coke and anthracite, meeting the classification criteria</w:t>
      </w:r>
      <w:r w:rsidR="0093265D">
        <w:t xml:space="preserve"> of Class 4.2, packing group III</w:t>
      </w:r>
      <w:r w:rsidR="00CB01FA">
        <w:t>,</w:t>
      </w:r>
      <w:r w:rsidR="0093265D">
        <w:t xml:space="preserve"> may also be carried in open wagons or containers, provided that</w:t>
      </w:r>
      <w:r w:rsidR="00CB01FA">
        <w:t>:</w:t>
      </w:r>
    </w:p>
    <w:p w:rsidR="0093265D" w:rsidRDefault="0093265D" w:rsidP="0093265D">
      <w:pPr>
        <w:tabs>
          <w:tab w:val="left" w:pos="1418"/>
          <w:tab w:val="left" w:pos="2552"/>
        </w:tabs>
        <w:suppressAutoHyphens w:val="0"/>
        <w:spacing w:after="240" w:line="240" w:lineRule="auto"/>
        <w:ind w:left="2552" w:right="1134" w:hanging="567"/>
        <w:jc w:val="both"/>
      </w:pPr>
      <w:r>
        <w:t>(a)</w:t>
      </w:r>
      <w:r>
        <w:tab/>
        <w:t>The coal is conveyed from fresh extraction directly into the wagon or container (without measuring the temperature)</w:t>
      </w:r>
      <w:r w:rsidR="00CB01FA">
        <w:t>;</w:t>
      </w:r>
      <w:r>
        <w:t xml:space="preserve"> or</w:t>
      </w:r>
    </w:p>
    <w:p w:rsidR="0093265D" w:rsidRDefault="0093265D" w:rsidP="0093265D">
      <w:pPr>
        <w:tabs>
          <w:tab w:val="left" w:pos="1418"/>
          <w:tab w:val="left" w:pos="2552"/>
        </w:tabs>
        <w:suppressAutoHyphens w:val="0"/>
        <w:spacing w:after="240" w:line="240" w:lineRule="auto"/>
        <w:ind w:left="2552" w:right="1134" w:hanging="567"/>
        <w:jc w:val="both"/>
      </w:pPr>
      <w:r>
        <w:t>(b)</w:t>
      </w:r>
      <w:r>
        <w:tab/>
        <w:t>The temperature of the cargo is not higher than 60 °C during or immediately after loading into the wagon or container. Using suitable measuring methods, the filler shall ensure and document that the maximum permissible temperature of the car</w:t>
      </w:r>
      <w:r w:rsidR="00C22B4C">
        <w:t>g</w:t>
      </w:r>
      <w:r>
        <w:t>o is not exceeded during or immediately after loading the wagons or containers.</w:t>
      </w:r>
    </w:p>
    <w:p w:rsidR="0093265D" w:rsidRDefault="00AC4D01" w:rsidP="00AC4D01">
      <w:pPr>
        <w:tabs>
          <w:tab w:val="left" w:pos="1418"/>
        </w:tabs>
        <w:suppressAutoHyphens w:val="0"/>
        <w:spacing w:after="240" w:line="240" w:lineRule="auto"/>
        <w:ind w:left="1985" w:right="1134"/>
        <w:jc w:val="both"/>
      </w:pPr>
      <w:r>
        <w:t>The consignor shall ensure that the following statement is included in the document accompanying the consignment (such as a bill of lading, cargo manifest or CMR/CIM consignment note):</w:t>
      </w:r>
    </w:p>
    <w:p w:rsidR="00AC4D01" w:rsidRDefault="00AC4D01" w:rsidP="00AC4D01">
      <w:pPr>
        <w:tabs>
          <w:tab w:val="left" w:pos="1418"/>
        </w:tabs>
        <w:suppressAutoHyphens w:val="0"/>
        <w:spacing w:after="240" w:line="240" w:lineRule="auto"/>
        <w:ind w:left="1985" w:right="1134"/>
        <w:jc w:val="both"/>
      </w:pPr>
      <w:r>
        <w:t>"CARRIAGE IN ACCORDANCE WITH SPECIAL PROVISION 665 OF RID".</w:t>
      </w:r>
    </w:p>
    <w:p w:rsidR="00AC4D01" w:rsidRDefault="00AC4D01" w:rsidP="00AC4D01">
      <w:pPr>
        <w:tabs>
          <w:tab w:val="left" w:pos="1418"/>
        </w:tabs>
        <w:suppressAutoHyphens w:val="0"/>
        <w:spacing w:after="240" w:line="240" w:lineRule="auto"/>
        <w:ind w:left="1985" w:right="1134"/>
        <w:jc w:val="both"/>
      </w:pPr>
      <w:r>
        <w:t>The other provisions of RID do not apply."</w:t>
      </w:r>
      <w:r w:rsidR="00CB01FA">
        <w:t>.</w:t>
      </w:r>
    </w:p>
    <w:p w:rsidR="00082096" w:rsidRDefault="00082096" w:rsidP="00082096">
      <w:pPr>
        <w:pStyle w:val="SingleTxtG"/>
      </w:pPr>
      <w:r>
        <w:t>3.</w:t>
      </w:r>
      <w:r>
        <w:tab/>
        <w:t xml:space="preserve">The Safety Committee </w:t>
      </w:r>
      <w:r w:rsidR="00FB065E">
        <w:t>m</w:t>
      </w:r>
      <w:r>
        <w:t xml:space="preserve">ay wish to note </w:t>
      </w:r>
      <w:r w:rsidR="00FB065E">
        <w:t xml:space="preserve">from the above </w:t>
      </w:r>
      <w:r>
        <w:t xml:space="preserve">that the approach for </w:t>
      </w:r>
      <w:r w:rsidR="00FB065E">
        <w:t>regulating</w:t>
      </w:r>
      <w:r>
        <w:t xml:space="preserve"> carriage of coal by road is different from that for regulating carriage of coal by rail. For road, the carriage of coal meetin</w:t>
      </w:r>
      <w:bookmarkStart w:id="0" w:name="_GoBack"/>
      <w:bookmarkEnd w:id="0"/>
      <w:r>
        <w:t xml:space="preserve">g the criteria of </w:t>
      </w:r>
      <w:r w:rsidR="00FB065E">
        <w:t>C</w:t>
      </w:r>
      <w:r>
        <w:t xml:space="preserve">lass 4.2, packing group III, is </w:t>
      </w:r>
      <w:r>
        <w:lastRenderedPageBreak/>
        <w:t>fully exempted, in whatever type of containment (package, bulk in containers, bulk in vehicles).</w:t>
      </w:r>
    </w:p>
    <w:p w:rsidR="00082096" w:rsidRDefault="00082096" w:rsidP="00082096">
      <w:pPr>
        <w:pStyle w:val="SingleTxtG"/>
      </w:pPr>
      <w:r>
        <w:t xml:space="preserve">For rail, the carriage of coal meeting the criteria for </w:t>
      </w:r>
      <w:r w:rsidR="00FB065E">
        <w:t>C</w:t>
      </w:r>
      <w:r>
        <w:t xml:space="preserve">lass 4.2, packing group III, is partially exempted, and only when in bulk in wagons </w:t>
      </w:r>
      <w:r w:rsidR="00982267">
        <w:t>or containers.</w:t>
      </w:r>
    </w:p>
    <w:p w:rsidR="00982267" w:rsidRDefault="00982267" w:rsidP="00082096">
      <w:pPr>
        <w:pStyle w:val="SingleTxtG"/>
      </w:pPr>
      <w:r>
        <w:t>4.</w:t>
      </w:r>
      <w:r>
        <w:tab/>
        <w:t xml:space="preserve">For ADN, the decision of the Working Party on the Transport of Dangerous Goods (WP.15) was brought to the attention of the Safety Committee by the </w:t>
      </w:r>
      <w:r w:rsidR="00FB065E">
        <w:t>S</w:t>
      </w:r>
      <w:r>
        <w:t xml:space="preserve">ecretariat in a document generally intended for harmonization (ECE/TRANS/WP.15/AC.2/2016/28). </w:t>
      </w:r>
    </w:p>
    <w:p w:rsidR="00982267" w:rsidRDefault="00982267" w:rsidP="00082096">
      <w:pPr>
        <w:pStyle w:val="SingleTxtG"/>
      </w:pPr>
      <w:r>
        <w:t xml:space="preserve">The Safety Committee adopted the same special provision for ADN, but the </w:t>
      </w:r>
      <w:r w:rsidR="00FB065E">
        <w:t>S</w:t>
      </w:r>
      <w:r>
        <w:t>ecretariat had overlooked the fact that there was already a special provision 803</w:t>
      </w:r>
      <w:r w:rsidR="00FB065E">
        <w:t>. A</w:t>
      </w:r>
      <w:r>
        <w:t xml:space="preserve">s </w:t>
      </w:r>
      <w:r w:rsidR="00FB065E">
        <w:t xml:space="preserve">a </w:t>
      </w:r>
      <w:r>
        <w:t xml:space="preserve">result, there is now a contradiction between special provision 665, which exempts totally the carriage of coal meeting the criteria for </w:t>
      </w:r>
      <w:r w:rsidR="00FB065E">
        <w:t>C</w:t>
      </w:r>
      <w:r>
        <w:t xml:space="preserve">lass 4.2, packing group </w:t>
      </w:r>
      <w:r w:rsidR="00FB065E">
        <w:t>I</w:t>
      </w:r>
      <w:r>
        <w:t>II</w:t>
      </w:r>
      <w:r w:rsidR="000E1312">
        <w:t xml:space="preserve">, and special provision 803 which provides for conditions for the carriage of coal meeting the criteria for </w:t>
      </w:r>
      <w:r w:rsidR="00FB065E">
        <w:t>C</w:t>
      </w:r>
      <w:r w:rsidR="000E1312">
        <w:t xml:space="preserve">lass 4.2, packing group III, in bulk. </w:t>
      </w:r>
    </w:p>
    <w:p w:rsidR="000E1312" w:rsidRDefault="000E1312" w:rsidP="00082096">
      <w:pPr>
        <w:pStyle w:val="SingleTxtG"/>
      </w:pPr>
      <w:r>
        <w:t>Furthermore, the fact th</w:t>
      </w:r>
      <w:r w:rsidR="009C7480">
        <w:t>at</w:t>
      </w:r>
      <w:r>
        <w:t xml:space="preserve"> spec</w:t>
      </w:r>
      <w:r w:rsidR="00FB065E">
        <w:t>ial provision 665 of RID differs</w:t>
      </w:r>
      <w:r>
        <w:t xml:space="preserve"> from special provision 665 of ADR was also overlooked</w:t>
      </w:r>
      <w:r w:rsidR="00FB065E">
        <w:t>.</w:t>
      </w:r>
    </w:p>
    <w:p w:rsidR="000E1312" w:rsidRDefault="000E1312" w:rsidP="00082096">
      <w:pPr>
        <w:pStyle w:val="SingleTxtG"/>
      </w:pPr>
      <w:r>
        <w:t>5.</w:t>
      </w:r>
      <w:r>
        <w:tab/>
        <w:t xml:space="preserve">At this stage, the </w:t>
      </w:r>
      <w:r w:rsidR="00FB065E">
        <w:t>S</w:t>
      </w:r>
      <w:r>
        <w:t xml:space="preserve">ecretariat thinks that it is necessary to correct the text of special provision 665 </w:t>
      </w:r>
      <w:r w:rsidR="00FB065E">
        <w:t xml:space="preserve">of ADN </w:t>
      </w:r>
      <w:r>
        <w:t>in order to avoid the discrepancy with special provision 803, e.g. by inserting at the beginning:</w:t>
      </w:r>
    </w:p>
    <w:p w:rsidR="000E1312" w:rsidRDefault="000E1312" w:rsidP="00082096">
      <w:pPr>
        <w:pStyle w:val="SingleTxtG"/>
      </w:pPr>
      <w:r>
        <w:t>"Except in the case of carriage in bulk,…"</w:t>
      </w:r>
    </w:p>
    <w:p w:rsidR="00550DEF" w:rsidRPr="00550DEF" w:rsidRDefault="000E1312" w:rsidP="00847ADF">
      <w:pPr>
        <w:pStyle w:val="SingleTxtG"/>
      </w:pPr>
      <w:r>
        <w:t>6.</w:t>
      </w:r>
      <w:r>
        <w:tab/>
        <w:t>For the longer term (2019 amendments)</w:t>
      </w:r>
      <w:r w:rsidR="00FB065E">
        <w:t>,</w:t>
      </w:r>
      <w:r>
        <w:t xml:space="preserve"> the Safety Committee may wish to consider how to deal with coal meeting the criteria for </w:t>
      </w:r>
      <w:r w:rsidR="00FB065E">
        <w:t>C</w:t>
      </w:r>
      <w:r>
        <w:t>lass 4.2, packing group III, when lo</w:t>
      </w:r>
      <w:r w:rsidR="00AF27E3">
        <w:t xml:space="preserve">aded in packages in vehicles, wagons or containers </w:t>
      </w:r>
      <w:r w:rsidR="00FB065E">
        <w:t>and</w:t>
      </w:r>
      <w:r w:rsidR="00AF27E3">
        <w:t xml:space="preserve"> when loaded in bulk in vehicles, wagons or containers. </w:t>
      </w:r>
    </w:p>
    <w:p w:rsidR="00A81985" w:rsidRPr="00106A43" w:rsidRDefault="00D2078A" w:rsidP="00D2078A">
      <w:pPr>
        <w:spacing w:before="120"/>
        <w:jc w:val="center"/>
        <w:rPr>
          <w:u w:val="single"/>
        </w:rPr>
      </w:pPr>
      <w:r w:rsidRPr="00D2078A">
        <w:rPr>
          <w:u w:val="single"/>
        </w:rPr>
        <w:tab/>
      </w:r>
      <w:r w:rsidRPr="00D2078A">
        <w:rPr>
          <w:u w:val="single"/>
        </w:rPr>
        <w:tab/>
      </w:r>
      <w:r w:rsidRPr="00D2078A">
        <w:rPr>
          <w:u w:val="single"/>
        </w:rPr>
        <w:tab/>
      </w:r>
    </w:p>
    <w:sectPr w:rsidR="00A81985" w:rsidRPr="00106A43" w:rsidSect="00FB065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710" w:rsidRPr="00FB1744" w:rsidRDefault="00D04710" w:rsidP="00FB1744">
      <w:pPr>
        <w:pStyle w:val="Footer"/>
      </w:pPr>
    </w:p>
  </w:endnote>
  <w:endnote w:type="continuationSeparator" w:id="0">
    <w:p w:rsidR="00D04710" w:rsidRPr="00FB1744" w:rsidRDefault="00D0471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C32FBF" w:rsidP="00C32FBF">
    <w:pPr>
      <w:pStyle w:val="Footer"/>
      <w:tabs>
        <w:tab w:val="right" w:pos="9598"/>
      </w:tabs>
    </w:pPr>
    <w:r w:rsidRPr="00C32FBF">
      <w:rPr>
        <w:b/>
        <w:sz w:val="18"/>
      </w:rPr>
      <w:fldChar w:fldCharType="begin"/>
    </w:r>
    <w:r w:rsidRPr="00C32FBF">
      <w:rPr>
        <w:b/>
        <w:sz w:val="18"/>
      </w:rPr>
      <w:instrText xml:space="preserve"> PAGE  \* MERGEFORMAT </w:instrText>
    </w:r>
    <w:r w:rsidRPr="00C32FBF">
      <w:rPr>
        <w:b/>
        <w:sz w:val="18"/>
      </w:rPr>
      <w:fldChar w:fldCharType="separate"/>
    </w:r>
    <w:r w:rsidR="00CB01FA">
      <w:rPr>
        <w:b/>
        <w:noProof/>
        <w:sz w:val="18"/>
      </w:rPr>
      <w:t>2</w:t>
    </w:r>
    <w:r w:rsidRPr="00C32FB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C32FBF" w:rsidP="00C32FBF">
    <w:pPr>
      <w:pStyle w:val="Footer"/>
      <w:tabs>
        <w:tab w:val="right" w:pos="9598"/>
      </w:tabs>
      <w:rPr>
        <w:b/>
        <w:sz w:val="18"/>
      </w:rPr>
    </w:pPr>
    <w:r>
      <w:tab/>
    </w:r>
    <w:r w:rsidRPr="00C32FBF">
      <w:rPr>
        <w:b/>
        <w:sz w:val="18"/>
      </w:rPr>
      <w:fldChar w:fldCharType="begin"/>
    </w:r>
    <w:r w:rsidRPr="00C32FBF">
      <w:rPr>
        <w:b/>
        <w:sz w:val="18"/>
      </w:rPr>
      <w:instrText xml:space="preserve"> PAGE  \* MERGEFORMAT </w:instrText>
    </w:r>
    <w:r w:rsidRPr="00C32FBF">
      <w:rPr>
        <w:b/>
        <w:sz w:val="18"/>
      </w:rPr>
      <w:fldChar w:fldCharType="separate"/>
    </w:r>
    <w:r w:rsidR="00CB01FA">
      <w:rPr>
        <w:b/>
        <w:noProof/>
        <w:sz w:val="18"/>
      </w:rPr>
      <w:t>3</w:t>
    </w:r>
    <w:r w:rsidRPr="00C32F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D2078A" w:rsidRDefault="00C32FBF" w:rsidP="00C32FBF">
    <w:pPr>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710" w:rsidRPr="00FB1744" w:rsidRDefault="00D04710" w:rsidP="00FB1744">
      <w:pPr>
        <w:tabs>
          <w:tab w:val="right" w:pos="2155"/>
        </w:tabs>
        <w:spacing w:after="80" w:line="240" w:lineRule="auto"/>
        <w:ind w:left="680"/>
      </w:pPr>
      <w:r>
        <w:rPr>
          <w:u w:val="single"/>
        </w:rPr>
        <w:tab/>
      </w:r>
    </w:p>
  </w:footnote>
  <w:footnote w:type="continuationSeparator" w:id="0">
    <w:p w:rsidR="00D04710" w:rsidRPr="00FB1744" w:rsidRDefault="00D04710" w:rsidP="00FB1744">
      <w:pPr>
        <w:tabs>
          <w:tab w:val="right" w:pos="2155"/>
        </w:tabs>
        <w:spacing w:after="80" w:line="240" w:lineRule="auto"/>
        <w:ind w:left="680"/>
      </w:pPr>
      <w:r>
        <w:rPr>
          <w:u w:val="single"/>
        </w:rPr>
        <w:tab/>
      </w:r>
    </w:p>
  </w:footnote>
  <w:footnote w:id="1">
    <w:p w:rsidR="000B4F2F" w:rsidRPr="008E5B74" w:rsidRDefault="000B4F2F">
      <w:pPr>
        <w:pStyle w:val="FootnoteText"/>
      </w:pPr>
      <w:r>
        <w:tab/>
      </w:r>
      <w:r w:rsidRPr="008E5B74">
        <w:rPr>
          <w:rStyle w:val="FootnoteReference"/>
        </w:rPr>
        <w:t>*</w:t>
      </w:r>
      <w:r w:rsidRPr="008E5B74">
        <w:t xml:space="preserve"> </w:t>
      </w:r>
      <w:r>
        <w:tab/>
      </w:r>
      <w:r w:rsidRPr="00853410">
        <w:rPr>
          <w:lang w:val="en-US"/>
        </w:rPr>
        <w:t>Distributed in German by the Central Commission for the Navigation of the Rhine under the symbol CCNR-ZKR/ADN/WP.15/AC.2/201</w:t>
      </w:r>
      <w:r>
        <w:rPr>
          <w:lang w:val="en-US"/>
        </w:rPr>
        <w:t>7</w:t>
      </w:r>
      <w:r w:rsidRPr="00853410">
        <w:rPr>
          <w:lang w:val="en-US"/>
        </w:rPr>
        <w:t>/</w:t>
      </w:r>
      <w:r w:rsidR="00306DC0">
        <w:rPr>
          <w:lang w:val="en-US"/>
        </w:rPr>
        <w:t>9</w:t>
      </w:r>
      <w:r w:rsidRPr="00853410">
        <w:rPr>
          <w:lang w:val="en-US"/>
        </w:rPr>
        <w:t>.</w:t>
      </w:r>
    </w:p>
  </w:footnote>
  <w:footnote w:id="2">
    <w:p w:rsidR="000B4F2F" w:rsidRPr="008E5B74" w:rsidRDefault="000B4F2F">
      <w:pPr>
        <w:pStyle w:val="FootnoteText"/>
      </w:pPr>
      <w:r>
        <w:tab/>
      </w:r>
      <w:r w:rsidRPr="008E5B74">
        <w:rPr>
          <w:rStyle w:val="FootnoteReference"/>
        </w:rPr>
        <w:t>**</w:t>
      </w:r>
      <w:r w:rsidRPr="008E5B74">
        <w:t xml:space="preserve"> </w:t>
      </w:r>
      <w:r>
        <w:tab/>
      </w:r>
      <w:r w:rsidRPr="00941650">
        <w:rPr>
          <w:lang w:val="en-US"/>
        </w:rPr>
        <w:t xml:space="preserve">In accordance with the programme of work of the Inland Transport Committee for 2016–2017 </w:t>
      </w:r>
      <w:r w:rsidRPr="00941650">
        <w:t>(ECE/TRANS/2016/28/Add.1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D2078A" w:rsidP="00C32FBF">
    <w:pPr>
      <w:pStyle w:val="Header"/>
    </w:pPr>
    <w:r>
      <w:t>ECE/TRANS/WP.15/AC.2/2017/</w:t>
    </w:r>
    <w:r w:rsidR="005B7347">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C32FBF" w:rsidP="00C32FBF">
    <w:pPr>
      <w:pStyle w:val="Header"/>
      <w:jc w:val="right"/>
    </w:pPr>
    <w:r w:rsidRPr="00C32FBF">
      <w:t>ECE/TRA</w:t>
    </w:r>
    <w:r w:rsidR="00CB01FA">
      <w:t>NS/WP.15/AC.2/2017/9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1215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485FDB"/>
    <w:multiLevelType w:val="hybridMultilevel"/>
    <w:tmpl w:val="6B761194"/>
    <w:lvl w:ilvl="0" w:tplc="C982076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6" w15:restartNumberingAfterBreak="0">
    <w:nsid w:val="573A08DC"/>
    <w:multiLevelType w:val="hybridMultilevel"/>
    <w:tmpl w:val="29D4FA64"/>
    <w:lvl w:ilvl="0" w:tplc="96B4F106">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E5160BA"/>
    <w:multiLevelType w:val="hybridMultilevel"/>
    <w:tmpl w:val="1CA400E8"/>
    <w:lvl w:ilvl="0" w:tplc="853CD8F0">
      <w:start w:val="1"/>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10" w15:restartNumberingAfterBreak="0">
    <w:nsid w:val="72B60F3E"/>
    <w:multiLevelType w:val="hybridMultilevel"/>
    <w:tmpl w:val="F6E2DB76"/>
    <w:lvl w:ilvl="0" w:tplc="2BFA8378">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1" w15:restartNumberingAfterBreak="0">
    <w:nsid w:val="775726C8"/>
    <w:multiLevelType w:val="hybridMultilevel"/>
    <w:tmpl w:val="44829922"/>
    <w:lvl w:ilvl="0" w:tplc="30626D46">
      <w:start w:val="1"/>
      <w:numFmt w:val="decimal"/>
      <w:lvlText w:val="%1."/>
      <w:lvlJc w:val="left"/>
      <w:pPr>
        <w:ind w:left="1500" w:hanging="360"/>
      </w:pPr>
      <w:rPr>
        <w:rFonts w:ascii="Times New Roman" w:hAnsi="Times New Roman" w:cs="Times New Roman" w:hint="default"/>
        <w:sz w:val="20"/>
        <w:szCs w:val="20"/>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D7F386E"/>
    <w:multiLevelType w:val="hybridMultilevel"/>
    <w:tmpl w:val="6D0CF72A"/>
    <w:lvl w:ilvl="0" w:tplc="5D260B50">
      <w:start w:val="1"/>
      <w:numFmt w:val="upperRoman"/>
      <w:lvlText w:val="%1."/>
      <w:lvlJc w:val="left"/>
      <w:pPr>
        <w:ind w:left="1140" w:hanging="72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num w:numId="1">
    <w:abstractNumId w:val="4"/>
  </w:num>
  <w:num w:numId="2">
    <w:abstractNumId w:val="3"/>
  </w:num>
  <w:num w:numId="3">
    <w:abstractNumId w:val="1"/>
  </w:num>
  <w:num w:numId="4">
    <w:abstractNumId w:val="7"/>
  </w:num>
  <w:num w:numId="5">
    <w:abstractNumId w:val="8"/>
  </w:num>
  <w:num w:numId="6">
    <w:abstractNumId w:val="12"/>
  </w:num>
  <w:num w:numId="7">
    <w:abstractNumId w:val="2"/>
  </w:num>
  <w:num w:numId="8">
    <w:abstractNumId w:val="4"/>
  </w:num>
  <w:num w:numId="9">
    <w:abstractNumId w:val="5"/>
  </w:num>
  <w:num w:numId="10">
    <w:abstractNumId w:val="6"/>
  </w:num>
  <w:num w:numId="11">
    <w:abstractNumId w:val="10"/>
  </w:num>
  <w:num w:numId="12">
    <w:abstractNumId w:val="13"/>
  </w:num>
  <w:num w:numId="13">
    <w:abstractNumId w:val="11"/>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567"/>
  <w:evenAndOddHeaders/>
  <w:characterSpacingControl w:val="doNotCompress"/>
  <w:hdrShapeDefaults>
    <o:shapedefaults v:ext="edit" spidmax="2457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10"/>
    <w:rsid w:val="00046E92"/>
    <w:rsid w:val="000677CA"/>
    <w:rsid w:val="00082096"/>
    <w:rsid w:val="000B27CC"/>
    <w:rsid w:val="000B4F2F"/>
    <w:rsid w:val="000B615C"/>
    <w:rsid w:val="000E1312"/>
    <w:rsid w:val="001156AA"/>
    <w:rsid w:val="001170DC"/>
    <w:rsid w:val="001425AE"/>
    <w:rsid w:val="00204EB5"/>
    <w:rsid w:val="00247E2C"/>
    <w:rsid w:val="002D6C53"/>
    <w:rsid w:val="002F5595"/>
    <w:rsid w:val="00306DC0"/>
    <w:rsid w:val="003131E2"/>
    <w:rsid w:val="00334F6A"/>
    <w:rsid w:val="00342AC8"/>
    <w:rsid w:val="003B4550"/>
    <w:rsid w:val="00452125"/>
    <w:rsid w:val="00461253"/>
    <w:rsid w:val="004671C1"/>
    <w:rsid w:val="00491A68"/>
    <w:rsid w:val="005042C2"/>
    <w:rsid w:val="00550DEF"/>
    <w:rsid w:val="00595889"/>
    <w:rsid w:val="005B7347"/>
    <w:rsid w:val="005F3F8A"/>
    <w:rsid w:val="005F4DAD"/>
    <w:rsid w:val="00616531"/>
    <w:rsid w:val="00631881"/>
    <w:rsid w:val="006427AC"/>
    <w:rsid w:val="00671529"/>
    <w:rsid w:val="00691DC5"/>
    <w:rsid w:val="00717266"/>
    <w:rsid w:val="007268F9"/>
    <w:rsid w:val="007C52B0"/>
    <w:rsid w:val="00847ADF"/>
    <w:rsid w:val="00894E1D"/>
    <w:rsid w:val="008E5B74"/>
    <w:rsid w:val="0093265D"/>
    <w:rsid w:val="009411B4"/>
    <w:rsid w:val="00982267"/>
    <w:rsid w:val="009C7480"/>
    <w:rsid w:val="009D0139"/>
    <w:rsid w:val="009F5CDC"/>
    <w:rsid w:val="00A46D97"/>
    <w:rsid w:val="00A775CF"/>
    <w:rsid w:val="00A81985"/>
    <w:rsid w:val="00AB3C7E"/>
    <w:rsid w:val="00AC1C8A"/>
    <w:rsid w:val="00AC4D01"/>
    <w:rsid w:val="00AE4C38"/>
    <w:rsid w:val="00AF27E3"/>
    <w:rsid w:val="00B06045"/>
    <w:rsid w:val="00B64A2E"/>
    <w:rsid w:val="00C0141B"/>
    <w:rsid w:val="00C04418"/>
    <w:rsid w:val="00C125CF"/>
    <w:rsid w:val="00C22B4C"/>
    <w:rsid w:val="00C32FBF"/>
    <w:rsid w:val="00C35A27"/>
    <w:rsid w:val="00C57AFC"/>
    <w:rsid w:val="00C72375"/>
    <w:rsid w:val="00CB01FA"/>
    <w:rsid w:val="00D04710"/>
    <w:rsid w:val="00D1081B"/>
    <w:rsid w:val="00D2078A"/>
    <w:rsid w:val="00DD6019"/>
    <w:rsid w:val="00E02C2B"/>
    <w:rsid w:val="00E30429"/>
    <w:rsid w:val="00ED25AA"/>
    <w:rsid w:val="00ED6C48"/>
    <w:rsid w:val="00F65F5D"/>
    <w:rsid w:val="00F86A3A"/>
    <w:rsid w:val="00FB065E"/>
    <w:rsid w:val="00FB17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EC5619"/>
  <w15:docId w15:val="{19687B2C-3C20-4BB4-92C7-9FA76A2A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paragraph" w:styleId="ListBullet">
    <w:name w:val="List Bullet"/>
    <w:basedOn w:val="Normal"/>
    <w:uiPriority w:val="99"/>
    <w:semiHidden/>
    <w:unhideWhenUsed/>
    <w:rsid w:val="00AC1C8A"/>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6423E-91A3-4A2D-8865-D5269DCB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1608944</vt:lpstr>
    </vt:vector>
  </TitlesOfParts>
  <Company>DCM</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1608944</dc:title>
  <dc:subject>ECE/TRANS/WP.15/AC.2/2016/32</dc:subject>
  <dc:creator>Giltsoff</dc:creator>
  <dc:description>Final</dc:description>
  <cp:lastModifiedBy>Caillot</cp:lastModifiedBy>
  <cp:revision>11</cp:revision>
  <cp:lastPrinted>2016-11-10T15:29:00Z</cp:lastPrinted>
  <dcterms:created xsi:type="dcterms:W3CDTF">2016-11-10T13:49:00Z</dcterms:created>
  <dcterms:modified xsi:type="dcterms:W3CDTF">2016-11-10T15:49:00Z</dcterms:modified>
</cp:coreProperties>
</file>