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00" w:rsidRPr="00385F58" w:rsidRDefault="00AB1300" w:rsidP="00AB1300">
      <w:pPr>
        <w:spacing w:line="240" w:lineRule="auto"/>
        <w:ind w:left="5387" w:right="-286"/>
        <w:outlineLvl w:val="0"/>
        <w:rPr>
          <w:rFonts w:ascii="Arial" w:hAnsi="Arial" w:cs="Arial"/>
          <w:snapToGrid w:val="0"/>
          <w:lang w:val="de-DE" w:eastAsia="fr-FR" w:bidi="fr-FR"/>
        </w:rPr>
      </w:pPr>
      <w:bookmarkStart w:id="0" w:name="_GoBack"/>
      <w:bookmarkEnd w:id="0"/>
      <w:r w:rsidRPr="00385F5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7154F8" wp14:editId="2AD57EA5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F58">
        <w:rPr>
          <w:rFonts w:ascii="Arial" w:eastAsia="Arial" w:hAnsi="Arial" w:cs="Arial"/>
          <w:bCs/>
          <w:lang w:val="de-DE" w:eastAsia="de-DE"/>
        </w:rPr>
        <w:t>CCNR-ZKR/ADN/WP.15/AC.2/2017/9</w:t>
      </w:r>
    </w:p>
    <w:p w:rsidR="00AB1300" w:rsidRPr="00385F58" w:rsidRDefault="00AB1300" w:rsidP="00AB1300">
      <w:pPr>
        <w:tabs>
          <w:tab w:val="left" w:pos="5670"/>
        </w:tabs>
        <w:spacing w:line="240" w:lineRule="auto"/>
        <w:ind w:left="5387"/>
        <w:rPr>
          <w:rFonts w:ascii="Arial" w:hAnsi="Arial" w:cs="Arial"/>
          <w:sz w:val="16"/>
          <w:lang w:val="de-DE" w:eastAsia="de-DE"/>
        </w:rPr>
      </w:pPr>
      <w:r w:rsidRPr="00385F58">
        <w:rPr>
          <w:rFonts w:ascii="Arial" w:hAnsi="Arial" w:cs="Arial"/>
          <w:sz w:val="16"/>
          <w:lang w:val="de-DE" w:eastAsia="de-DE"/>
        </w:rPr>
        <w:t>Allgemeine Verteilung</w:t>
      </w:r>
    </w:p>
    <w:p w:rsidR="00AB1300" w:rsidRPr="00385F58" w:rsidRDefault="00AB1300" w:rsidP="00AB1300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lang w:val="de-DE" w:eastAsia="de-DE"/>
        </w:rPr>
      </w:pPr>
      <w:r w:rsidRPr="00385F58">
        <w:rPr>
          <w:rFonts w:ascii="Arial" w:eastAsia="Arial" w:hAnsi="Arial" w:cs="Arial"/>
          <w:lang w:val="de-DE" w:eastAsia="de-DE"/>
        </w:rPr>
        <w:t>11. November 2016</w:t>
      </w:r>
    </w:p>
    <w:p w:rsidR="00AB1300" w:rsidRPr="00385F58" w:rsidRDefault="00AB1300" w:rsidP="00AB1300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proofErr w:type="spellStart"/>
      <w:r w:rsidRPr="00385F58">
        <w:rPr>
          <w:rFonts w:ascii="Arial" w:eastAsia="Arial" w:hAnsi="Arial" w:cs="Arial"/>
          <w:sz w:val="16"/>
          <w:lang w:val="de-DE" w:eastAsia="de-DE"/>
        </w:rPr>
        <w:t>Or</w:t>
      </w:r>
      <w:proofErr w:type="spellEnd"/>
      <w:r w:rsidRPr="00385F58">
        <w:rPr>
          <w:rFonts w:ascii="Arial" w:eastAsia="Arial" w:hAnsi="Arial" w:cs="Arial"/>
          <w:sz w:val="16"/>
          <w:lang w:val="de-DE" w:eastAsia="de-DE"/>
        </w:rPr>
        <w:t>. ENGLISCH</w:t>
      </w:r>
    </w:p>
    <w:p w:rsidR="00AB1300" w:rsidRPr="00385F58" w:rsidRDefault="00AB1300" w:rsidP="00AB1300">
      <w:pPr>
        <w:spacing w:line="240" w:lineRule="auto"/>
        <w:rPr>
          <w:rFonts w:ascii="Arial" w:hAnsi="Arial" w:cs="Arial"/>
          <w:sz w:val="16"/>
          <w:lang w:val="de-DE" w:eastAsia="de-DE"/>
        </w:rPr>
      </w:pPr>
    </w:p>
    <w:p w:rsidR="00AB1300" w:rsidRPr="00385F58" w:rsidRDefault="00AB1300" w:rsidP="00AB1300">
      <w:pPr>
        <w:spacing w:line="240" w:lineRule="auto"/>
        <w:rPr>
          <w:rFonts w:ascii="Arial" w:hAnsi="Arial" w:cs="Arial"/>
          <w:sz w:val="16"/>
          <w:lang w:val="de-DE" w:eastAsia="de-DE"/>
        </w:rPr>
      </w:pPr>
    </w:p>
    <w:p w:rsidR="00AB1300" w:rsidRPr="00385F58" w:rsidRDefault="00AB1300" w:rsidP="00AB1300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385F58">
        <w:rPr>
          <w:rFonts w:ascii="Arial" w:hAnsi="Arial" w:cs="Arial"/>
          <w:noProof/>
          <w:snapToGrid w:val="0"/>
          <w:sz w:val="16"/>
          <w:lang w:val="de-DE" w:eastAsia="fr-FR"/>
        </w:rPr>
        <w:t>GEMEINSAME EXPERTENTAGUNG FÜR DIE DEM</w:t>
      </w:r>
    </w:p>
    <w:p w:rsidR="00AB1300" w:rsidRPr="00385F58" w:rsidRDefault="00AB1300" w:rsidP="00AB1300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385F58">
        <w:rPr>
          <w:rFonts w:ascii="Arial" w:hAnsi="Arial" w:cs="Arial"/>
          <w:noProof/>
          <w:snapToGrid w:val="0"/>
          <w:sz w:val="16"/>
          <w:lang w:val="de-DE" w:eastAsia="fr-FR"/>
        </w:rPr>
        <w:t>ÜBEREINKOMMEN ÜBER DIE INTERNATIONALE BEFÖRDERUNG</w:t>
      </w:r>
    </w:p>
    <w:p w:rsidR="00AB1300" w:rsidRPr="00385F58" w:rsidRDefault="00AB1300" w:rsidP="00AB1300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385F58">
        <w:rPr>
          <w:rFonts w:ascii="Arial" w:hAnsi="Arial" w:cs="Arial"/>
          <w:noProof/>
          <w:snapToGrid w:val="0"/>
          <w:sz w:val="16"/>
          <w:lang w:val="de-DE" w:eastAsia="fr-FR"/>
        </w:rPr>
        <w:t>VON GEFÄHRLICHEN GÜTERN AUF BINNENWASSERSTRASSEN</w:t>
      </w:r>
    </w:p>
    <w:p w:rsidR="00AB1300" w:rsidRPr="00385F58" w:rsidRDefault="00AB1300" w:rsidP="00AB1300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position w:val="2"/>
          <w:sz w:val="16"/>
          <w:lang w:val="de-DE" w:eastAsia="fr-FR"/>
        </w:rPr>
      </w:pPr>
      <w:r w:rsidRPr="00385F58">
        <w:rPr>
          <w:rFonts w:ascii="Arial" w:hAnsi="Arial" w:cs="Arial"/>
          <w:noProof/>
          <w:snapToGrid w:val="0"/>
          <w:sz w:val="16"/>
          <w:lang w:val="de-DE" w:eastAsia="fr-FR"/>
        </w:rPr>
        <w:t>BEIGEFÜGTE VERORDNUNG (ADN)</w:t>
      </w:r>
    </w:p>
    <w:p w:rsidR="00AB1300" w:rsidRPr="00385F58" w:rsidRDefault="00AB1300" w:rsidP="00AB1300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385F58">
        <w:rPr>
          <w:rFonts w:ascii="Arial" w:hAnsi="Arial" w:cs="Arial"/>
          <w:noProof/>
          <w:snapToGrid w:val="0"/>
          <w:position w:val="2"/>
          <w:sz w:val="16"/>
          <w:lang w:val="de-DE" w:eastAsia="fr-FR"/>
        </w:rPr>
        <w:t>(SICHERHEITSAUSSCHUSS)</w:t>
      </w:r>
    </w:p>
    <w:p w:rsidR="00AB1300" w:rsidRPr="00385F58" w:rsidRDefault="00AB1300" w:rsidP="00AB1300">
      <w:pPr>
        <w:tabs>
          <w:tab w:val="left" w:pos="2977"/>
        </w:tabs>
        <w:spacing w:line="240" w:lineRule="auto"/>
        <w:ind w:left="3960"/>
        <w:rPr>
          <w:rFonts w:ascii="Arial" w:hAnsi="Arial" w:cs="Arial"/>
          <w:noProof/>
          <w:snapToGrid w:val="0"/>
          <w:sz w:val="16"/>
          <w:lang w:val="de-DE" w:eastAsia="fr-FR"/>
        </w:rPr>
      </w:pPr>
      <w:r w:rsidRPr="00385F58">
        <w:rPr>
          <w:rFonts w:ascii="Arial" w:hAnsi="Arial" w:cs="Arial"/>
          <w:snapToGrid w:val="0"/>
          <w:sz w:val="16"/>
          <w:lang w:val="de-DE" w:eastAsia="fr-FR"/>
        </w:rPr>
        <w:t xml:space="preserve">(30. </w:t>
      </w:r>
      <w:r w:rsidRPr="00385F58">
        <w:rPr>
          <w:rFonts w:ascii="Arial" w:hAnsi="Arial" w:cs="Arial"/>
          <w:noProof/>
          <w:snapToGrid w:val="0"/>
          <w:sz w:val="16"/>
          <w:lang w:val="de-DE" w:eastAsia="fr-FR"/>
        </w:rPr>
        <w:t>Tagung, Genf, 23. bis 27. Januar 2017)</w:t>
      </w:r>
    </w:p>
    <w:p w:rsidR="00AB1300" w:rsidRPr="00385F58" w:rsidRDefault="00AB1300" w:rsidP="00AB1300">
      <w:pPr>
        <w:tabs>
          <w:tab w:val="left" w:pos="2977"/>
        </w:tabs>
        <w:spacing w:line="240" w:lineRule="auto"/>
        <w:ind w:left="3960"/>
        <w:rPr>
          <w:rFonts w:ascii="Arial" w:hAnsi="Arial" w:cs="Arial"/>
          <w:sz w:val="16"/>
          <w:szCs w:val="16"/>
          <w:lang w:val="de-DE"/>
        </w:rPr>
      </w:pPr>
      <w:r w:rsidRPr="00385F58">
        <w:rPr>
          <w:rFonts w:ascii="Arial" w:hAnsi="Arial" w:cs="Arial"/>
          <w:sz w:val="16"/>
          <w:szCs w:val="16"/>
          <w:lang w:val="de-DE"/>
        </w:rPr>
        <w:t>Punkt 5 a) der vorläufigen Tagesordnung</w:t>
      </w:r>
    </w:p>
    <w:p w:rsidR="00AB1300" w:rsidRPr="00385F58" w:rsidRDefault="00AB1300" w:rsidP="00AB1300">
      <w:pPr>
        <w:tabs>
          <w:tab w:val="left" w:pos="2977"/>
        </w:tabs>
        <w:spacing w:line="240" w:lineRule="auto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385F58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Arbeiten der Gemeinsamen RID/ADR/ADN-Tagung</w:t>
      </w:r>
    </w:p>
    <w:p w:rsidR="005A6120" w:rsidRPr="004815E2" w:rsidRDefault="005A6120" w:rsidP="00C72375">
      <w:pPr>
        <w:rPr>
          <w:b/>
          <w:bCs/>
          <w:lang w:val="de-DE"/>
        </w:rPr>
      </w:pPr>
    </w:p>
    <w:p w:rsidR="00D2078A" w:rsidRPr="004815E2" w:rsidRDefault="00D2078A" w:rsidP="005B283C">
      <w:pPr>
        <w:pStyle w:val="HChG"/>
        <w:rPr>
          <w:lang w:val="de-DE"/>
        </w:rPr>
      </w:pPr>
      <w:r w:rsidRPr="004815E2">
        <w:rPr>
          <w:lang w:val="de-DE"/>
        </w:rPr>
        <w:tab/>
      </w:r>
      <w:r w:rsidRPr="004815E2">
        <w:rPr>
          <w:lang w:val="de-DE"/>
        </w:rPr>
        <w:tab/>
      </w:r>
      <w:r w:rsidR="005B283C" w:rsidRPr="004815E2">
        <w:rPr>
          <w:lang w:val="de-DE"/>
        </w:rPr>
        <w:t>Sondervorschrift 665 – Beförderung von Kohle</w:t>
      </w:r>
    </w:p>
    <w:p w:rsidR="00D2078A" w:rsidRPr="004815E2" w:rsidRDefault="00D2078A" w:rsidP="005B283C">
      <w:pPr>
        <w:pStyle w:val="H1G"/>
        <w:rPr>
          <w:lang w:val="de-DE"/>
        </w:rPr>
      </w:pPr>
      <w:r w:rsidRPr="004815E2">
        <w:rPr>
          <w:lang w:val="de-DE"/>
        </w:rPr>
        <w:tab/>
      </w:r>
      <w:r w:rsidRPr="004815E2">
        <w:rPr>
          <w:lang w:val="de-DE"/>
        </w:rPr>
        <w:tab/>
      </w:r>
      <w:r w:rsidR="005B283C" w:rsidRPr="004815E2">
        <w:rPr>
          <w:lang w:val="de-DE"/>
        </w:rPr>
        <w:t>Anmerkung des Sekretariats</w:t>
      </w:r>
      <w:r w:rsidR="005B283C" w:rsidRPr="004815E2">
        <w:rPr>
          <w:b w:val="0"/>
          <w:szCs w:val="24"/>
          <w:vertAlign w:val="superscript"/>
          <w:lang w:val="de-DE"/>
        </w:rPr>
        <w:footnoteReference w:customMarkFollows="1" w:id="1"/>
        <w:t>*</w:t>
      </w:r>
      <w:r w:rsidR="005B283C" w:rsidRPr="004815E2">
        <w:rPr>
          <w:b w:val="0"/>
          <w:sz w:val="20"/>
          <w:szCs w:val="24"/>
          <w:vertAlign w:val="superscript"/>
          <w:lang w:val="de-DE"/>
        </w:rPr>
        <w:t xml:space="preserve">, </w:t>
      </w:r>
      <w:r w:rsidR="005B283C" w:rsidRPr="004815E2">
        <w:rPr>
          <w:b w:val="0"/>
          <w:szCs w:val="24"/>
          <w:vertAlign w:val="superscript"/>
          <w:lang w:val="de-DE"/>
        </w:rPr>
        <w:footnoteReference w:customMarkFollows="1" w:id="2"/>
        <w:t>**</w:t>
      </w:r>
    </w:p>
    <w:p w:rsidR="001425AE" w:rsidRPr="004815E2" w:rsidRDefault="00C72375" w:rsidP="007C50EE">
      <w:pPr>
        <w:pStyle w:val="SingleTxtG"/>
        <w:rPr>
          <w:lang w:val="de-DE"/>
        </w:rPr>
      </w:pPr>
      <w:r w:rsidRPr="004815E2">
        <w:rPr>
          <w:lang w:val="de-DE"/>
        </w:rPr>
        <w:t>1.</w:t>
      </w:r>
      <w:r w:rsidRPr="004815E2">
        <w:rPr>
          <w:lang w:val="de-DE"/>
        </w:rPr>
        <w:tab/>
      </w:r>
      <w:r w:rsidR="005B283C" w:rsidRPr="004815E2">
        <w:rPr>
          <w:lang w:val="de-DE"/>
        </w:rPr>
        <w:t xml:space="preserve">Das ADN 2015 sieht für die Beförderung von UN-Nr. 1361, KOHLE, </w:t>
      </w:r>
      <w:r w:rsidR="0076276D" w:rsidRPr="004815E2">
        <w:rPr>
          <w:lang w:val="de-DE"/>
        </w:rPr>
        <w:t xml:space="preserve">tierischer oder pflanzlicher Ursprung, </w:t>
      </w:r>
      <w:r w:rsidR="005B283C" w:rsidRPr="004815E2">
        <w:rPr>
          <w:lang w:val="de-DE"/>
        </w:rPr>
        <w:t>die Sondervorschrift 803 vor</w:t>
      </w:r>
      <w:r w:rsidR="0076276D" w:rsidRPr="004815E2">
        <w:rPr>
          <w:lang w:val="de-DE"/>
        </w:rPr>
        <w:t>, die wie folgt lautet:</w:t>
      </w:r>
    </w:p>
    <w:p w:rsidR="00AC1C8A" w:rsidRPr="004815E2" w:rsidRDefault="00A339BF" w:rsidP="007C50EE">
      <w:pPr>
        <w:tabs>
          <w:tab w:val="left" w:pos="-22"/>
          <w:tab w:val="left" w:pos="1418"/>
          <w:tab w:val="left" w:pos="2552"/>
        </w:tabs>
        <w:suppressAutoHyphens w:val="0"/>
        <w:spacing w:after="240" w:line="240" w:lineRule="auto"/>
        <w:ind w:left="1985" w:right="1134" w:hanging="567"/>
        <w:jc w:val="both"/>
        <w:rPr>
          <w:lang w:val="de-DE"/>
        </w:rPr>
      </w:pPr>
      <w:r w:rsidRPr="004815E2">
        <w:rPr>
          <w:rFonts w:ascii="Arial" w:hAnsi="Arial" w:cs="Arial"/>
          <w:lang w:val="de-DE"/>
        </w:rPr>
        <w:t>„</w:t>
      </w:r>
      <w:r w:rsidR="00AC1C8A" w:rsidRPr="004815E2">
        <w:rPr>
          <w:lang w:val="de-DE"/>
        </w:rPr>
        <w:t>803</w:t>
      </w:r>
      <w:r w:rsidR="00AC1C8A" w:rsidRPr="004815E2">
        <w:rPr>
          <w:lang w:val="de-DE"/>
        </w:rPr>
        <w:tab/>
      </w:r>
      <w:r w:rsidRPr="004815E2">
        <w:rPr>
          <w:lang w:val="de-DE"/>
        </w:rPr>
        <w:t>Steinkohle, Koks und Anthrazitkohle, die in loser Schüttung befördert werden, unterliegen nicht den Bestimmungen des ADN, wenn</w:t>
      </w:r>
    </w:p>
    <w:p w:rsidR="00AC1C8A" w:rsidRPr="004815E2" w:rsidRDefault="001D6D04" w:rsidP="007C50EE">
      <w:pPr>
        <w:tabs>
          <w:tab w:val="left" w:pos="1418"/>
          <w:tab w:val="left" w:pos="2552"/>
        </w:tabs>
        <w:suppressAutoHyphens w:val="0"/>
        <w:spacing w:after="240" w:line="240" w:lineRule="auto"/>
        <w:ind w:left="2552" w:right="1134" w:hanging="567"/>
        <w:jc w:val="both"/>
        <w:rPr>
          <w:lang w:val="de-DE"/>
        </w:rPr>
      </w:pPr>
      <w:r w:rsidRPr="004815E2">
        <w:rPr>
          <w:lang w:val="de-DE"/>
        </w:rPr>
        <w:t>a)</w:t>
      </w:r>
      <w:r w:rsidR="00AC1C8A" w:rsidRPr="004815E2">
        <w:rPr>
          <w:lang w:val="de-DE"/>
        </w:rPr>
        <w:tab/>
      </w:r>
      <w:r w:rsidRPr="004815E2">
        <w:rPr>
          <w:lang w:val="de-DE"/>
        </w:rPr>
        <w:t>die Temperatur der Ladung vor, während oder unmittelbar nach der Beladung des Laderaums</w:t>
      </w:r>
      <w:r w:rsidR="003D1A2B" w:rsidRPr="004815E2">
        <w:rPr>
          <w:lang w:val="de-DE"/>
        </w:rPr>
        <w:t xml:space="preserve"> mit einem geeigneten Messverfahren bestimmt wurde und </w:t>
      </w:r>
      <w:r w:rsidRPr="004815E2">
        <w:rPr>
          <w:lang w:val="de-DE"/>
        </w:rPr>
        <w:t>60°C nicht überschreitet</w:t>
      </w:r>
      <w:r w:rsidR="00352638" w:rsidRPr="004815E2">
        <w:rPr>
          <w:lang w:val="de-DE"/>
        </w:rPr>
        <w:t>,</w:t>
      </w:r>
    </w:p>
    <w:p w:rsidR="00AC1C8A" w:rsidRPr="004815E2" w:rsidRDefault="001D6D04" w:rsidP="008A5781">
      <w:pPr>
        <w:tabs>
          <w:tab w:val="left" w:pos="1418"/>
          <w:tab w:val="left" w:pos="2552"/>
        </w:tabs>
        <w:suppressAutoHyphens w:val="0"/>
        <w:spacing w:after="240" w:line="240" w:lineRule="auto"/>
        <w:ind w:left="2552" w:right="1134" w:hanging="567"/>
        <w:jc w:val="both"/>
        <w:rPr>
          <w:lang w:val="de-DE"/>
        </w:rPr>
      </w:pPr>
      <w:r w:rsidRPr="004815E2">
        <w:rPr>
          <w:lang w:val="de-DE"/>
        </w:rPr>
        <w:t>b)</w:t>
      </w:r>
      <w:r w:rsidR="00AC1C8A" w:rsidRPr="004815E2">
        <w:rPr>
          <w:lang w:val="de-DE"/>
        </w:rPr>
        <w:tab/>
      </w:r>
      <w:r w:rsidRPr="004815E2">
        <w:rPr>
          <w:lang w:val="de-DE"/>
        </w:rPr>
        <w:t>die vorgesehene Beförderungsdauer ohne Temperaturüberwachung die in der nachfolgenden Tabelle in Abhängigkeit von der Temperatur der Ladung vor, während oder unmittelbar nach der Bel</w:t>
      </w:r>
      <w:r w:rsidR="007C50EE" w:rsidRPr="004815E2">
        <w:rPr>
          <w:lang w:val="de-DE"/>
        </w:rPr>
        <w:t>adung des Laderaums aufgeführte maximale</w:t>
      </w:r>
      <w:r w:rsidRPr="004815E2">
        <w:rPr>
          <w:lang w:val="de-DE"/>
        </w:rPr>
        <w:t xml:space="preserve"> </w:t>
      </w:r>
      <w:r w:rsidR="007C50EE" w:rsidRPr="004815E2">
        <w:rPr>
          <w:lang w:val="de-DE"/>
        </w:rPr>
        <w:t xml:space="preserve">Anzahl </w:t>
      </w:r>
      <w:r w:rsidR="008A5781" w:rsidRPr="004815E2">
        <w:rPr>
          <w:lang w:val="de-DE"/>
        </w:rPr>
        <w:t>a</w:t>
      </w:r>
      <w:r w:rsidR="007C50EE" w:rsidRPr="004815E2">
        <w:rPr>
          <w:lang w:val="de-DE"/>
        </w:rPr>
        <w:t>n Tagen</w:t>
      </w:r>
      <w:r w:rsidRPr="004815E2">
        <w:rPr>
          <w:lang w:val="de-DE"/>
        </w:rPr>
        <w:t xml:space="preserve"> nicht überschreitet:</w:t>
      </w:r>
    </w:p>
    <w:tbl>
      <w:tblPr>
        <w:tblW w:w="6377" w:type="dxa"/>
        <w:tblInd w:w="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117"/>
      </w:tblGrid>
      <w:tr w:rsidR="00AC1C8A" w:rsidRPr="004815E2" w:rsidTr="00AC1C8A">
        <w:trPr>
          <w:cantSplit/>
          <w:tblHeader/>
        </w:trPr>
        <w:tc>
          <w:tcPr>
            <w:tcW w:w="3260" w:type="dxa"/>
            <w:shd w:val="clear" w:color="auto" w:fill="auto"/>
            <w:vAlign w:val="bottom"/>
          </w:tcPr>
          <w:p w:rsidR="00AC1C8A" w:rsidRPr="004815E2" w:rsidRDefault="001D6D04" w:rsidP="004815E2">
            <w:pPr>
              <w:keepNext/>
              <w:keepLines/>
              <w:suppressAutoHyphens w:val="0"/>
              <w:spacing w:after="80" w:line="200" w:lineRule="exact"/>
              <w:ind w:right="113"/>
              <w:jc w:val="center"/>
              <w:rPr>
                <w:i/>
                <w:lang w:val="de-DE"/>
              </w:rPr>
            </w:pPr>
            <w:r w:rsidRPr="004815E2">
              <w:rPr>
                <w:i/>
                <w:lang w:val="de-DE"/>
              </w:rPr>
              <w:t>maximale Verladetemperatur in °C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AC1C8A" w:rsidRPr="004815E2" w:rsidRDefault="001D6D04" w:rsidP="004815E2">
            <w:pPr>
              <w:keepNext/>
              <w:keepLines/>
              <w:suppressAutoHyphens w:val="0"/>
              <w:spacing w:after="80" w:line="200" w:lineRule="exact"/>
              <w:ind w:right="113"/>
              <w:jc w:val="center"/>
              <w:rPr>
                <w:i/>
                <w:lang w:val="de-DE"/>
              </w:rPr>
            </w:pPr>
            <w:r w:rsidRPr="004815E2">
              <w:rPr>
                <w:i/>
                <w:lang w:val="de-DE"/>
              </w:rPr>
              <w:t>maximale Reisedauer in Tagen</w:t>
            </w:r>
          </w:p>
        </w:tc>
      </w:tr>
      <w:tr w:rsidR="00AC1C8A" w:rsidRPr="004815E2" w:rsidTr="00AC1C8A">
        <w:trPr>
          <w:cantSplit/>
        </w:trPr>
        <w:tc>
          <w:tcPr>
            <w:tcW w:w="3260" w:type="dxa"/>
            <w:shd w:val="clear" w:color="auto" w:fill="auto"/>
          </w:tcPr>
          <w:p w:rsidR="00AC1C8A" w:rsidRPr="004815E2" w:rsidRDefault="00AC1C8A" w:rsidP="00CB01FA">
            <w:pPr>
              <w:keepNext/>
              <w:keepLines/>
              <w:suppressAutoHyphens w:val="0"/>
              <w:spacing w:after="120" w:line="220" w:lineRule="exact"/>
              <w:ind w:right="113"/>
              <w:jc w:val="center"/>
              <w:rPr>
                <w:lang w:val="de-DE"/>
              </w:rPr>
            </w:pPr>
            <w:r w:rsidRPr="004815E2">
              <w:rPr>
                <w:lang w:val="de-DE"/>
              </w:rPr>
              <w:t>60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AC1C8A" w:rsidRPr="004815E2" w:rsidRDefault="00AC1C8A" w:rsidP="00CB01FA">
            <w:pPr>
              <w:keepNext/>
              <w:keepLines/>
              <w:suppressAutoHyphens w:val="0"/>
              <w:spacing w:after="120" w:line="220" w:lineRule="exact"/>
              <w:ind w:right="113"/>
              <w:jc w:val="center"/>
              <w:rPr>
                <w:lang w:val="de-DE"/>
              </w:rPr>
            </w:pPr>
            <w:r w:rsidRPr="004815E2">
              <w:rPr>
                <w:lang w:val="de-DE"/>
              </w:rPr>
              <w:t>10</w:t>
            </w:r>
          </w:p>
        </w:tc>
      </w:tr>
      <w:tr w:rsidR="00AC1C8A" w:rsidRPr="004815E2" w:rsidTr="00AC1C8A">
        <w:trPr>
          <w:cantSplit/>
        </w:trPr>
        <w:tc>
          <w:tcPr>
            <w:tcW w:w="3260" w:type="dxa"/>
            <w:shd w:val="clear" w:color="auto" w:fill="auto"/>
          </w:tcPr>
          <w:p w:rsidR="00AC1C8A" w:rsidRPr="004815E2" w:rsidRDefault="00AC1C8A" w:rsidP="00FB065E">
            <w:pPr>
              <w:suppressAutoHyphens w:val="0"/>
              <w:spacing w:after="120" w:line="220" w:lineRule="exact"/>
              <w:ind w:right="113"/>
              <w:jc w:val="center"/>
              <w:rPr>
                <w:lang w:val="de-DE"/>
              </w:rPr>
            </w:pPr>
            <w:r w:rsidRPr="004815E2">
              <w:rPr>
                <w:lang w:val="de-DE"/>
              </w:rPr>
              <w:t>50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AC1C8A" w:rsidRPr="004815E2" w:rsidRDefault="00AC1C8A" w:rsidP="00FB065E">
            <w:pPr>
              <w:suppressAutoHyphens w:val="0"/>
              <w:spacing w:after="120" w:line="220" w:lineRule="exact"/>
              <w:ind w:right="113"/>
              <w:jc w:val="center"/>
              <w:rPr>
                <w:lang w:val="de-DE"/>
              </w:rPr>
            </w:pPr>
            <w:r w:rsidRPr="004815E2">
              <w:rPr>
                <w:lang w:val="de-DE"/>
              </w:rPr>
              <w:t>18</w:t>
            </w:r>
          </w:p>
        </w:tc>
      </w:tr>
      <w:tr w:rsidR="00AC1C8A" w:rsidRPr="004815E2" w:rsidTr="00AC1C8A">
        <w:trPr>
          <w:cantSplit/>
        </w:trPr>
        <w:tc>
          <w:tcPr>
            <w:tcW w:w="3260" w:type="dxa"/>
            <w:shd w:val="clear" w:color="auto" w:fill="auto"/>
          </w:tcPr>
          <w:p w:rsidR="00AC1C8A" w:rsidRPr="004815E2" w:rsidRDefault="00AC1C8A" w:rsidP="00FB065E">
            <w:pPr>
              <w:suppressAutoHyphens w:val="0"/>
              <w:spacing w:after="120" w:line="220" w:lineRule="exact"/>
              <w:ind w:right="113"/>
              <w:jc w:val="center"/>
              <w:rPr>
                <w:lang w:val="de-DE"/>
              </w:rPr>
            </w:pPr>
            <w:r w:rsidRPr="004815E2">
              <w:rPr>
                <w:lang w:val="de-DE"/>
              </w:rPr>
              <w:t>40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AC1C8A" w:rsidRPr="004815E2" w:rsidRDefault="00AC1C8A" w:rsidP="00FB065E">
            <w:pPr>
              <w:suppressAutoHyphens w:val="0"/>
              <w:spacing w:after="120" w:line="220" w:lineRule="exact"/>
              <w:ind w:right="113"/>
              <w:jc w:val="center"/>
              <w:rPr>
                <w:lang w:val="de-DE"/>
              </w:rPr>
            </w:pPr>
            <w:r w:rsidRPr="004815E2">
              <w:rPr>
                <w:lang w:val="de-DE"/>
              </w:rPr>
              <w:t>32</w:t>
            </w:r>
          </w:p>
        </w:tc>
      </w:tr>
      <w:tr w:rsidR="00AC1C8A" w:rsidRPr="004815E2" w:rsidTr="00AC1C8A">
        <w:trPr>
          <w:cantSplit/>
        </w:trPr>
        <w:tc>
          <w:tcPr>
            <w:tcW w:w="3260" w:type="dxa"/>
            <w:shd w:val="clear" w:color="auto" w:fill="auto"/>
          </w:tcPr>
          <w:p w:rsidR="00AC1C8A" w:rsidRPr="004815E2" w:rsidRDefault="00AC1C8A" w:rsidP="00FB065E">
            <w:pPr>
              <w:suppressAutoHyphens w:val="0"/>
              <w:spacing w:after="120" w:line="220" w:lineRule="exact"/>
              <w:ind w:right="113"/>
              <w:jc w:val="center"/>
              <w:rPr>
                <w:lang w:val="de-DE"/>
              </w:rPr>
            </w:pPr>
            <w:r w:rsidRPr="004815E2">
              <w:rPr>
                <w:lang w:val="de-DE"/>
              </w:rPr>
              <w:t>30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AC1C8A" w:rsidRPr="004815E2" w:rsidRDefault="00AC1C8A" w:rsidP="00FB065E">
            <w:pPr>
              <w:suppressAutoHyphens w:val="0"/>
              <w:spacing w:after="120" w:line="220" w:lineRule="exact"/>
              <w:ind w:right="113"/>
              <w:jc w:val="center"/>
              <w:rPr>
                <w:lang w:val="de-DE"/>
              </w:rPr>
            </w:pPr>
            <w:r w:rsidRPr="004815E2">
              <w:rPr>
                <w:lang w:val="de-DE"/>
              </w:rPr>
              <w:t>57</w:t>
            </w:r>
          </w:p>
        </w:tc>
      </w:tr>
    </w:tbl>
    <w:p w:rsidR="005872D0" w:rsidRDefault="005872D0" w:rsidP="00352638">
      <w:pPr>
        <w:tabs>
          <w:tab w:val="left" w:pos="1418"/>
          <w:tab w:val="left" w:pos="2552"/>
        </w:tabs>
        <w:suppressAutoHyphens w:val="0"/>
        <w:spacing w:before="240" w:after="240" w:line="240" w:lineRule="auto"/>
        <w:ind w:left="2552" w:right="1134" w:hanging="567"/>
        <w:jc w:val="both"/>
        <w:rPr>
          <w:lang w:val="de-DE"/>
        </w:rPr>
      </w:pPr>
    </w:p>
    <w:p w:rsidR="005872D0" w:rsidRDefault="005872D0">
      <w:pPr>
        <w:suppressAutoHyphens w:val="0"/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AC1C8A" w:rsidRPr="004815E2" w:rsidRDefault="001D6D04" w:rsidP="00352638">
      <w:pPr>
        <w:tabs>
          <w:tab w:val="left" w:pos="1418"/>
          <w:tab w:val="left" w:pos="2552"/>
        </w:tabs>
        <w:suppressAutoHyphens w:val="0"/>
        <w:spacing w:before="240" w:after="240" w:line="240" w:lineRule="auto"/>
        <w:ind w:left="2552" w:right="1134" w:hanging="567"/>
        <w:jc w:val="both"/>
        <w:rPr>
          <w:lang w:val="de-DE"/>
        </w:rPr>
      </w:pPr>
      <w:r w:rsidRPr="004815E2">
        <w:rPr>
          <w:lang w:val="de-DE"/>
        </w:rPr>
        <w:lastRenderedPageBreak/>
        <w:t>c)</w:t>
      </w:r>
      <w:r w:rsidR="00AC1C8A" w:rsidRPr="004815E2">
        <w:rPr>
          <w:lang w:val="de-DE"/>
        </w:rPr>
        <w:tab/>
      </w:r>
      <w:r w:rsidRPr="004815E2">
        <w:rPr>
          <w:lang w:val="de-DE"/>
        </w:rPr>
        <w:t>im Falle, dass die tatsächliche Beförderungsdauer die unter b) genannte maximale Reisedauer überschreitet, ab dem ersten Tag der Überschreitung eine Temperaturüberwachung sichergestellt ist.</w:t>
      </w:r>
      <w:r w:rsidR="00AC1C8A" w:rsidRPr="004815E2">
        <w:rPr>
          <w:lang w:val="de-DE"/>
        </w:rPr>
        <w:t xml:space="preserve"> </w:t>
      </w:r>
      <w:r w:rsidR="008A5781" w:rsidRPr="004815E2">
        <w:rPr>
          <w:lang w:val="de-DE"/>
        </w:rPr>
        <w:t>Das</w:t>
      </w:r>
      <w:r w:rsidR="001D3FA6" w:rsidRPr="004815E2">
        <w:rPr>
          <w:lang w:val="de-DE"/>
        </w:rPr>
        <w:t xml:space="preserve"> erforderliche Überwachungs</w:t>
      </w:r>
      <w:r w:rsidR="008A5781" w:rsidRPr="004815E2">
        <w:rPr>
          <w:lang w:val="de-DE"/>
        </w:rPr>
        <w:t>g</w:t>
      </w:r>
      <w:r w:rsidR="001D3FA6" w:rsidRPr="004815E2">
        <w:rPr>
          <w:lang w:val="de-DE"/>
        </w:rPr>
        <w:t>e</w:t>
      </w:r>
      <w:r w:rsidR="008A5781" w:rsidRPr="004815E2">
        <w:rPr>
          <w:lang w:val="de-DE"/>
        </w:rPr>
        <w:t>rä</w:t>
      </w:r>
      <w:r w:rsidR="001D3FA6" w:rsidRPr="004815E2">
        <w:rPr>
          <w:lang w:val="de-DE"/>
        </w:rPr>
        <w:t>t muss sich ab dem ersten Beförderungstag nach der maxima</w:t>
      </w:r>
      <w:r w:rsidR="00352638" w:rsidRPr="004815E2">
        <w:rPr>
          <w:lang w:val="de-DE"/>
        </w:rPr>
        <w:t>len Reisedauer an Bord befinden,</w:t>
      </w:r>
    </w:p>
    <w:p w:rsidR="00082096" w:rsidRPr="004815E2" w:rsidRDefault="001D3FA6" w:rsidP="00352638">
      <w:pPr>
        <w:tabs>
          <w:tab w:val="left" w:pos="1418"/>
          <w:tab w:val="left" w:pos="2552"/>
        </w:tabs>
        <w:suppressAutoHyphens w:val="0"/>
        <w:spacing w:before="240" w:after="240" w:line="240" w:lineRule="auto"/>
        <w:ind w:left="2552" w:right="1134" w:hanging="567"/>
        <w:jc w:val="both"/>
        <w:rPr>
          <w:lang w:val="de-DE"/>
        </w:rPr>
      </w:pPr>
      <w:r w:rsidRPr="004815E2">
        <w:rPr>
          <w:lang w:val="de-DE"/>
        </w:rPr>
        <w:t>d)</w:t>
      </w:r>
      <w:r w:rsidR="00AC1C8A" w:rsidRPr="004815E2">
        <w:rPr>
          <w:lang w:val="de-DE"/>
        </w:rPr>
        <w:tab/>
      </w:r>
      <w:r w:rsidRPr="004815E2">
        <w:rPr>
          <w:lang w:val="de-DE"/>
        </w:rPr>
        <w:t>der Schiffsführer bei der Beladung in nachweisbarer Form Instruktionen erhält, wie im Falle einer wesentlichen Erwärmung der Ladung zu verfahren ist.“</w:t>
      </w:r>
      <w:r w:rsidR="00352638" w:rsidRPr="004815E2">
        <w:rPr>
          <w:lang w:val="de-DE"/>
        </w:rPr>
        <w:t>.</w:t>
      </w:r>
    </w:p>
    <w:p w:rsidR="00082096" w:rsidRPr="004815E2" w:rsidRDefault="00082096" w:rsidP="0060518E">
      <w:pPr>
        <w:pStyle w:val="SingleTxtG"/>
        <w:rPr>
          <w:lang w:val="de-DE"/>
        </w:rPr>
      </w:pPr>
      <w:r w:rsidRPr="004815E2">
        <w:rPr>
          <w:lang w:val="de-DE"/>
        </w:rPr>
        <w:t>2.</w:t>
      </w:r>
      <w:r w:rsidRPr="004815E2">
        <w:rPr>
          <w:lang w:val="de-DE"/>
        </w:rPr>
        <w:tab/>
      </w:r>
      <w:r w:rsidR="006823BC" w:rsidRPr="004815E2">
        <w:rPr>
          <w:lang w:val="de-DE"/>
        </w:rPr>
        <w:t xml:space="preserve">Die Frage der Beförderung von Kohle in </w:t>
      </w:r>
      <w:r w:rsidR="00C01EC3" w:rsidRPr="004815E2">
        <w:rPr>
          <w:lang w:val="de-DE"/>
        </w:rPr>
        <w:t xml:space="preserve">Schienen- und Straßenfahrzeugen wurde </w:t>
      </w:r>
      <w:r w:rsidR="0060518E" w:rsidRPr="004815E2">
        <w:rPr>
          <w:lang w:val="de-DE"/>
        </w:rPr>
        <w:t xml:space="preserve">auch </w:t>
      </w:r>
      <w:r w:rsidR="00C01EC3" w:rsidRPr="004815E2">
        <w:rPr>
          <w:lang w:val="de-DE"/>
        </w:rPr>
        <w:t>von der Gemeinsamen RID/ADR/ADN-Tagung, der Arbeitsgruppe „Beförderung gefährlicher Güter“ und de</w:t>
      </w:r>
      <w:r w:rsidR="0027095A" w:rsidRPr="004815E2">
        <w:rPr>
          <w:lang w:val="de-DE"/>
        </w:rPr>
        <w:t>m</w:t>
      </w:r>
      <w:r w:rsidR="00C01EC3" w:rsidRPr="004815E2">
        <w:rPr>
          <w:lang w:val="de-DE"/>
        </w:rPr>
        <w:t xml:space="preserve"> RID-Sachverständigenausschuss</w:t>
      </w:r>
      <w:r w:rsidR="00C927B5" w:rsidRPr="004815E2">
        <w:rPr>
          <w:lang w:val="de-DE"/>
        </w:rPr>
        <w:t xml:space="preserve"> erörtert</w:t>
      </w:r>
      <w:r w:rsidR="0027095A" w:rsidRPr="004815E2">
        <w:rPr>
          <w:lang w:val="de-DE"/>
        </w:rPr>
        <w:t>.</w:t>
      </w:r>
      <w:r w:rsidR="00C01EC3" w:rsidRPr="004815E2">
        <w:rPr>
          <w:lang w:val="de-DE"/>
        </w:rPr>
        <w:t xml:space="preserve"> </w:t>
      </w:r>
      <w:r w:rsidR="0027095A" w:rsidRPr="004815E2">
        <w:rPr>
          <w:lang w:val="de-DE"/>
        </w:rPr>
        <w:t xml:space="preserve">Dies hat zur Aufnahme einer Sondervorschrift 665 in das RID 2015 und einer ähnlichen Vorschrift in das ADR geführt, </w:t>
      </w:r>
      <w:r w:rsidR="0077428D" w:rsidRPr="004815E2">
        <w:rPr>
          <w:lang w:val="de-DE"/>
        </w:rPr>
        <w:t xml:space="preserve">die am 1. Januar 2017 in Kraft treten </w:t>
      </w:r>
      <w:r w:rsidR="00A56FF3" w:rsidRPr="004815E2">
        <w:rPr>
          <w:lang w:val="de-DE"/>
        </w:rPr>
        <w:t>wird</w:t>
      </w:r>
      <w:r w:rsidR="0077428D" w:rsidRPr="004815E2">
        <w:rPr>
          <w:lang w:val="de-DE"/>
        </w:rPr>
        <w:t xml:space="preserve">. </w:t>
      </w:r>
      <w:r w:rsidR="00A56FF3" w:rsidRPr="004815E2">
        <w:rPr>
          <w:lang w:val="de-DE"/>
        </w:rPr>
        <w:t xml:space="preserve">Die </w:t>
      </w:r>
      <w:r w:rsidR="00A56FF3" w:rsidRPr="00250933">
        <w:rPr>
          <w:lang w:val="de-DE"/>
        </w:rPr>
        <w:t xml:space="preserve">Sondervorschrift </w:t>
      </w:r>
      <w:r w:rsidR="00F46705" w:rsidRPr="00250933">
        <w:rPr>
          <w:lang w:val="de-DE"/>
        </w:rPr>
        <w:t>im</w:t>
      </w:r>
      <w:r w:rsidR="00A56FF3" w:rsidRPr="00250933">
        <w:rPr>
          <w:lang w:val="de-DE"/>
        </w:rPr>
        <w:t xml:space="preserve"> ADR</w:t>
      </w:r>
      <w:r w:rsidR="00A56FF3" w:rsidRPr="004815E2">
        <w:rPr>
          <w:lang w:val="de-DE"/>
        </w:rPr>
        <w:t xml:space="preserve"> lautet wie folgt:</w:t>
      </w:r>
      <w:r w:rsidRPr="004815E2">
        <w:rPr>
          <w:lang w:val="de-DE"/>
        </w:rPr>
        <w:t xml:space="preserve"> </w:t>
      </w:r>
    </w:p>
    <w:p w:rsidR="00082096" w:rsidRPr="004815E2" w:rsidRDefault="00A56FF3" w:rsidP="0060518E">
      <w:pPr>
        <w:tabs>
          <w:tab w:val="left" w:pos="-22"/>
          <w:tab w:val="left" w:pos="1418"/>
          <w:tab w:val="left" w:pos="2552"/>
        </w:tabs>
        <w:suppressAutoHyphens w:val="0"/>
        <w:spacing w:after="240" w:line="240" w:lineRule="auto"/>
        <w:ind w:left="1985" w:right="1134" w:hanging="567"/>
        <w:jc w:val="both"/>
        <w:rPr>
          <w:lang w:val="de-DE"/>
        </w:rPr>
      </w:pPr>
      <w:r w:rsidRPr="004815E2">
        <w:rPr>
          <w:rFonts w:ascii="Arial" w:hAnsi="Arial" w:cs="Arial"/>
          <w:lang w:val="de-DE"/>
        </w:rPr>
        <w:t>„</w:t>
      </w:r>
      <w:r w:rsidR="00FB065E" w:rsidRPr="004815E2">
        <w:rPr>
          <w:lang w:val="de-DE"/>
        </w:rPr>
        <w:t>665</w:t>
      </w:r>
      <w:r w:rsidR="00FB065E" w:rsidRPr="004815E2">
        <w:rPr>
          <w:lang w:val="de-DE"/>
        </w:rPr>
        <w:tab/>
      </w:r>
      <w:proofErr w:type="spellStart"/>
      <w:r w:rsidRPr="004815E2">
        <w:rPr>
          <w:lang w:val="de-DE"/>
        </w:rPr>
        <w:t>Unvermahlene</w:t>
      </w:r>
      <w:proofErr w:type="spellEnd"/>
      <w:r w:rsidRPr="004815E2">
        <w:rPr>
          <w:lang w:val="de-DE"/>
        </w:rPr>
        <w:t xml:space="preserve"> Steinkohle, Koks und Anthrazitkohle, die den Klassifizierungskriterien der Klasse 4.2 Verpackungsgruppe III entsprechen, unterliegen </w:t>
      </w:r>
      <w:r w:rsidRPr="00250933">
        <w:rPr>
          <w:lang w:val="de-DE"/>
        </w:rPr>
        <w:t xml:space="preserve">nicht </w:t>
      </w:r>
      <w:r w:rsidR="00650E1C" w:rsidRPr="00250933">
        <w:rPr>
          <w:lang w:val="de-DE"/>
        </w:rPr>
        <w:t>dem</w:t>
      </w:r>
      <w:r w:rsidRPr="00250933">
        <w:rPr>
          <w:lang w:val="de-DE"/>
        </w:rPr>
        <w:t xml:space="preserve"> AD</w:t>
      </w:r>
      <w:r w:rsidR="00650E1C" w:rsidRPr="00250933">
        <w:rPr>
          <w:lang w:val="de-DE"/>
        </w:rPr>
        <w:t>R</w:t>
      </w:r>
      <w:r w:rsidRPr="00250933">
        <w:rPr>
          <w:lang w:val="de-DE"/>
        </w:rPr>
        <w:t>.“.</w:t>
      </w:r>
    </w:p>
    <w:p w:rsidR="00082096" w:rsidRPr="004815E2" w:rsidRDefault="00F46705" w:rsidP="0060518E">
      <w:pPr>
        <w:pStyle w:val="SingleTxtG"/>
        <w:rPr>
          <w:lang w:val="de-DE"/>
        </w:rPr>
      </w:pPr>
      <w:r w:rsidRPr="004815E2">
        <w:rPr>
          <w:lang w:val="de-DE"/>
        </w:rPr>
        <w:t>Die Sondervorschrift im RID lautet wie folgt:</w:t>
      </w:r>
      <w:r w:rsidR="00082096" w:rsidRPr="004815E2">
        <w:rPr>
          <w:lang w:val="de-DE"/>
        </w:rPr>
        <w:t xml:space="preserve"> </w:t>
      </w:r>
    </w:p>
    <w:p w:rsidR="00082096" w:rsidRPr="004815E2" w:rsidRDefault="005A5F68" w:rsidP="0060518E">
      <w:pPr>
        <w:tabs>
          <w:tab w:val="left" w:pos="-22"/>
          <w:tab w:val="left" w:pos="1418"/>
          <w:tab w:val="left" w:pos="2552"/>
        </w:tabs>
        <w:suppressAutoHyphens w:val="0"/>
        <w:spacing w:after="240" w:line="240" w:lineRule="auto"/>
        <w:ind w:left="1985" w:right="1134" w:hanging="567"/>
        <w:jc w:val="both"/>
        <w:rPr>
          <w:lang w:val="de-DE"/>
        </w:rPr>
      </w:pPr>
      <w:r w:rsidRPr="004815E2">
        <w:rPr>
          <w:rFonts w:ascii="Arial" w:hAnsi="Arial" w:cs="Arial"/>
          <w:lang w:val="de-DE"/>
        </w:rPr>
        <w:t>„</w:t>
      </w:r>
      <w:r w:rsidR="001156AA" w:rsidRPr="004815E2">
        <w:rPr>
          <w:lang w:val="de-DE"/>
        </w:rPr>
        <w:t>665</w:t>
      </w:r>
      <w:r w:rsidR="001156AA" w:rsidRPr="004815E2">
        <w:rPr>
          <w:lang w:val="de-DE"/>
        </w:rPr>
        <w:tab/>
      </w:r>
      <w:r w:rsidRPr="004815E2">
        <w:rPr>
          <w:lang w:val="de-DE"/>
        </w:rPr>
        <w:t>Steinkohle, Koks und Anthrazitkohle, die den Klassifiz</w:t>
      </w:r>
      <w:r w:rsidR="00E45A43" w:rsidRPr="004815E2">
        <w:rPr>
          <w:lang w:val="de-DE"/>
        </w:rPr>
        <w:t>ierungskriterien der Klasse 4.2</w:t>
      </w:r>
      <w:r w:rsidRPr="004815E2">
        <w:rPr>
          <w:lang w:val="de-DE"/>
        </w:rPr>
        <w:t xml:space="preserve"> Verpackungsgruppe III entsprechen, dürfen </w:t>
      </w:r>
      <w:r w:rsidR="00466244" w:rsidRPr="004815E2">
        <w:rPr>
          <w:lang w:val="de-DE"/>
        </w:rPr>
        <w:t xml:space="preserve">in loser Schüttung </w:t>
      </w:r>
      <w:r w:rsidRPr="004815E2">
        <w:rPr>
          <w:lang w:val="de-DE"/>
        </w:rPr>
        <w:t xml:space="preserve">auch in offenen Wagen </w:t>
      </w:r>
      <w:r w:rsidR="00E45A43" w:rsidRPr="004815E2">
        <w:rPr>
          <w:lang w:val="de-DE"/>
        </w:rPr>
        <w:t xml:space="preserve">oder Containern </w:t>
      </w:r>
      <w:r w:rsidRPr="004815E2">
        <w:rPr>
          <w:lang w:val="de-DE"/>
        </w:rPr>
        <w:t>befördert werden, vorausgesetzt,</w:t>
      </w:r>
    </w:p>
    <w:p w:rsidR="0093265D" w:rsidRPr="004815E2" w:rsidRDefault="00466244" w:rsidP="0060518E">
      <w:pPr>
        <w:tabs>
          <w:tab w:val="left" w:pos="1418"/>
          <w:tab w:val="left" w:pos="2552"/>
        </w:tabs>
        <w:suppressAutoHyphens w:val="0"/>
        <w:spacing w:after="240" w:line="240" w:lineRule="auto"/>
        <w:ind w:left="2552" w:right="1134" w:hanging="567"/>
        <w:jc w:val="both"/>
        <w:rPr>
          <w:lang w:val="de-DE"/>
        </w:rPr>
      </w:pPr>
      <w:r w:rsidRPr="004815E2">
        <w:rPr>
          <w:lang w:val="de-DE"/>
        </w:rPr>
        <w:t>a)</w:t>
      </w:r>
      <w:r w:rsidR="0093265D" w:rsidRPr="004815E2">
        <w:rPr>
          <w:lang w:val="de-DE"/>
        </w:rPr>
        <w:tab/>
      </w:r>
      <w:r w:rsidRPr="004815E2">
        <w:rPr>
          <w:lang w:val="de-DE"/>
        </w:rPr>
        <w:t>die Kohle wird aus der frischen Förderung (ohne Temperaturmessung) direkt in den Wagen oder Container gefördert oder</w:t>
      </w:r>
    </w:p>
    <w:p w:rsidR="0093265D" w:rsidRPr="004815E2" w:rsidRDefault="00466244" w:rsidP="0060518E">
      <w:pPr>
        <w:tabs>
          <w:tab w:val="left" w:pos="1418"/>
          <w:tab w:val="left" w:pos="2552"/>
        </w:tabs>
        <w:suppressAutoHyphens w:val="0"/>
        <w:spacing w:after="240" w:line="240" w:lineRule="auto"/>
        <w:ind w:left="2552" w:right="1134" w:hanging="567"/>
        <w:jc w:val="both"/>
        <w:rPr>
          <w:lang w:val="de-DE"/>
        </w:rPr>
      </w:pPr>
      <w:r w:rsidRPr="004815E2">
        <w:rPr>
          <w:lang w:val="de-DE"/>
        </w:rPr>
        <w:t>b)</w:t>
      </w:r>
      <w:r w:rsidR="0093265D" w:rsidRPr="004815E2">
        <w:rPr>
          <w:lang w:val="de-DE"/>
        </w:rPr>
        <w:tab/>
      </w:r>
      <w:r w:rsidRPr="004815E2">
        <w:rPr>
          <w:lang w:val="de-DE"/>
        </w:rPr>
        <w:t xml:space="preserve">die Temperatur der Ladung ist während oder unmittelbar nach der Befüllung des Wagens oder Containers nicht größer als </w:t>
      </w:r>
      <w:r w:rsidR="00956668" w:rsidRPr="00956668">
        <w:rPr>
          <w:lang w:val="de-DE"/>
        </w:rPr>
        <w:t>60°C</w:t>
      </w:r>
      <w:r w:rsidRPr="004815E2">
        <w:rPr>
          <w:lang w:val="de-DE"/>
        </w:rPr>
        <w:t>.</w:t>
      </w:r>
      <w:r w:rsidR="0093265D" w:rsidRPr="004815E2">
        <w:rPr>
          <w:lang w:val="de-DE"/>
        </w:rPr>
        <w:t xml:space="preserve"> </w:t>
      </w:r>
      <w:r w:rsidR="00723721" w:rsidRPr="004815E2">
        <w:rPr>
          <w:lang w:val="de-DE"/>
        </w:rPr>
        <w:t xml:space="preserve">Der </w:t>
      </w:r>
      <w:proofErr w:type="spellStart"/>
      <w:r w:rsidR="00723721" w:rsidRPr="004815E2">
        <w:rPr>
          <w:lang w:val="de-DE"/>
        </w:rPr>
        <w:t>Befüller</w:t>
      </w:r>
      <w:proofErr w:type="spellEnd"/>
      <w:r w:rsidR="00723721" w:rsidRPr="004815E2">
        <w:rPr>
          <w:lang w:val="de-DE"/>
        </w:rPr>
        <w:t xml:space="preserve"> muss mittels geeigneter Messmethoden sicherstellen und dokumentieren, dass die maximal zulässige Temperatur der Ladung während oder unmittelbar nach dem Befüllen der Wagen oder Container nicht überschritten wird.</w:t>
      </w:r>
    </w:p>
    <w:p w:rsidR="0093265D" w:rsidRPr="004815E2" w:rsidRDefault="00723721" w:rsidP="0060518E">
      <w:pPr>
        <w:tabs>
          <w:tab w:val="left" w:pos="1418"/>
        </w:tabs>
        <w:suppressAutoHyphens w:val="0"/>
        <w:spacing w:after="240" w:line="240" w:lineRule="auto"/>
        <w:ind w:left="1985" w:right="1134"/>
        <w:jc w:val="both"/>
        <w:rPr>
          <w:lang w:val="de-DE"/>
        </w:rPr>
      </w:pPr>
      <w:r w:rsidRPr="004815E2">
        <w:rPr>
          <w:lang w:val="de-DE"/>
        </w:rPr>
        <w:t>Der Absender muss sicherstellen, dass im Begleitdokument der Sendung (wie ein Konnossement, Ladungsmanifest oder CIM/CMR-Frachtbrief) folgende Angabe enthalten ist:</w:t>
      </w:r>
    </w:p>
    <w:p w:rsidR="00AC4D01" w:rsidRPr="004815E2" w:rsidRDefault="005F3270" w:rsidP="0060518E">
      <w:pPr>
        <w:tabs>
          <w:tab w:val="left" w:pos="1418"/>
        </w:tabs>
        <w:suppressAutoHyphens w:val="0"/>
        <w:spacing w:after="240" w:line="240" w:lineRule="auto"/>
        <w:ind w:left="1985" w:right="1134"/>
        <w:jc w:val="both"/>
        <w:rPr>
          <w:lang w:val="de-DE"/>
        </w:rPr>
      </w:pPr>
      <w:r w:rsidRPr="004815E2">
        <w:rPr>
          <w:lang w:val="de-DE"/>
        </w:rPr>
        <w:t>„BEFÖRDERUNG GEMÄSS SONDERVORSCHRIFT 665 DES RID“.</w:t>
      </w:r>
    </w:p>
    <w:p w:rsidR="00AC4D01" w:rsidRPr="004815E2" w:rsidRDefault="00C72902" w:rsidP="0060518E">
      <w:pPr>
        <w:tabs>
          <w:tab w:val="left" w:pos="1418"/>
        </w:tabs>
        <w:suppressAutoHyphens w:val="0"/>
        <w:spacing w:after="240" w:line="240" w:lineRule="auto"/>
        <w:ind w:left="1985" w:right="1134"/>
        <w:jc w:val="both"/>
        <w:rPr>
          <w:lang w:val="de-DE"/>
        </w:rPr>
      </w:pPr>
      <w:r w:rsidRPr="004815E2">
        <w:rPr>
          <w:lang w:val="de-DE"/>
        </w:rPr>
        <w:t>Die übrigen Vorschriften des RID gelten nicht.“.</w:t>
      </w:r>
    </w:p>
    <w:p w:rsidR="00082096" w:rsidRPr="00250933" w:rsidRDefault="00082096" w:rsidP="00FE3426">
      <w:pPr>
        <w:pStyle w:val="SingleTxtG"/>
        <w:rPr>
          <w:lang w:val="de-DE"/>
        </w:rPr>
      </w:pPr>
      <w:r w:rsidRPr="004815E2">
        <w:rPr>
          <w:lang w:val="de-DE"/>
        </w:rPr>
        <w:t>3.</w:t>
      </w:r>
      <w:r w:rsidRPr="004815E2">
        <w:rPr>
          <w:lang w:val="de-DE"/>
        </w:rPr>
        <w:tab/>
      </w:r>
      <w:r w:rsidR="002761F7" w:rsidRPr="004815E2">
        <w:rPr>
          <w:lang w:val="de-DE"/>
        </w:rPr>
        <w:t>Der Sicherheitsausschuss könnte anhand de</w:t>
      </w:r>
      <w:r w:rsidR="00E71441" w:rsidRPr="004815E2">
        <w:rPr>
          <w:lang w:val="de-DE"/>
        </w:rPr>
        <w:t>r</w:t>
      </w:r>
      <w:r w:rsidR="002761F7" w:rsidRPr="004815E2">
        <w:rPr>
          <w:lang w:val="de-DE"/>
        </w:rPr>
        <w:t xml:space="preserve"> ob</w:t>
      </w:r>
      <w:r w:rsidR="0060518E" w:rsidRPr="004815E2">
        <w:rPr>
          <w:lang w:val="de-DE"/>
        </w:rPr>
        <w:t>ig</w:t>
      </w:r>
      <w:r w:rsidR="002761F7" w:rsidRPr="004815E2">
        <w:rPr>
          <w:lang w:val="de-DE"/>
        </w:rPr>
        <w:t xml:space="preserve">en </w:t>
      </w:r>
      <w:r w:rsidR="00E71441" w:rsidRPr="004815E2">
        <w:rPr>
          <w:lang w:val="de-DE"/>
        </w:rPr>
        <w:t>Ausführungen</w:t>
      </w:r>
      <w:r w:rsidR="002761F7" w:rsidRPr="004815E2">
        <w:rPr>
          <w:lang w:val="de-DE"/>
        </w:rPr>
        <w:t xml:space="preserve"> zur Kenntnis nehmen, </w:t>
      </w:r>
      <w:r w:rsidR="00295994" w:rsidRPr="004815E2">
        <w:rPr>
          <w:lang w:val="de-DE"/>
        </w:rPr>
        <w:t>dass</w:t>
      </w:r>
      <w:r w:rsidR="00AE6641" w:rsidRPr="004815E2">
        <w:rPr>
          <w:lang w:val="de-DE"/>
        </w:rPr>
        <w:t xml:space="preserve"> </w:t>
      </w:r>
      <w:r w:rsidR="00295994" w:rsidRPr="004815E2">
        <w:rPr>
          <w:lang w:val="de-DE"/>
        </w:rPr>
        <w:t>de</w:t>
      </w:r>
      <w:r w:rsidR="00E71441" w:rsidRPr="004815E2">
        <w:rPr>
          <w:lang w:val="de-DE"/>
        </w:rPr>
        <w:t>r</w:t>
      </w:r>
      <w:r w:rsidR="00295994" w:rsidRPr="004815E2">
        <w:rPr>
          <w:lang w:val="de-DE"/>
        </w:rPr>
        <w:t xml:space="preserve"> </w:t>
      </w:r>
      <w:r w:rsidR="006978E3" w:rsidRPr="004815E2">
        <w:rPr>
          <w:lang w:val="de-DE"/>
        </w:rPr>
        <w:t>Ans</w:t>
      </w:r>
      <w:r w:rsidR="00E71441" w:rsidRPr="004815E2">
        <w:rPr>
          <w:lang w:val="de-DE"/>
        </w:rPr>
        <w:t>a</w:t>
      </w:r>
      <w:r w:rsidR="006978E3" w:rsidRPr="004815E2">
        <w:rPr>
          <w:lang w:val="de-DE"/>
        </w:rPr>
        <w:t>tz zur Regelung</w:t>
      </w:r>
      <w:r w:rsidR="00295994" w:rsidRPr="004815E2">
        <w:rPr>
          <w:lang w:val="de-DE"/>
        </w:rPr>
        <w:t xml:space="preserve"> </w:t>
      </w:r>
      <w:r w:rsidR="006978E3" w:rsidRPr="004815E2">
        <w:rPr>
          <w:lang w:val="de-DE"/>
        </w:rPr>
        <w:t xml:space="preserve">der Beförderung von Kohle durch den Straßenverkehr </w:t>
      </w:r>
      <w:r w:rsidR="00E71441" w:rsidRPr="004815E2">
        <w:rPr>
          <w:lang w:val="de-DE"/>
        </w:rPr>
        <w:t>vom</w:t>
      </w:r>
      <w:r w:rsidR="00B4382E" w:rsidRPr="004815E2">
        <w:rPr>
          <w:lang w:val="de-DE"/>
        </w:rPr>
        <w:t xml:space="preserve"> Ansatz</w:t>
      </w:r>
      <w:r w:rsidR="00E71441" w:rsidRPr="004815E2">
        <w:rPr>
          <w:lang w:val="de-DE"/>
        </w:rPr>
        <w:t xml:space="preserve"> </w:t>
      </w:r>
      <w:r w:rsidR="006978E3" w:rsidRPr="004815E2">
        <w:rPr>
          <w:lang w:val="de-DE"/>
        </w:rPr>
        <w:t xml:space="preserve">zur Regelung der Beförderung von Kohle durch den Schienenverkehr </w:t>
      </w:r>
      <w:r w:rsidR="0060518E" w:rsidRPr="004815E2">
        <w:rPr>
          <w:lang w:val="de-DE"/>
        </w:rPr>
        <w:t>abweicht</w:t>
      </w:r>
      <w:r w:rsidR="00545ABF" w:rsidRPr="004815E2">
        <w:rPr>
          <w:lang w:val="de-DE"/>
        </w:rPr>
        <w:t>.</w:t>
      </w:r>
      <w:r w:rsidRPr="004815E2">
        <w:rPr>
          <w:lang w:val="de-DE"/>
        </w:rPr>
        <w:t xml:space="preserve"> </w:t>
      </w:r>
      <w:r w:rsidR="005520DD" w:rsidRPr="004815E2">
        <w:rPr>
          <w:lang w:val="de-DE"/>
        </w:rPr>
        <w:t xml:space="preserve">Für den Straßenverkehr ist die Beförderung von Kohle, die </w:t>
      </w:r>
      <w:r w:rsidR="00152978" w:rsidRPr="004815E2">
        <w:rPr>
          <w:lang w:val="de-DE"/>
        </w:rPr>
        <w:t xml:space="preserve">den Kriterien der Klasse 4.2 Verpackungsgruppe III entspricht, </w:t>
      </w:r>
      <w:r w:rsidR="004A347A" w:rsidRPr="004815E2">
        <w:rPr>
          <w:lang w:val="de-DE"/>
        </w:rPr>
        <w:t xml:space="preserve">unabhängig von der Umschließungsart (Versandstück, </w:t>
      </w:r>
      <w:r w:rsidR="00801493" w:rsidRPr="004815E2">
        <w:rPr>
          <w:lang w:val="de-DE"/>
        </w:rPr>
        <w:t>lose Schüttung</w:t>
      </w:r>
      <w:r w:rsidR="004A347A" w:rsidRPr="004815E2">
        <w:rPr>
          <w:lang w:val="de-DE"/>
        </w:rPr>
        <w:t xml:space="preserve"> in Containern, </w:t>
      </w:r>
      <w:r w:rsidR="00801493" w:rsidRPr="004815E2">
        <w:rPr>
          <w:lang w:val="de-DE"/>
        </w:rPr>
        <w:t>lose Schüttung</w:t>
      </w:r>
      <w:r w:rsidR="004A347A" w:rsidRPr="004815E2">
        <w:rPr>
          <w:lang w:val="de-DE"/>
        </w:rPr>
        <w:t xml:space="preserve"> in Fahrzeugen) </w:t>
      </w:r>
      <w:r w:rsidR="00EF4356" w:rsidRPr="00250933">
        <w:rPr>
          <w:lang w:val="de-DE"/>
        </w:rPr>
        <w:t xml:space="preserve">vollständig </w:t>
      </w:r>
      <w:r w:rsidR="00F331F2" w:rsidRPr="00250933">
        <w:rPr>
          <w:lang w:val="de-DE"/>
        </w:rPr>
        <w:t>befreit</w:t>
      </w:r>
      <w:r w:rsidR="00EF4356" w:rsidRPr="00250933">
        <w:rPr>
          <w:lang w:val="de-DE"/>
        </w:rPr>
        <w:t>.</w:t>
      </w:r>
    </w:p>
    <w:p w:rsidR="00082096" w:rsidRPr="004815E2" w:rsidRDefault="008055D3" w:rsidP="00FE3426">
      <w:pPr>
        <w:pStyle w:val="SingleTxtG"/>
        <w:rPr>
          <w:lang w:val="de-DE"/>
        </w:rPr>
      </w:pPr>
      <w:r w:rsidRPr="00250933">
        <w:rPr>
          <w:lang w:val="de-DE"/>
        </w:rPr>
        <w:t xml:space="preserve">Für den Schienenverkehr ist die Beförderung von Kohle, </w:t>
      </w:r>
      <w:r w:rsidR="000B4855" w:rsidRPr="00250933">
        <w:rPr>
          <w:lang w:val="de-DE"/>
        </w:rPr>
        <w:t xml:space="preserve">die den Kriterien der Klasse 4.2 Verpackungsgruppe III entspricht, </w:t>
      </w:r>
      <w:r w:rsidR="00F331F2" w:rsidRPr="00250933">
        <w:rPr>
          <w:lang w:val="de-DE"/>
        </w:rPr>
        <w:t xml:space="preserve">teilweise befreit, </w:t>
      </w:r>
      <w:r w:rsidR="00A53FDB" w:rsidRPr="00250933">
        <w:rPr>
          <w:lang w:val="de-DE"/>
        </w:rPr>
        <w:t>und</w:t>
      </w:r>
      <w:r w:rsidR="00FE3426" w:rsidRPr="00250933">
        <w:rPr>
          <w:lang w:val="de-DE"/>
        </w:rPr>
        <w:t xml:space="preserve"> dies</w:t>
      </w:r>
      <w:r w:rsidR="00A53FDB" w:rsidRPr="00250933">
        <w:rPr>
          <w:lang w:val="de-DE"/>
        </w:rPr>
        <w:t xml:space="preserve"> </w:t>
      </w:r>
      <w:r w:rsidR="00FE3426" w:rsidRPr="00250933">
        <w:rPr>
          <w:lang w:val="de-DE"/>
        </w:rPr>
        <w:t>nur</w:t>
      </w:r>
      <w:r w:rsidR="00A53FDB" w:rsidRPr="00250933">
        <w:rPr>
          <w:lang w:val="de-DE"/>
        </w:rPr>
        <w:t>,</w:t>
      </w:r>
      <w:r w:rsidR="00A53FDB" w:rsidRPr="004815E2">
        <w:rPr>
          <w:lang w:val="de-DE"/>
        </w:rPr>
        <w:t xml:space="preserve"> </w:t>
      </w:r>
      <w:r w:rsidR="00A648FC" w:rsidRPr="004815E2">
        <w:rPr>
          <w:lang w:val="de-DE"/>
        </w:rPr>
        <w:t>wenn sie</w:t>
      </w:r>
      <w:r w:rsidR="00801493" w:rsidRPr="004815E2">
        <w:rPr>
          <w:lang w:val="de-DE"/>
        </w:rPr>
        <w:t xml:space="preserve"> in loser Schüttung in </w:t>
      </w:r>
      <w:r w:rsidR="00F425C7" w:rsidRPr="004815E2">
        <w:rPr>
          <w:lang w:val="de-DE"/>
        </w:rPr>
        <w:t>W</w:t>
      </w:r>
      <w:r w:rsidR="00801493" w:rsidRPr="004815E2">
        <w:rPr>
          <w:lang w:val="de-DE"/>
        </w:rPr>
        <w:t>agen</w:t>
      </w:r>
      <w:r w:rsidR="00A648FC" w:rsidRPr="004815E2">
        <w:rPr>
          <w:lang w:val="de-DE"/>
        </w:rPr>
        <w:t xml:space="preserve"> oder Containern erfolgt</w:t>
      </w:r>
      <w:r w:rsidR="00801493" w:rsidRPr="004815E2">
        <w:rPr>
          <w:lang w:val="de-DE"/>
        </w:rPr>
        <w:t>.</w:t>
      </w:r>
    </w:p>
    <w:p w:rsidR="00982267" w:rsidRPr="004815E2" w:rsidRDefault="00982267" w:rsidP="00D859D2">
      <w:pPr>
        <w:pStyle w:val="SingleTxtG"/>
        <w:rPr>
          <w:lang w:val="de-DE"/>
        </w:rPr>
      </w:pPr>
      <w:r w:rsidRPr="004815E2">
        <w:rPr>
          <w:lang w:val="de-DE"/>
        </w:rPr>
        <w:lastRenderedPageBreak/>
        <w:t>4.</w:t>
      </w:r>
      <w:r w:rsidRPr="004815E2">
        <w:rPr>
          <w:lang w:val="de-DE"/>
        </w:rPr>
        <w:tab/>
      </w:r>
      <w:r w:rsidR="004F5C2B" w:rsidRPr="004815E2">
        <w:rPr>
          <w:lang w:val="de-DE"/>
        </w:rPr>
        <w:t>Im Hinblick auf</w:t>
      </w:r>
      <w:r w:rsidR="00477498" w:rsidRPr="004815E2">
        <w:rPr>
          <w:lang w:val="de-DE"/>
        </w:rPr>
        <w:t xml:space="preserve"> das </w:t>
      </w:r>
      <w:r w:rsidR="00A53FDB" w:rsidRPr="004815E2">
        <w:rPr>
          <w:lang w:val="de-DE"/>
        </w:rPr>
        <w:t xml:space="preserve">ADN </w:t>
      </w:r>
      <w:r w:rsidR="004F5C2B" w:rsidRPr="004815E2">
        <w:rPr>
          <w:lang w:val="de-DE"/>
        </w:rPr>
        <w:t>wurde</w:t>
      </w:r>
      <w:r w:rsidR="00A53FDB" w:rsidRPr="004815E2">
        <w:rPr>
          <w:lang w:val="de-DE"/>
        </w:rPr>
        <w:t xml:space="preserve"> </w:t>
      </w:r>
      <w:r w:rsidR="00E005B5" w:rsidRPr="004815E2">
        <w:rPr>
          <w:lang w:val="de-DE"/>
        </w:rPr>
        <w:t xml:space="preserve">dem Sicherheitsausschuss </w:t>
      </w:r>
      <w:r w:rsidR="00A53FDB" w:rsidRPr="004815E2">
        <w:rPr>
          <w:lang w:val="de-DE"/>
        </w:rPr>
        <w:t xml:space="preserve">die Entscheidung der Arbeitsgruppe „Beförderung gefährlicher Güter“ (WP.15) in einem </w:t>
      </w:r>
      <w:r w:rsidR="004F5C2B" w:rsidRPr="004815E2">
        <w:rPr>
          <w:lang w:val="de-DE"/>
        </w:rPr>
        <w:t>Sekretariatsd</w:t>
      </w:r>
      <w:r w:rsidR="00A53FDB" w:rsidRPr="004815E2">
        <w:rPr>
          <w:lang w:val="de-DE"/>
        </w:rPr>
        <w:t xml:space="preserve">okument, das </w:t>
      </w:r>
      <w:r w:rsidR="00FE3426" w:rsidRPr="00250933">
        <w:rPr>
          <w:lang w:val="de-DE"/>
        </w:rPr>
        <w:t>allgemein</w:t>
      </w:r>
      <w:r w:rsidR="00A53FDB" w:rsidRPr="00250933">
        <w:rPr>
          <w:lang w:val="de-DE"/>
        </w:rPr>
        <w:t xml:space="preserve"> </w:t>
      </w:r>
      <w:r w:rsidR="00B12111" w:rsidRPr="00250933">
        <w:rPr>
          <w:lang w:val="de-DE"/>
        </w:rPr>
        <w:t>zur Harmonisierung gedacht</w:t>
      </w:r>
      <w:r w:rsidR="00B12111" w:rsidRPr="004815E2">
        <w:rPr>
          <w:lang w:val="de-DE"/>
        </w:rPr>
        <w:t xml:space="preserve"> war</w:t>
      </w:r>
      <w:r w:rsidR="00A53FDB" w:rsidRPr="004815E2">
        <w:rPr>
          <w:lang w:val="de-DE"/>
        </w:rPr>
        <w:t xml:space="preserve"> (ECE/TRANS/WP.15/AC.2/2016/28)</w:t>
      </w:r>
      <w:r w:rsidR="00B12111" w:rsidRPr="004815E2">
        <w:rPr>
          <w:lang w:val="de-DE"/>
        </w:rPr>
        <w:t>,</w:t>
      </w:r>
      <w:r w:rsidR="00A53FDB" w:rsidRPr="004815E2">
        <w:rPr>
          <w:lang w:val="de-DE"/>
        </w:rPr>
        <w:t xml:space="preserve"> zur Kenntnis</w:t>
      </w:r>
      <w:r w:rsidR="004F5C2B" w:rsidRPr="004815E2">
        <w:rPr>
          <w:lang w:val="de-DE"/>
        </w:rPr>
        <w:t xml:space="preserve"> gebracht</w:t>
      </w:r>
      <w:r w:rsidR="00A53FDB" w:rsidRPr="004815E2">
        <w:rPr>
          <w:lang w:val="de-DE"/>
        </w:rPr>
        <w:t>.</w:t>
      </w:r>
      <w:r w:rsidRPr="004815E2">
        <w:rPr>
          <w:lang w:val="de-DE"/>
        </w:rPr>
        <w:t xml:space="preserve"> </w:t>
      </w:r>
    </w:p>
    <w:p w:rsidR="00982267" w:rsidRPr="004815E2" w:rsidRDefault="00E005B5" w:rsidP="0021278D">
      <w:pPr>
        <w:pStyle w:val="SingleTxtG"/>
        <w:rPr>
          <w:lang w:val="de-DE"/>
        </w:rPr>
      </w:pPr>
      <w:r w:rsidRPr="004815E2">
        <w:rPr>
          <w:lang w:val="de-DE"/>
        </w:rPr>
        <w:t xml:space="preserve">Der Sicherheitsausschuss </w:t>
      </w:r>
      <w:r w:rsidR="00480AD1" w:rsidRPr="004815E2">
        <w:rPr>
          <w:lang w:val="de-DE"/>
        </w:rPr>
        <w:t>nahm für das ADN die gleiche Sondervorschrift a</w:t>
      </w:r>
      <w:r w:rsidR="00C26529" w:rsidRPr="004815E2">
        <w:rPr>
          <w:lang w:val="de-DE"/>
        </w:rPr>
        <w:t>n,</w:t>
      </w:r>
      <w:r w:rsidR="00480AD1" w:rsidRPr="004815E2">
        <w:rPr>
          <w:lang w:val="de-DE"/>
        </w:rPr>
        <w:t xml:space="preserve"> </w:t>
      </w:r>
      <w:r w:rsidR="00C26529" w:rsidRPr="004815E2">
        <w:rPr>
          <w:lang w:val="de-DE"/>
        </w:rPr>
        <w:t>allerdings</w:t>
      </w:r>
      <w:r w:rsidR="00480AD1" w:rsidRPr="004815E2">
        <w:rPr>
          <w:lang w:val="de-DE"/>
        </w:rPr>
        <w:t xml:space="preserve"> hatte das Sekretariat übersehen, dass es bereits eine Sonderv</w:t>
      </w:r>
      <w:r w:rsidR="004F5C2B" w:rsidRPr="004815E2">
        <w:rPr>
          <w:lang w:val="de-DE"/>
        </w:rPr>
        <w:t>orschrift 803 gi</w:t>
      </w:r>
      <w:r w:rsidR="00480AD1" w:rsidRPr="004815E2">
        <w:rPr>
          <w:lang w:val="de-DE"/>
        </w:rPr>
        <w:t>b</w:t>
      </w:r>
      <w:r w:rsidR="004F5C2B" w:rsidRPr="004815E2">
        <w:rPr>
          <w:lang w:val="de-DE"/>
        </w:rPr>
        <w:t>t</w:t>
      </w:r>
      <w:r w:rsidR="00480AD1" w:rsidRPr="004815E2">
        <w:rPr>
          <w:lang w:val="de-DE"/>
        </w:rPr>
        <w:t xml:space="preserve">. Infolgedessen besteht </w:t>
      </w:r>
      <w:r w:rsidR="00C26529" w:rsidRPr="004815E2">
        <w:rPr>
          <w:lang w:val="de-DE"/>
        </w:rPr>
        <w:t xml:space="preserve">nun </w:t>
      </w:r>
      <w:r w:rsidR="00480AD1" w:rsidRPr="004815E2">
        <w:rPr>
          <w:lang w:val="de-DE"/>
        </w:rPr>
        <w:t xml:space="preserve">zwischen Vorschrift 665, </w:t>
      </w:r>
      <w:r w:rsidR="00C26529" w:rsidRPr="004815E2">
        <w:rPr>
          <w:lang w:val="de-DE"/>
        </w:rPr>
        <w:t>wonach</w:t>
      </w:r>
      <w:r w:rsidR="00480AD1" w:rsidRPr="004815E2">
        <w:rPr>
          <w:lang w:val="de-DE"/>
        </w:rPr>
        <w:t xml:space="preserve"> d</w:t>
      </w:r>
      <w:r w:rsidR="00C26529" w:rsidRPr="004815E2">
        <w:rPr>
          <w:lang w:val="de-DE"/>
        </w:rPr>
        <w:t>i</w:t>
      </w:r>
      <w:r w:rsidR="00480AD1" w:rsidRPr="004815E2">
        <w:rPr>
          <w:lang w:val="de-DE"/>
        </w:rPr>
        <w:t xml:space="preserve">e Beförderung von Kohle, die den Kriterien der Klasse 4.2 Verpackungsgruppe III entspricht, </w:t>
      </w:r>
      <w:r w:rsidR="00C26529" w:rsidRPr="004815E2">
        <w:rPr>
          <w:lang w:val="de-DE"/>
        </w:rPr>
        <w:t xml:space="preserve">vollständig befreit ist, </w:t>
      </w:r>
      <w:r w:rsidR="00480AD1" w:rsidRPr="004815E2">
        <w:rPr>
          <w:lang w:val="de-DE"/>
        </w:rPr>
        <w:t xml:space="preserve">und der Sondervorschrift 803, </w:t>
      </w:r>
      <w:r w:rsidR="00165EE0" w:rsidRPr="004815E2">
        <w:rPr>
          <w:lang w:val="de-DE"/>
        </w:rPr>
        <w:t xml:space="preserve">welche </w:t>
      </w:r>
      <w:r w:rsidR="00480AD1" w:rsidRPr="004815E2">
        <w:rPr>
          <w:lang w:val="de-DE"/>
        </w:rPr>
        <w:t xml:space="preserve">die Bedingungen für die Beförderung von </w:t>
      </w:r>
      <w:r w:rsidR="00D859D2" w:rsidRPr="004815E2">
        <w:rPr>
          <w:lang w:val="de-DE"/>
        </w:rPr>
        <w:t xml:space="preserve">den Kriterien der Klasse 4.2 Verpackungsgruppe III entsprechender </w:t>
      </w:r>
      <w:r w:rsidR="00480AD1" w:rsidRPr="004815E2">
        <w:rPr>
          <w:lang w:val="de-DE"/>
        </w:rPr>
        <w:t xml:space="preserve">Kohle </w:t>
      </w:r>
      <w:r w:rsidR="00595219" w:rsidRPr="004815E2">
        <w:rPr>
          <w:lang w:val="de-DE"/>
        </w:rPr>
        <w:t xml:space="preserve">in loser Schüttung </w:t>
      </w:r>
      <w:r w:rsidR="00165EE0" w:rsidRPr="004815E2">
        <w:rPr>
          <w:lang w:val="de-DE"/>
        </w:rPr>
        <w:t>regelt</w:t>
      </w:r>
      <w:r w:rsidR="00480AD1" w:rsidRPr="004815E2">
        <w:rPr>
          <w:lang w:val="de-DE"/>
        </w:rPr>
        <w:t>, ein Widerspruch.</w:t>
      </w:r>
      <w:r w:rsidR="000E1312" w:rsidRPr="004815E2">
        <w:rPr>
          <w:lang w:val="de-DE"/>
        </w:rPr>
        <w:t xml:space="preserve"> </w:t>
      </w:r>
    </w:p>
    <w:p w:rsidR="000E1312" w:rsidRPr="004815E2" w:rsidRDefault="0027065A" w:rsidP="0021278D">
      <w:pPr>
        <w:pStyle w:val="SingleTxtG"/>
        <w:rPr>
          <w:lang w:val="de-DE"/>
        </w:rPr>
      </w:pPr>
      <w:r w:rsidRPr="004815E2">
        <w:rPr>
          <w:lang w:val="de-DE"/>
        </w:rPr>
        <w:t>Auch die Tatsache, dass die Sondervorschrift 665 des RID von der Sondervorschrift 665 des ADR abweicht, wurde übersehen.</w:t>
      </w:r>
    </w:p>
    <w:p w:rsidR="000E1312" w:rsidRPr="004815E2" w:rsidRDefault="000E1312" w:rsidP="0021278D">
      <w:pPr>
        <w:pStyle w:val="SingleTxtG"/>
        <w:rPr>
          <w:lang w:val="de-DE"/>
        </w:rPr>
      </w:pPr>
      <w:r w:rsidRPr="004815E2">
        <w:rPr>
          <w:lang w:val="de-DE"/>
        </w:rPr>
        <w:t>5.</w:t>
      </w:r>
      <w:r w:rsidRPr="004815E2">
        <w:rPr>
          <w:lang w:val="de-DE"/>
        </w:rPr>
        <w:tab/>
      </w:r>
      <w:r w:rsidR="003F771C" w:rsidRPr="004815E2">
        <w:rPr>
          <w:lang w:val="de-DE"/>
        </w:rPr>
        <w:t>Zum gegenwärtigen Zeitpunkt ist d</w:t>
      </w:r>
      <w:r w:rsidR="009955C3" w:rsidRPr="004815E2">
        <w:rPr>
          <w:lang w:val="de-DE"/>
        </w:rPr>
        <w:t xml:space="preserve">as Sekretariat </w:t>
      </w:r>
      <w:r w:rsidR="003F771C" w:rsidRPr="004815E2">
        <w:rPr>
          <w:lang w:val="de-DE"/>
        </w:rPr>
        <w:t>der Ansicht, dass</w:t>
      </w:r>
      <w:r w:rsidR="009955C3" w:rsidRPr="004815E2">
        <w:rPr>
          <w:lang w:val="de-DE"/>
        </w:rPr>
        <w:t xml:space="preserve"> de</w:t>
      </w:r>
      <w:r w:rsidR="003F771C" w:rsidRPr="004815E2">
        <w:rPr>
          <w:lang w:val="de-DE"/>
        </w:rPr>
        <w:t>r</w:t>
      </w:r>
      <w:r w:rsidR="009955C3" w:rsidRPr="004815E2">
        <w:rPr>
          <w:lang w:val="de-DE"/>
        </w:rPr>
        <w:t xml:space="preserve"> Wortlaut der Sondervorschrift 665 des ADN </w:t>
      </w:r>
      <w:r w:rsidR="003F771C" w:rsidRPr="004815E2">
        <w:rPr>
          <w:lang w:val="de-DE"/>
        </w:rPr>
        <w:t>korrigiert werden sollte</w:t>
      </w:r>
      <w:r w:rsidR="009955C3" w:rsidRPr="004815E2">
        <w:rPr>
          <w:lang w:val="de-DE"/>
        </w:rPr>
        <w:t xml:space="preserve">, </w:t>
      </w:r>
      <w:r w:rsidR="009955C3" w:rsidRPr="00250933">
        <w:rPr>
          <w:lang w:val="de-DE"/>
        </w:rPr>
        <w:t>um eine Unstimmigkeit</w:t>
      </w:r>
      <w:r w:rsidR="009955C3" w:rsidRPr="004815E2">
        <w:rPr>
          <w:lang w:val="de-DE"/>
        </w:rPr>
        <w:t xml:space="preserve"> mit der Sondervorschrift 803 zu vermeiden, </w:t>
      </w:r>
      <w:r w:rsidR="00D050FB" w:rsidRPr="004815E2">
        <w:rPr>
          <w:lang w:val="de-DE"/>
        </w:rPr>
        <w:t xml:space="preserve">indem </w:t>
      </w:r>
      <w:r w:rsidR="009955C3" w:rsidRPr="004815E2">
        <w:rPr>
          <w:lang w:val="de-DE"/>
        </w:rPr>
        <w:t>z. B. am Satz</w:t>
      </w:r>
      <w:r w:rsidR="00426D58" w:rsidRPr="004815E2">
        <w:rPr>
          <w:lang w:val="de-DE"/>
        </w:rPr>
        <w:t>ende folgende Wortfolge angefügt wird</w:t>
      </w:r>
      <w:r w:rsidR="009955C3" w:rsidRPr="004815E2">
        <w:rPr>
          <w:lang w:val="de-DE"/>
        </w:rPr>
        <w:t>:</w:t>
      </w:r>
    </w:p>
    <w:p w:rsidR="000E1312" w:rsidRPr="004815E2" w:rsidRDefault="004815E2" w:rsidP="003F771C">
      <w:pPr>
        <w:pStyle w:val="SingleTxtG"/>
        <w:rPr>
          <w:lang w:val="de-DE"/>
        </w:rPr>
      </w:pPr>
      <w:r w:rsidRPr="004815E2">
        <w:rPr>
          <w:lang w:val="de-DE"/>
        </w:rPr>
        <w:t xml:space="preserve"> </w:t>
      </w:r>
      <w:r w:rsidR="009955C3" w:rsidRPr="004815E2">
        <w:rPr>
          <w:lang w:val="de-DE"/>
        </w:rPr>
        <w:t>„</w:t>
      </w:r>
      <w:r w:rsidR="00A82024" w:rsidRPr="004815E2">
        <w:rPr>
          <w:lang w:val="de-DE"/>
        </w:rPr>
        <w:t xml:space="preserve">…, </w:t>
      </w:r>
      <w:r w:rsidR="008122C1" w:rsidRPr="004815E2">
        <w:rPr>
          <w:lang w:val="de-DE"/>
        </w:rPr>
        <w:t>a</w:t>
      </w:r>
      <w:r w:rsidR="009955C3" w:rsidRPr="004815E2">
        <w:rPr>
          <w:lang w:val="de-DE"/>
        </w:rPr>
        <w:t xml:space="preserve">ußer </w:t>
      </w:r>
      <w:r w:rsidR="00A82024" w:rsidRPr="004815E2">
        <w:rPr>
          <w:lang w:val="de-DE"/>
        </w:rPr>
        <w:t>im Falle</w:t>
      </w:r>
      <w:r w:rsidR="009955C3" w:rsidRPr="004815E2">
        <w:rPr>
          <w:lang w:val="de-DE"/>
        </w:rPr>
        <w:t xml:space="preserve"> der Beförderung in loser Schüttung</w:t>
      </w:r>
      <w:r w:rsidR="009955C3" w:rsidRPr="004815E2">
        <w:rPr>
          <w:rFonts w:ascii="Arial" w:hAnsi="Arial" w:cs="Arial"/>
          <w:lang w:val="de-DE"/>
        </w:rPr>
        <w:t>“</w:t>
      </w:r>
      <w:r w:rsidR="00250933">
        <w:rPr>
          <w:rFonts w:ascii="Arial" w:hAnsi="Arial" w:cs="Arial"/>
          <w:lang w:val="de-DE"/>
        </w:rPr>
        <w:t>.</w:t>
      </w:r>
    </w:p>
    <w:p w:rsidR="00550DEF" w:rsidRPr="004815E2" w:rsidRDefault="000E1312" w:rsidP="00F278EC">
      <w:pPr>
        <w:pStyle w:val="SingleTxtG"/>
        <w:rPr>
          <w:lang w:val="de-DE"/>
        </w:rPr>
      </w:pPr>
      <w:r w:rsidRPr="004815E2">
        <w:rPr>
          <w:lang w:val="de-DE"/>
        </w:rPr>
        <w:t>6.</w:t>
      </w:r>
      <w:r w:rsidRPr="004815E2">
        <w:rPr>
          <w:lang w:val="de-DE"/>
        </w:rPr>
        <w:tab/>
      </w:r>
      <w:r w:rsidR="00D050FB" w:rsidRPr="004815E2">
        <w:rPr>
          <w:lang w:val="de-DE"/>
        </w:rPr>
        <w:t xml:space="preserve">Auf längere Sicht (Änderungen 2019) könnte der Sicherheitsausschuss überlegen, wie </w:t>
      </w:r>
      <w:r w:rsidR="00A06DF4" w:rsidRPr="004815E2">
        <w:rPr>
          <w:lang w:val="de-DE"/>
        </w:rPr>
        <w:t xml:space="preserve">mit </w:t>
      </w:r>
      <w:r w:rsidR="00D050FB" w:rsidRPr="004815E2">
        <w:rPr>
          <w:lang w:val="de-DE"/>
        </w:rPr>
        <w:t xml:space="preserve">Kohle, die den Kriterien der Klasse 4.2 Verpackungsgruppe III </w:t>
      </w:r>
      <w:r w:rsidR="00D050FB" w:rsidRPr="00250933">
        <w:rPr>
          <w:lang w:val="de-DE"/>
        </w:rPr>
        <w:t>entspricht</w:t>
      </w:r>
      <w:r w:rsidR="00D41B07" w:rsidRPr="00250933">
        <w:rPr>
          <w:lang w:val="de-DE"/>
        </w:rPr>
        <w:t xml:space="preserve"> und</w:t>
      </w:r>
      <w:r w:rsidR="00D050FB" w:rsidRPr="00250933">
        <w:rPr>
          <w:lang w:val="de-DE"/>
        </w:rPr>
        <w:t xml:space="preserve"> </w:t>
      </w:r>
      <w:r w:rsidR="00D41B07" w:rsidRPr="00250933">
        <w:rPr>
          <w:lang w:val="de-DE"/>
        </w:rPr>
        <w:t>d</w:t>
      </w:r>
      <w:r w:rsidR="00A06DF4" w:rsidRPr="00250933">
        <w:rPr>
          <w:lang w:val="de-DE"/>
        </w:rPr>
        <w:t>ie</w:t>
      </w:r>
      <w:r w:rsidR="00A06DF4" w:rsidRPr="004815E2">
        <w:rPr>
          <w:lang w:val="de-DE"/>
        </w:rPr>
        <w:t xml:space="preserve"> in Versandstücken in Fahrzeuge, Wagen oder Container oder in loser Schüttung in Fahrzeuge, Wagen oder Container geladen wird, zu verfahren ist.</w:t>
      </w:r>
      <w:r w:rsidR="00AF27E3" w:rsidRPr="004815E2">
        <w:rPr>
          <w:lang w:val="de-DE"/>
        </w:rPr>
        <w:t xml:space="preserve"> </w:t>
      </w:r>
    </w:p>
    <w:p w:rsidR="00A81985" w:rsidRPr="00385F58" w:rsidRDefault="00385F58" w:rsidP="00D2078A">
      <w:pPr>
        <w:spacing w:before="120"/>
        <w:jc w:val="center"/>
        <w:rPr>
          <w:lang w:val="de-DE"/>
        </w:rPr>
      </w:pPr>
      <w:r w:rsidRPr="00385F58">
        <w:rPr>
          <w:lang w:val="de-DE"/>
        </w:rPr>
        <w:t>***</w:t>
      </w:r>
    </w:p>
    <w:sectPr w:rsidR="00A81985" w:rsidRPr="00385F58" w:rsidSect="00FB06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2A" w:rsidRPr="00FB1744" w:rsidRDefault="0038012A" w:rsidP="00FB1744">
      <w:pPr>
        <w:pStyle w:val="Footer"/>
      </w:pPr>
    </w:p>
  </w:endnote>
  <w:endnote w:type="continuationSeparator" w:id="0">
    <w:p w:rsidR="0038012A" w:rsidRPr="00FB1744" w:rsidRDefault="0038012A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FF" w:rsidRPr="003D5BD0" w:rsidRDefault="00A54FFF" w:rsidP="00A54FFF">
    <w:pPr>
      <w:spacing w:line="240" w:lineRule="auto"/>
      <w:jc w:val="right"/>
      <w:rPr>
        <w:lang w:val="fr-FR"/>
      </w:rPr>
    </w:pPr>
    <w:r w:rsidRPr="003D5BD0">
      <w:rPr>
        <w:rFonts w:ascii="Arial" w:hAnsi="Arial"/>
        <w:noProof/>
        <w:sz w:val="12"/>
        <w:szCs w:val="24"/>
        <w:lang w:val="fr-FR" w:eastAsia="fr-FR"/>
      </w:rPr>
      <w:t>mm_ba/adn_wp15_ac2_2017_9de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D0" w:rsidRPr="003D5BD0" w:rsidRDefault="003D5BD0" w:rsidP="005872D0">
    <w:pPr>
      <w:spacing w:line="240" w:lineRule="auto"/>
      <w:jc w:val="right"/>
      <w:rPr>
        <w:lang w:val="fr-FR"/>
      </w:rPr>
    </w:pPr>
    <w:r w:rsidRPr="003D5BD0">
      <w:rPr>
        <w:rFonts w:ascii="Arial" w:hAnsi="Arial"/>
        <w:noProof/>
        <w:sz w:val="12"/>
        <w:szCs w:val="24"/>
        <w:lang w:val="fr-FR" w:eastAsia="fr-FR"/>
      </w:rPr>
      <w:t>mm_ba/adn_wp15_ac2_2017_9de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84" w:rsidRPr="00D2078A" w:rsidRDefault="00564284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2A" w:rsidRPr="00FB1744" w:rsidRDefault="0038012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8012A" w:rsidRPr="00FB1744" w:rsidRDefault="0038012A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564284" w:rsidRPr="00385F58" w:rsidRDefault="00564284" w:rsidP="005B283C">
      <w:pPr>
        <w:pStyle w:val="FootnoteText"/>
        <w:rPr>
          <w:lang w:val="de-DE"/>
        </w:rPr>
      </w:pPr>
      <w:r>
        <w:tab/>
      </w:r>
      <w:r w:rsidRPr="00385F58">
        <w:rPr>
          <w:rStyle w:val="FootnoteReference"/>
          <w:lang w:val="de-DE"/>
        </w:rPr>
        <w:t>*</w:t>
      </w:r>
      <w:r w:rsidRPr="00385F58">
        <w:rPr>
          <w:lang w:val="de-DE"/>
        </w:rPr>
        <w:t xml:space="preserve"> </w:t>
      </w:r>
      <w:r w:rsidRPr="00385F58">
        <w:rPr>
          <w:lang w:val="de-DE"/>
        </w:rPr>
        <w:tab/>
      </w:r>
      <w:r w:rsidRPr="00910339">
        <w:rPr>
          <w:lang w:val="de-DE"/>
        </w:rPr>
        <w:t xml:space="preserve">Von der UN-ECE in Englisch, Französisch und Russisch unter dem Aktenzeichen </w:t>
      </w:r>
      <w:r w:rsidR="00385F58">
        <w:rPr>
          <w:lang w:val="de-DE"/>
        </w:rPr>
        <w:t>ECE</w:t>
      </w:r>
      <w:r w:rsidRPr="00910339">
        <w:rPr>
          <w:lang w:val="de-DE"/>
        </w:rPr>
        <w:t>/</w:t>
      </w:r>
      <w:r w:rsidR="00CE098E">
        <w:rPr>
          <w:lang w:val="de-DE"/>
        </w:rPr>
        <w:t>TRANS</w:t>
      </w:r>
      <w:r w:rsidRPr="00910339">
        <w:rPr>
          <w:lang w:val="de-DE"/>
        </w:rPr>
        <w:t>/WP.15/AC.2/2017/</w:t>
      </w:r>
      <w:r>
        <w:rPr>
          <w:lang w:val="de-DE"/>
        </w:rPr>
        <w:t>9</w:t>
      </w:r>
      <w:r w:rsidRPr="00910339">
        <w:rPr>
          <w:lang w:val="de-DE"/>
        </w:rPr>
        <w:t xml:space="preserve"> verteilt.</w:t>
      </w:r>
    </w:p>
  </w:footnote>
  <w:footnote w:id="2">
    <w:p w:rsidR="00564284" w:rsidRPr="00385F58" w:rsidRDefault="00564284" w:rsidP="005B283C">
      <w:pPr>
        <w:pStyle w:val="FootnoteText"/>
        <w:rPr>
          <w:lang w:val="de-DE"/>
        </w:rPr>
      </w:pPr>
      <w:r w:rsidRPr="00385F58">
        <w:rPr>
          <w:lang w:val="de-DE"/>
        </w:rPr>
        <w:tab/>
      </w:r>
      <w:r w:rsidRPr="00385F58">
        <w:rPr>
          <w:rStyle w:val="FootnoteReference"/>
          <w:lang w:val="de-DE"/>
        </w:rPr>
        <w:t>**</w:t>
      </w:r>
      <w:r w:rsidRPr="00385F58">
        <w:rPr>
          <w:lang w:val="de-DE"/>
        </w:rPr>
        <w:t xml:space="preserve"> </w:t>
      </w:r>
      <w:r w:rsidRPr="00385F58">
        <w:rPr>
          <w:lang w:val="de-DE"/>
        </w:rPr>
        <w:tab/>
      </w:r>
      <w:r w:rsidRPr="00910339">
        <w:rPr>
          <w:lang w:val="de-DE"/>
        </w:rPr>
        <w:t>Gemäß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8E" w:rsidRPr="00CE098E" w:rsidRDefault="00CE098E" w:rsidP="00CE098E">
    <w:pPr>
      <w:spacing w:line="240" w:lineRule="auto"/>
      <w:rPr>
        <w:rFonts w:ascii="Arial" w:hAnsi="Arial"/>
        <w:snapToGrid w:val="0"/>
        <w:sz w:val="16"/>
        <w:szCs w:val="16"/>
        <w:lang w:val="en-US" w:eastAsia="fr-FR"/>
      </w:rPr>
    </w:pPr>
    <w:r w:rsidRPr="00CE098E">
      <w:rPr>
        <w:rFonts w:ascii="Arial" w:hAnsi="Arial"/>
        <w:snapToGrid w:val="0"/>
        <w:sz w:val="16"/>
        <w:szCs w:val="16"/>
        <w:lang w:val="en-US" w:eastAsia="fr-FR"/>
      </w:rPr>
      <w:t>CCNR-ZKR/ADN/WP.15/AC.2/2017/</w:t>
    </w:r>
    <w:r>
      <w:rPr>
        <w:rFonts w:ascii="Arial" w:hAnsi="Arial"/>
        <w:snapToGrid w:val="0"/>
        <w:sz w:val="16"/>
        <w:szCs w:val="16"/>
        <w:lang w:val="en-US" w:eastAsia="fr-FR"/>
      </w:rPr>
      <w:t>9</w:t>
    </w:r>
  </w:p>
  <w:p w:rsidR="00564284" w:rsidRPr="00385F58" w:rsidRDefault="00CE098E" w:rsidP="00CE098E">
    <w:pPr>
      <w:pStyle w:val="Header"/>
      <w:pBdr>
        <w:bottom w:val="none" w:sz="0" w:space="0" w:color="auto"/>
      </w:pBdr>
    </w:pPr>
    <w:proofErr w:type="spellStart"/>
    <w:r w:rsidRPr="00CE098E">
      <w:rPr>
        <w:rFonts w:ascii="Arial" w:eastAsia="Times New Roman" w:hAnsi="Arial"/>
        <w:b w:val="0"/>
        <w:snapToGrid w:val="0"/>
        <w:sz w:val="16"/>
        <w:szCs w:val="16"/>
        <w:lang w:eastAsia="fr-FR"/>
      </w:rPr>
      <w:t>Seite</w:t>
    </w:r>
    <w:proofErr w:type="spellEnd"/>
    <w:r w:rsidRPr="00CE098E">
      <w:rPr>
        <w:rFonts w:ascii="Arial" w:eastAsia="Times New Roman" w:hAnsi="Arial"/>
        <w:b w:val="0"/>
        <w:snapToGrid w:val="0"/>
        <w:sz w:val="16"/>
        <w:szCs w:val="16"/>
        <w:lang w:eastAsia="fr-FR"/>
      </w:rPr>
      <w:t xml:space="preserve"> </w: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begin"/>
    </w:r>
    <w:r w:rsidRPr="00CE098E">
      <w:rPr>
        <w:rFonts w:ascii="Arial" w:eastAsia="Times New Roman" w:hAnsi="Arial"/>
        <w:b w:val="0"/>
        <w:snapToGrid w:val="0"/>
        <w:sz w:val="16"/>
        <w:szCs w:val="16"/>
        <w:lang w:eastAsia="fr-FR"/>
      </w:rPr>
      <w:instrText xml:space="preserve"> PAGE  \* MERGEFORMAT </w:instrTex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separate"/>
    </w:r>
    <w:r w:rsidR="009062D2" w:rsidRPr="009062D2">
      <w:rPr>
        <w:rFonts w:ascii="Arial" w:eastAsia="Times New Roman" w:hAnsi="Arial"/>
        <w:noProof/>
        <w:snapToGrid w:val="0"/>
        <w:sz w:val="16"/>
        <w:szCs w:val="16"/>
        <w:lang w:eastAsia="fr-FR"/>
      </w:rPr>
      <w:t>2</w: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D0" w:rsidRPr="003D5BD0" w:rsidRDefault="003D5BD0" w:rsidP="003D5BD0">
    <w:pPr>
      <w:spacing w:line="240" w:lineRule="auto"/>
      <w:jc w:val="right"/>
      <w:rPr>
        <w:rFonts w:ascii="Arial" w:hAnsi="Arial"/>
        <w:snapToGrid w:val="0"/>
        <w:sz w:val="16"/>
        <w:szCs w:val="16"/>
        <w:lang w:val="en-US" w:eastAsia="fr-FR"/>
      </w:rPr>
    </w:pPr>
    <w:r w:rsidRPr="003D5BD0">
      <w:rPr>
        <w:rFonts w:ascii="Arial" w:hAnsi="Arial"/>
        <w:snapToGrid w:val="0"/>
        <w:sz w:val="16"/>
        <w:szCs w:val="16"/>
        <w:lang w:val="en-US" w:eastAsia="fr-FR"/>
      </w:rPr>
      <w:t>CCNR-ZKR/ADN/WP.15/AC.2/2017/</w:t>
    </w:r>
    <w:r>
      <w:rPr>
        <w:rFonts w:ascii="Arial" w:hAnsi="Arial"/>
        <w:snapToGrid w:val="0"/>
        <w:sz w:val="16"/>
        <w:szCs w:val="16"/>
        <w:lang w:val="en-US" w:eastAsia="fr-FR"/>
      </w:rPr>
      <w:t>9</w:t>
    </w:r>
  </w:p>
  <w:p w:rsidR="00564284" w:rsidRPr="00385F58" w:rsidRDefault="003D5BD0" w:rsidP="003D5BD0">
    <w:pPr>
      <w:pStyle w:val="Header"/>
      <w:pBdr>
        <w:bottom w:val="none" w:sz="0" w:space="0" w:color="auto"/>
      </w:pBdr>
      <w:jc w:val="right"/>
    </w:pPr>
    <w:proofErr w:type="spellStart"/>
    <w:r w:rsidRPr="003D5BD0">
      <w:rPr>
        <w:rFonts w:ascii="Arial" w:eastAsia="Times New Roman" w:hAnsi="Arial"/>
        <w:b w:val="0"/>
        <w:snapToGrid w:val="0"/>
        <w:sz w:val="16"/>
        <w:szCs w:val="16"/>
        <w:lang w:eastAsia="fr-FR"/>
      </w:rPr>
      <w:t>Seite</w:t>
    </w:r>
    <w:proofErr w:type="spellEnd"/>
    <w:r w:rsidRPr="003D5BD0">
      <w:rPr>
        <w:rFonts w:ascii="Arial" w:eastAsia="Times New Roman" w:hAnsi="Arial"/>
        <w:b w:val="0"/>
        <w:snapToGrid w:val="0"/>
        <w:sz w:val="16"/>
        <w:szCs w:val="16"/>
        <w:lang w:eastAsia="fr-FR"/>
      </w:rPr>
      <w:t xml:space="preserve"> </w:t>
    </w:r>
    <w:r w:rsidRPr="003D5BD0">
      <w:rPr>
        <w:rFonts w:ascii="Arial" w:eastAsia="Times New Roman" w:hAnsi="Arial"/>
        <w:snapToGrid w:val="0"/>
        <w:sz w:val="16"/>
        <w:szCs w:val="16"/>
        <w:lang w:eastAsia="fr-FR"/>
      </w:rPr>
      <w:fldChar w:fldCharType="begin"/>
    </w:r>
    <w:r w:rsidRPr="003D5BD0">
      <w:rPr>
        <w:rFonts w:ascii="Arial" w:eastAsia="Times New Roman" w:hAnsi="Arial"/>
        <w:b w:val="0"/>
        <w:snapToGrid w:val="0"/>
        <w:sz w:val="16"/>
        <w:szCs w:val="16"/>
        <w:lang w:eastAsia="fr-FR"/>
      </w:rPr>
      <w:instrText xml:space="preserve"> PAGE  \* MERGEFORMAT </w:instrText>
    </w:r>
    <w:r w:rsidRPr="003D5BD0">
      <w:rPr>
        <w:rFonts w:ascii="Arial" w:eastAsia="Times New Roman" w:hAnsi="Arial"/>
        <w:snapToGrid w:val="0"/>
        <w:sz w:val="16"/>
        <w:szCs w:val="16"/>
        <w:lang w:eastAsia="fr-FR"/>
      </w:rPr>
      <w:fldChar w:fldCharType="separate"/>
    </w:r>
    <w:r w:rsidR="009062D2" w:rsidRPr="009062D2">
      <w:rPr>
        <w:rFonts w:ascii="Arial" w:eastAsia="Times New Roman" w:hAnsi="Arial"/>
        <w:noProof/>
        <w:snapToGrid w:val="0"/>
        <w:sz w:val="16"/>
        <w:szCs w:val="16"/>
        <w:lang w:eastAsia="fr-FR"/>
      </w:rPr>
      <w:t>3</w:t>
    </w:r>
    <w:r w:rsidRPr="003D5BD0">
      <w:rPr>
        <w:rFonts w:ascii="Arial" w:eastAsia="Times New Roman" w:hAnsi="Arial"/>
        <w:snapToGrid w:val="0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121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A1B17"/>
    <w:multiLevelType w:val="hybridMultilevel"/>
    <w:tmpl w:val="0C161DB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E5160BA"/>
    <w:multiLevelType w:val="hybridMultilevel"/>
    <w:tmpl w:val="1CA400E8"/>
    <w:lvl w:ilvl="0" w:tplc="853CD8F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5726C8"/>
    <w:multiLevelType w:val="hybridMultilevel"/>
    <w:tmpl w:val="44829922"/>
    <w:lvl w:ilvl="0" w:tplc="30626D4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46E92"/>
    <w:rsid w:val="000677CA"/>
    <w:rsid w:val="00082096"/>
    <w:rsid w:val="000B27CC"/>
    <w:rsid w:val="000B39B2"/>
    <w:rsid w:val="000B4855"/>
    <w:rsid w:val="000B4F2F"/>
    <w:rsid w:val="000B615C"/>
    <w:rsid w:val="000D2776"/>
    <w:rsid w:val="000E1312"/>
    <w:rsid w:val="001156AA"/>
    <w:rsid w:val="001170DC"/>
    <w:rsid w:val="00121520"/>
    <w:rsid w:val="001425AE"/>
    <w:rsid w:val="00152978"/>
    <w:rsid w:val="00165EE0"/>
    <w:rsid w:val="001D3FA6"/>
    <w:rsid w:val="001D6D04"/>
    <w:rsid w:val="00204EB5"/>
    <w:rsid w:val="0021278D"/>
    <w:rsid w:val="00247E2C"/>
    <w:rsid w:val="00250933"/>
    <w:rsid w:val="0027065A"/>
    <w:rsid w:val="0027095A"/>
    <w:rsid w:val="002741EC"/>
    <w:rsid w:val="002761F7"/>
    <w:rsid w:val="00295994"/>
    <w:rsid w:val="002D6C53"/>
    <w:rsid w:val="002F5595"/>
    <w:rsid w:val="00306DC0"/>
    <w:rsid w:val="003131E2"/>
    <w:rsid w:val="00334F6A"/>
    <w:rsid w:val="00342AC8"/>
    <w:rsid w:val="00352638"/>
    <w:rsid w:val="0038012A"/>
    <w:rsid w:val="00385F58"/>
    <w:rsid w:val="003B4550"/>
    <w:rsid w:val="003C1BF3"/>
    <w:rsid w:val="003D1A2B"/>
    <w:rsid w:val="003D5BD0"/>
    <w:rsid w:val="003F771C"/>
    <w:rsid w:val="00426D58"/>
    <w:rsid w:val="00452125"/>
    <w:rsid w:val="00461253"/>
    <w:rsid w:val="00464AD4"/>
    <w:rsid w:val="00466244"/>
    <w:rsid w:val="004671C1"/>
    <w:rsid w:val="00477498"/>
    <w:rsid w:val="00480AD1"/>
    <w:rsid w:val="004815E2"/>
    <w:rsid w:val="00491A68"/>
    <w:rsid w:val="004A347A"/>
    <w:rsid w:val="004F5C2B"/>
    <w:rsid w:val="005042C2"/>
    <w:rsid w:val="00545ABF"/>
    <w:rsid w:val="00550DEF"/>
    <w:rsid w:val="005520DD"/>
    <w:rsid w:val="00564284"/>
    <w:rsid w:val="005872D0"/>
    <w:rsid w:val="00595219"/>
    <w:rsid w:val="00595889"/>
    <w:rsid w:val="005A5F68"/>
    <w:rsid w:val="005A6120"/>
    <w:rsid w:val="005B283C"/>
    <w:rsid w:val="005B7347"/>
    <w:rsid w:val="005F3270"/>
    <w:rsid w:val="005F3F8A"/>
    <w:rsid w:val="005F4DAD"/>
    <w:rsid w:val="0060518E"/>
    <w:rsid w:val="00616531"/>
    <w:rsid w:val="00631881"/>
    <w:rsid w:val="006427AC"/>
    <w:rsid w:val="00650E1C"/>
    <w:rsid w:val="00671529"/>
    <w:rsid w:val="006823BC"/>
    <w:rsid w:val="00691DC5"/>
    <w:rsid w:val="006978E3"/>
    <w:rsid w:val="006B30A9"/>
    <w:rsid w:val="00717266"/>
    <w:rsid w:val="00723721"/>
    <w:rsid w:val="007268F9"/>
    <w:rsid w:val="0074103B"/>
    <w:rsid w:val="0075650F"/>
    <w:rsid w:val="0076276D"/>
    <w:rsid w:val="0077428D"/>
    <w:rsid w:val="0078253E"/>
    <w:rsid w:val="007C50EE"/>
    <w:rsid w:val="007C52B0"/>
    <w:rsid w:val="00801493"/>
    <w:rsid w:val="008055D3"/>
    <w:rsid w:val="008122C1"/>
    <w:rsid w:val="00847ADF"/>
    <w:rsid w:val="00894E1D"/>
    <w:rsid w:val="008A5781"/>
    <w:rsid w:val="008E5B74"/>
    <w:rsid w:val="009062D2"/>
    <w:rsid w:val="0093265D"/>
    <w:rsid w:val="009411B4"/>
    <w:rsid w:val="00956668"/>
    <w:rsid w:val="00982267"/>
    <w:rsid w:val="009955C3"/>
    <w:rsid w:val="009C7480"/>
    <w:rsid w:val="009D0139"/>
    <w:rsid w:val="009F2EB3"/>
    <w:rsid w:val="009F5CDC"/>
    <w:rsid w:val="00A06DF4"/>
    <w:rsid w:val="00A339BF"/>
    <w:rsid w:val="00A46D97"/>
    <w:rsid w:val="00A47C43"/>
    <w:rsid w:val="00A53FDB"/>
    <w:rsid w:val="00A54FFF"/>
    <w:rsid w:val="00A56FF3"/>
    <w:rsid w:val="00A648FC"/>
    <w:rsid w:val="00A775CF"/>
    <w:rsid w:val="00A81985"/>
    <w:rsid w:val="00A82024"/>
    <w:rsid w:val="00AB1300"/>
    <w:rsid w:val="00AB3C7E"/>
    <w:rsid w:val="00AC1C8A"/>
    <w:rsid w:val="00AC4D01"/>
    <w:rsid w:val="00AE4C38"/>
    <w:rsid w:val="00AE6641"/>
    <w:rsid w:val="00AF27E3"/>
    <w:rsid w:val="00B06045"/>
    <w:rsid w:val="00B12111"/>
    <w:rsid w:val="00B17E81"/>
    <w:rsid w:val="00B4382E"/>
    <w:rsid w:val="00B64A2E"/>
    <w:rsid w:val="00C0141B"/>
    <w:rsid w:val="00C01EC3"/>
    <w:rsid w:val="00C04418"/>
    <w:rsid w:val="00C04D33"/>
    <w:rsid w:val="00C125CF"/>
    <w:rsid w:val="00C22B4C"/>
    <w:rsid w:val="00C26529"/>
    <w:rsid w:val="00C32FBF"/>
    <w:rsid w:val="00C35A27"/>
    <w:rsid w:val="00C57AFC"/>
    <w:rsid w:val="00C63DF6"/>
    <w:rsid w:val="00C72375"/>
    <w:rsid w:val="00C72902"/>
    <w:rsid w:val="00C86B67"/>
    <w:rsid w:val="00C878FE"/>
    <w:rsid w:val="00C927B5"/>
    <w:rsid w:val="00CB01FA"/>
    <w:rsid w:val="00CE098E"/>
    <w:rsid w:val="00D04710"/>
    <w:rsid w:val="00D050FB"/>
    <w:rsid w:val="00D1081B"/>
    <w:rsid w:val="00D2078A"/>
    <w:rsid w:val="00D41B07"/>
    <w:rsid w:val="00D859D2"/>
    <w:rsid w:val="00DD045E"/>
    <w:rsid w:val="00DD6019"/>
    <w:rsid w:val="00E005B5"/>
    <w:rsid w:val="00E02C2B"/>
    <w:rsid w:val="00E16304"/>
    <w:rsid w:val="00E30429"/>
    <w:rsid w:val="00E45A43"/>
    <w:rsid w:val="00E71441"/>
    <w:rsid w:val="00EB223A"/>
    <w:rsid w:val="00ED25AA"/>
    <w:rsid w:val="00ED6C48"/>
    <w:rsid w:val="00EF4356"/>
    <w:rsid w:val="00F278EC"/>
    <w:rsid w:val="00F331F2"/>
    <w:rsid w:val="00F425C7"/>
    <w:rsid w:val="00F46705"/>
    <w:rsid w:val="00F65F5D"/>
    <w:rsid w:val="00F86A3A"/>
    <w:rsid w:val="00FB065E"/>
    <w:rsid w:val="00FB1744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31B06F-C0DE-446A-BBF5-03F1AB1C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AC1C8A"/>
    <w:pPr>
      <w:numPr>
        <w:numId w:val="1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B714-C68F-408D-8617-2FD6F5FE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1608944</vt:lpstr>
      <vt:lpstr>1608944</vt:lpstr>
      <vt:lpstr>1608944</vt:lpstr>
    </vt:vector>
  </TitlesOfParts>
  <Company>DCM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Lucille</cp:lastModifiedBy>
  <cp:revision>2</cp:revision>
  <cp:lastPrinted>2016-12-12T07:50:00Z</cp:lastPrinted>
  <dcterms:created xsi:type="dcterms:W3CDTF">2016-12-12T10:39:00Z</dcterms:created>
  <dcterms:modified xsi:type="dcterms:W3CDTF">2016-12-12T10:39:00Z</dcterms:modified>
</cp:coreProperties>
</file>