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F0" w:rsidRPr="00BE68B7" w:rsidRDefault="00E15DF0" w:rsidP="00E15DF0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2E0EE4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7D24BE11" wp14:editId="059C832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5A7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BE68B7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654B53">
        <w:rPr>
          <w:rFonts w:ascii="Arial" w:eastAsia="Arial" w:hAnsi="Arial" w:cs="Arial"/>
          <w:bCs/>
          <w:snapToGrid/>
          <w:szCs w:val="24"/>
          <w:lang w:val="en-US" w:eastAsia="de-DE"/>
        </w:rPr>
        <w:t>11</w:t>
      </w:r>
    </w:p>
    <w:p w:rsidR="00E15DF0" w:rsidRPr="002E0EE4" w:rsidRDefault="00E15DF0" w:rsidP="00E15DF0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E0EE4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15DF0" w:rsidRPr="002E0EE4" w:rsidRDefault="00654B53" w:rsidP="00E15DF0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9</w:t>
      </w:r>
      <w:r w:rsidR="009725A7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napToGrid/>
          <w:szCs w:val="24"/>
          <w:lang w:val="de-DE" w:eastAsia="de-DE"/>
        </w:rPr>
        <w:t>November</w:t>
      </w:r>
      <w:r w:rsidR="00E15DF0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 201</w:t>
      </w:r>
      <w:r w:rsidR="00E15DF0">
        <w:rPr>
          <w:rFonts w:ascii="Arial" w:eastAsia="Arial" w:hAnsi="Arial" w:cs="Arial"/>
          <w:snapToGrid/>
          <w:szCs w:val="24"/>
          <w:lang w:val="de-DE" w:eastAsia="de-DE"/>
        </w:rPr>
        <w:t>6</w:t>
      </w:r>
    </w:p>
    <w:p w:rsidR="00E15DF0" w:rsidRPr="002E0EE4" w:rsidRDefault="00E15DF0" w:rsidP="00E15DF0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Or. DEUTSCH</w:t>
      </w:r>
    </w:p>
    <w:p w:rsidR="00E15DF0" w:rsidRPr="002E0EE4" w:rsidRDefault="00E15DF0" w:rsidP="00E15DF0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15DF0" w:rsidRPr="002E0EE4" w:rsidRDefault="00E15DF0" w:rsidP="00E15DF0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E0EE4">
        <w:rPr>
          <w:rFonts w:ascii="Arial" w:hAnsi="Arial"/>
          <w:sz w:val="16"/>
          <w:szCs w:val="24"/>
          <w:lang w:val="de-DE"/>
        </w:rPr>
        <w:t>(</w:t>
      </w:r>
      <w:r w:rsidR="00B67FA2">
        <w:rPr>
          <w:rFonts w:ascii="Arial" w:hAnsi="Arial"/>
          <w:sz w:val="16"/>
          <w:szCs w:val="24"/>
          <w:lang w:val="de-DE"/>
        </w:rPr>
        <w:t>39</w:t>
      </w:r>
      <w:r w:rsidRPr="002E0EE4">
        <w:rPr>
          <w:rFonts w:ascii="Arial" w:hAnsi="Arial"/>
          <w:sz w:val="16"/>
          <w:szCs w:val="24"/>
          <w:lang w:val="de-DE"/>
        </w:rPr>
        <w:t xml:space="preserve">. </w:t>
      </w:r>
      <w:r w:rsidRPr="002E0EE4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0A24A2" w:rsidRPr="000A24A2">
        <w:rPr>
          <w:rFonts w:ascii="Arial" w:hAnsi="Arial"/>
          <w:noProof/>
          <w:sz w:val="16"/>
          <w:szCs w:val="24"/>
          <w:lang w:val="de-DE"/>
        </w:rPr>
        <w:t>23. bis 27. Januar 2017</w:t>
      </w:r>
      <w:r w:rsidRPr="002E0EE4">
        <w:rPr>
          <w:rFonts w:ascii="Arial" w:hAnsi="Arial"/>
          <w:noProof/>
          <w:sz w:val="16"/>
          <w:szCs w:val="24"/>
          <w:lang w:val="de-DE"/>
        </w:rPr>
        <w:t>)</w:t>
      </w:r>
    </w:p>
    <w:p w:rsidR="00E15DF0" w:rsidRPr="002E0EE4" w:rsidRDefault="00E15DF0" w:rsidP="00E15DF0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474366">
        <w:rPr>
          <w:rFonts w:ascii="Arial" w:hAnsi="Arial" w:cs="Arial"/>
          <w:snapToGrid/>
          <w:sz w:val="16"/>
          <w:szCs w:val="16"/>
          <w:lang w:val="de-DE" w:eastAsia="en-US"/>
        </w:rPr>
        <w:t>4</w:t>
      </w:r>
      <w:r w:rsidR="004545E9">
        <w:rPr>
          <w:rFonts w:ascii="Arial" w:hAnsi="Arial" w:cs="Arial"/>
          <w:snapToGrid/>
          <w:sz w:val="16"/>
          <w:szCs w:val="16"/>
          <w:lang w:val="de-DE" w:eastAsia="en-US"/>
        </w:rPr>
        <w:t xml:space="preserve"> c)</w:t>
      </w: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15DF0" w:rsidRPr="000F2981" w:rsidRDefault="00E15DF0" w:rsidP="00E15DF0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9F4C42">
        <w:rPr>
          <w:rFonts w:ascii="Arial" w:hAnsi="Arial" w:cs="Arial"/>
          <w:b/>
          <w:snapToGrid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>:</w:t>
      </w:r>
    </w:p>
    <w:p w:rsidR="00E15DF0" w:rsidRPr="00792806" w:rsidRDefault="00E15DF0" w:rsidP="00E15DF0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9F4C42">
        <w:rPr>
          <w:rFonts w:ascii="Arial" w:hAnsi="Arial" w:cs="Arial"/>
          <w:b/>
          <w:snapToGrid/>
          <w:sz w:val="16"/>
          <w:szCs w:val="16"/>
          <w:lang w:val="de-DE" w:eastAsia="en-US"/>
        </w:rPr>
        <w:t>Auslegung der dem ADN beigefügten Verordnung</w:t>
      </w:r>
    </w:p>
    <w:p w:rsidR="009F0D42" w:rsidRDefault="009F0D42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b/>
          <w:snapToGrid/>
          <w:color w:val="000000"/>
          <w:lang w:val="de-DE"/>
        </w:rPr>
      </w:pPr>
    </w:p>
    <w:p w:rsidR="00932460" w:rsidRPr="004545E9" w:rsidRDefault="00932460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ind w:left="1134"/>
        <w:jc w:val="both"/>
        <w:textAlignment w:val="baseline"/>
        <w:rPr>
          <w:rFonts w:ascii="Arial" w:hAnsi="Arial"/>
          <w:b/>
          <w:snapToGrid/>
          <w:color w:val="000000"/>
          <w:lang w:val="de-DE"/>
        </w:rPr>
      </w:pPr>
    </w:p>
    <w:p w:rsidR="009F0D42" w:rsidRPr="006353A0" w:rsidRDefault="009F0D42" w:rsidP="009F0D42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snapToGrid/>
          <w:sz w:val="28"/>
          <w:lang w:val="de-DE"/>
        </w:rPr>
      </w:pPr>
      <w:r w:rsidRPr="004545E9">
        <w:rPr>
          <w:bCs/>
          <w:snapToGrid/>
          <w:sz w:val="28"/>
          <w:szCs w:val="24"/>
          <w:lang w:val="de-DE"/>
        </w:rPr>
        <w:tab/>
      </w:r>
      <w:r w:rsidRPr="004545E9">
        <w:rPr>
          <w:b/>
          <w:bCs/>
          <w:snapToGrid/>
          <w:sz w:val="28"/>
          <w:szCs w:val="24"/>
          <w:lang w:val="de-DE"/>
        </w:rPr>
        <w:tab/>
      </w:r>
      <w:r w:rsidR="00723ECD">
        <w:rPr>
          <w:b/>
          <w:bCs/>
          <w:snapToGrid/>
          <w:sz w:val="28"/>
          <w:szCs w:val="24"/>
          <w:lang w:val="de-DE"/>
        </w:rPr>
        <w:t>Unterabschnitt 7.1.4.7</w:t>
      </w:r>
      <w:r w:rsidRPr="00695384">
        <w:rPr>
          <w:b/>
          <w:bCs/>
          <w:snapToGrid/>
          <w:sz w:val="28"/>
          <w:szCs w:val="24"/>
          <w:lang w:val="de-DE"/>
        </w:rPr>
        <w:t xml:space="preserve"> ADN, </w:t>
      </w:r>
      <w:r w:rsidR="00723ECD">
        <w:rPr>
          <w:b/>
          <w:bCs/>
          <w:snapToGrid/>
          <w:sz w:val="28"/>
          <w:szCs w:val="24"/>
          <w:lang w:val="de-DE"/>
        </w:rPr>
        <w:t>Lade- und Löschstellen für Trockengüterschiffe</w:t>
      </w:r>
    </w:p>
    <w:p w:rsidR="009F0D42" w:rsidRPr="004545E9" w:rsidRDefault="009F0D42" w:rsidP="009F0D42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16"/>
          <w:szCs w:val="16"/>
          <w:lang w:val="fr-FR"/>
        </w:rPr>
      </w:pPr>
      <w:r w:rsidRPr="006353A0">
        <w:rPr>
          <w:b/>
          <w:snapToGrid/>
          <w:sz w:val="24"/>
          <w:lang w:val="de-DE"/>
        </w:rPr>
        <w:tab/>
      </w:r>
      <w:r w:rsidRPr="006353A0">
        <w:rPr>
          <w:b/>
          <w:snapToGrid/>
          <w:sz w:val="24"/>
          <w:lang w:val="de-DE"/>
        </w:rPr>
        <w:tab/>
      </w:r>
      <w:r w:rsidR="00E15DF0">
        <w:rPr>
          <w:b/>
          <w:snapToGrid/>
          <w:sz w:val="24"/>
          <w:lang w:val="fr-FR"/>
        </w:rPr>
        <w:t>Vorgelegt von Deutschland</w:t>
      </w:r>
      <w:r w:rsidR="00474366">
        <w:rPr>
          <w:rStyle w:val="FootnoteReference"/>
          <w:b/>
          <w:lang w:eastAsia="en-US"/>
        </w:rPr>
        <w:footnoteReference w:customMarkFollows="1" w:id="2"/>
        <w:t>*</w:t>
      </w:r>
      <w:r w:rsidR="00474366" w:rsidRPr="00076F11">
        <w:rPr>
          <w:b/>
          <w:sz w:val="16"/>
          <w:szCs w:val="16"/>
          <w:vertAlign w:val="superscript"/>
          <w:lang w:eastAsia="en-US"/>
        </w:rPr>
        <w:t>,</w:t>
      </w:r>
      <w:r w:rsidR="00474366">
        <w:rPr>
          <w:rStyle w:val="FootnoteReference"/>
          <w:rFonts w:eastAsia="Calibri"/>
          <w:b/>
          <w:bCs/>
          <w:lang w:eastAsia="en-US"/>
        </w:rPr>
        <w:footnoteReference w:customMarkFollows="1" w:id="3"/>
        <w:t>**</w:t>
      </w:r>
    </w:p>
    <w:p w:rsidR="009F0D42" w:rsidRPr="006353A0" w:rsidRDefault="009F0D42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left="1134" w:hanging="1134"/>
        <w:jc w:val="both"/>
        <w:textAlignment w:val="baseline"/>
        <w:rPr>
          <w:rFonts w:ascii="Arial" w:hAnsi="Arial"/>
          <w:b/>
          <w:bCs/>
          <w:snapToGrid/>
          <w:sz w:val="22"/>
          <w:szCs w:val="18"/>
          <w:lang w:val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07"/>
      </w:tblGrid>
      <w:tr w:rsidR="009F0D42" w:rsidRPr="006353A0" w:rsidTr="00BE68B7">
        <w:trPr>
          <w:jc w:val="center"/>
        </w:trPr>
        <w:tc>
          <w:tcPr>
            <w:tcW w:w="3332" w:type="dxa"/>
          </w:tcPr>
          <w:p w:rsidR="009F0D42" w:rsidRPr="006353A0" w:rsidRDefault="006353A0" w:rsidP="009F0D42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2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6353A0">
              <w:rPr>
                <w:rFonts w:eastAsia="Arial"/>
                <w:i/>
                <w:snapToGrid/>
                <w:color w:val="000000"/>
                <w:lang w:val="de-DE" w:eastAsia="en-US"/>
              </w:rPr>
              <w:t>Zusammenfassung</w:t>
            </w:r>
          </w:p>
        </w:tc>
        <w:tc>
          <w:tcPr>
            <w:tcW w:w="6307" w:type="dxa"/>
          </w:tcPr>
          <w:p w:rsidR="009F0D42" w:rsidRPr="006353A0" w:rsidRDefault="009F0D42" w:rsidP="009F0D4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34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</w:tr>
      <w:tr w:rsidR="009F0D42" w:rsidRPr="00654B53" w:rsidTr="00BE68B7">
        <w:trPr>
          <w:jc w:val="center"/>
        </w:trPr>
        <w:tc>
          <w:tcPr>
            <w:tcW w:w="3332" w:type="dxa"/>
          </w:tcPr>
          <w:p w:rsidR="009F0D42" w:rsidRPr="00695384" w:rsidRDefault="006353A0" w:rsidP="009F0D42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2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695384">
              <w:rPr>
                <w:b/>
                <w:snapToGrid/>
                <w:color w:val="000000"/>
                <w:lang w:val="de-DE" w:eastAsia="en-US"/>
              </w:rPr>
              <w:t>Analytische Zusammenfassung</w:t>
            </w:r>
            <w:r w:rsidR="009F0D42" w:rsidRPr="00695384">
              <w:rPr>
                <w:b/>
                <w:snapToGrid/>
                <w:color w:val="000000"/>
                <w:lang w:val="de-DE" w:eastAsia="en-US"/>
              </w:rPr>
              <w:t>:</w:t>
            </w:r>
          </w:p>
          <w:p w:rsidR="009F0D42" w:rsidRPr="00695384" w:rsidRDefault="009F0D42" w:rsidP="009F0D42">
            <w:pPr>
              <w:widowControl w:val="0"/>
              <w:tabs>
                <w:tab w:val="left" w:pos="284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72"/>
              <w:textAlignment w:val="baseline"/>
              <w:rPr>
                <w:snapToGrid/>
                <w:color w:val="000000"/>
                <w:lang w:val="de-DE" w:eastAsia="en-US"/>
              </w:rPr>
            </w:pPr>
          </w:p>
        </w:tc>
        <w:tc>
          <w:tcPr>
            <w:tcW w:w="6307" w:type="dxa"/>
          </w:tcPr>
          <w:p w:rsidR="009F0D42" w:rsidRPr="00695384" w:rsidRDefault="00723ECD" w:rsidP="009F0D4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>
              <w:rPr>
                <w:bCs/>
                <w:snapToGrid/>
                <w:color w:val="000000"/>
                <w:lang w:val="de-DE"/>
              </w:rPr>
              <w:t>Absatz 7.</w:t>
            </w:r>
            <w:r w:rsidR="002D4125">
              <w:rPr>
                <w:bCs/>
                <w:snapToGrid/>
                <w:color w:val="000000"/>
                <w:lang w:val="de-DE"/>
              </w:rPr>
              <w:t>1</w:t>
            </w:r>
            <w:r>
              <w:rPr>
                <w:bCs/>
                <w:snapToGrid/>
                <w:color w:val="000000"/>
                <w:lang w:val="de-DE"/>
              </w:rPr>
              <w:t>.4.7.2</w:t>
            </w:r>
            <w:r w:rsidR="009F0D42" w:rsidRPr="00695384">
              <w:rPr>
                <w:bCs/>
                <w:snapToGrid/>
                <w:color w:val="000000"/>
                <w:lang w:val="de-DE"/>
              </w:rPr>
              <w:t xml:space="preserve"> ADN </w:t>
            </w:r>
            <w:r>
              <w:rPr>
                <w:bCs/>
                <w:snapToGrid/>
                <w:color w:val="000000"/>
                <w:lang w:val="de-DE"/>
              </w:rPr>
              <w:t>enthält eine besondere Vorschrift für Lade- und Löschstellen, an denen gefährliche Güter</w:t>
            </w:r>
            <w:r w:rsidR="002D4125">
              <w:rPr>
                <w:bCs/>
                <w:snapToGrid/>
                <w:color w:val="000000"/>
                <w:lang w:val="de-DE"/>
              </w:rPr>
              <w:t>, die mit drei blauen Kegeln oder Lichtern zu kennzeichnen sind, be- oder entladen werden sollen</w:t>
            </w:r>
            <w:r w:rsidR="009F0D42" w:rsidRPr="00695384">
              <w:rPr>
                <w:bCs/>
                <w:snapToGrid/>
                <w:color w:val="000000"/>
                <w:lang w:val="de-DE"/>
              </w:rPr>
              <w:t>.</w:t>
            </w:r>
          </w:p>
          <w:p w:rsidR="009F0D42" w:rsidRPr="00695384" w:rsidRDefault="002D4125" w:rsidP="008A099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>
              <w:rPr>
                <w:bCs/>
                <w:snapToGrid/>
                <w:color w:val="000000"/>
                <w:lang w:val="de-DE"/>
              </w:rPr>
              <w:t>Im Gegensatz zu Absatz 7.1.4.7.1 ADN werden hier keine Vorschriften über die Verfügbarkeit von Evakuierungsmitteln gemacht.</w:t>
            </w:r>
          </w:p>
        </w:tc>
      </w:tr>
      <w:tr w:rsidR="006353A0" w:rsidRPr="00654B53" w:rsidTr="00BE68B7">
        <w:trPr>
          <w:jc w:val="center"/>
        </w:trPr>
        <w:tc>
          <w:tcPr>
            <w:tcW w:w="3332" w:type="dxa"/>
          </w:tcPr>
          <w:p w:rsidR="006353A0" w:rsidRPr="00695384" w:rsidRDefault="006353A0" w:rsidP="006353A0">
            <w:pPr>
              <w:tabs>
                <w:tab w:val="left" w:pos="284"/>
              </w:tabs>
              <w:spacing w:before="120" w:after="120"/>
              <w:ind w:left="72"/>
              <w:rPr>
                <w:b/>
                <w:lang w:eastAsia="en-US"/>
              </w:rPr>
            </w:pPr>
            <w:r w:rsidRPr="002D4125">
              <w:rPr>
                <w:b/>
                <w:sz w:val="22"/>
                <w:lang w:val="de-DE" w:eastAsia="en-US"/>
              </w:rPr>
              <w:t>Zu ergreifende Maßn</w:t>
            </w:r>
            <w:r w:rsidRPr="00695384">
              <w:rPr>
                <w:b/>
                <w:sz w:val="22"/>
                <w:lang w:eastAsia="en-US"/>
              </w:rPr>
              <w:t>ahme:</w:t>
            </w:r>
          </w:p>
        </w:tc>
        <w:tc>
          <w:tcPr>
            <w:tcW w:w="6307" w:type="dxa"/>
          </w:tcPr>
          <w:p w:rsidR="00EC1665" w:rsidRDefault="006353A0" w:rsidP="009F0D42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"/>
              <w:jc w:val="both"/>
              <w:textAlignment w:val="baseline"/>
              <w:rPr>
                <w:bCs/>
                <w:snapToGrid/>
                <w:color w:val="000000"/>
                <w:lang w:val="de-DE"/>
              </w:rPr>
            </w:pPr>
            <w:r w:rsidRPr="00695384">
              <w:rPr>
                <w:bCs/>
                <w:snapToGrid/>
                <w:color w:val="000000"/>
                <w:lang w:val="de-DE"/>
              </w:rPr>
              <w:t xml:space="preserve">Beratung im ADN-Sicherheitsausschuss. </w:t>
            </w:r>
          </w:p>
          <w:p w:rsidR="006353A0" w:rsidRPr="00695384" w:rsidRDefault="006353A0" w:rsidP="008A099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"/>
              <w:jc w:val="both"/>
              <w:textAlignment w:val="baseline"/>
              <w:rPr>
                <w:snapToGrid/>
                <w:color w:val="000000"/>
                <w:lang w:val="de-DE" w:eastAsia="en-US"/>
              </w:rPr>
            </w:pPr>
            <w:r w:rsidRPr="00695384">
              <w:rPr>
                <w:bCs/>
                <w:snapToGrid/>
                <w:color w:val="000000"/>
                <w:lang w:val="de-DE"/>
              </w:rPr>
              <w:t xml:space="preserve">Mitteilung der </w:t>
            </w:r>
            <w:r w:rsidR="008A0994">
              <w:rPr>
                <w:bCs/>
                <w:snapToGrid/>
                <w:color w:val="000000"/>
                <w:lang w:val="de-DE"/>
              </w:rPr>
              <w:t>Auslegung</w:t>
            </w:r>
            <w:r w:rsidRPr="00695384">
              <w:rPr>
                <w:bCs/>
                <w:snapToGrid/>
                <w:color w:val="000000"/>
                <w:lang w:val="de-DE"/>
              </w:rPr>
              <w:t xml:space="preserve"> im Sitzungsbericht.</w:t>
            </w:r>
          </w:p>
        </w:tc>
      </w:tr>
      <w:tr w:rsidR="006353A0" w:rsidRPr="007A08D3" w:rsidTr="00BE68B7">
        <w:trPr>
          <w:jc w:val="center"/>
        </w:trPr>
        <w:tc>
          <w:tcPr>
            <w:tcW w:w="3332" w:type="dxa"/>
          </w:tcPr>
          <w:p w:rsidR="006353A0" w:rsidRPr="00695384" w:rsidRDefault="006353A0" w:rsidP="00BE68B7">
            <w:pPr>
              <w:tabs>
                <w:tab w:val="left" w:pos="284"/>
              </w:tabs>
              <w:spacing w:before="120" w:after="120"/>
              <w:ind w:left="72"/>
              <w:rPr>
                <w:b/>
                <w:lang w:eastAsia="en-US"/>
              </w:rPr>
            </w:pPr>
            <w:r w:rsidRPr="00695384">
              <w:rPr>
                <w:b/>
                <w:sz w:val="22"/>
                <w:lang w:eastAsia="en-US"/>
              </w:rPr>
              <w:t>Verbundene Dokumente:</w:t>
            </w:r>
          </w:p>
        </w:tc>
        <w:tc>
          <w:tcPr>
            <w:tcW w:w="6307" w:type="dxa"/>
          </w:tcPr>
          <w:p w:rsidR="006353A0" w:rsidRPr="00474366" w:rsidRDefault="003D34BE" w:rsidP="0047436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1"/>
              <w:jc w:val="both"/>
              <w:textAlignment w:val="baseline"/>
              <w:rPr>
                <w:snapToGrid/>
                <w:color w:val="000000"/>
                <w:lang w:val="en-US" w:eastAsia="en-US"/>
              </w:rPr>
            </w:pPr>
            <w:r w:rsidRPr="00474366">
              <w:rPr>
                <w:bCs/>
                <w:snapToGrid/>
                <w:color w:val="000000"/>
                <w:lang w:val="en-US"/>
              </w:rPr>
              <w:t>CCNR-ZKR/ADN/27</w:t>
            </w:r>
            <w:r w:rsidR="00474366" w:rsidRPr="00474366">
              <w:rPr>
                <w:bCs/>
                <w:snapToGrid/>
                <w:color w:val="000000"/>
                <w:lang w:val="en-US"/>
              </w:rPr>
              <w:t>, CCNR-ZKR/ADN//WP.15/AC.2/60, Nr.</w:t>
            </w:r>
            <w:r w:rsidR="00474366" w:rsidRPr="00A93320">
              <w:rPr>
                <w:bCs/>
                <w:color w:val="000000"/>
              </w:rPr>
              <w:t xml:space="preserve"> </w:t>
            </w:r>
            <w:r w:rsidR="00474366" w:rsidRPr="00D241C1">
              <w:rPr>
                <w:bCs/>
                <w:color w:val="000000"/>
              </w:rPr>
              <w:t>15</w:t>
            </w:r>
          </w:p>
        </w:tc>
      </w:tr>
    </w:tbl>
    <w:p w:rsidR="009F0D42" w:rsidRPr="00474366" w:rsidRDefault="009F0D42" w:rsidP="009F0D42">
      <w:pPr>
        <w:widowControl w:val="0"/>
        <w:suppressAutoHyphens w:val="0"/>
        <w:overflowPunct w:val="0"/>
        <w:autoSpaceDE w:val="0"/>
        <w:autoSpaceDN w:val="0"/>
        <w:adjustRightInd w:val="0"/>
        <w:spacing w:before="180" w:line="360" w:lineRule="auto"/>
        <w:ind w:left="1134" w:hanging="1134"/>
        <w:jc w:val="both"/>
        <w:textAlignment w:val="baseline"/>
        <w:rPr>
          <w:b/>
          <w:bCs/>
          <w:snapToGrid/>
          <w:lang w:val="en-US"/>
        </w:rPr>
      </w:pPr>
    </w:p>
    <w:p w:rsidR="00932460" w:rsidRPr="00474366" w:rsidRDefault="00932460">
      <w:pPr>
        <w:suppressAutoHyphens w:val="0"/>
        <w:spacing w:line="240" w:lineRule="auto"/>
        <w:rPr>
          <w:b/>
          <w:bCs/>
          <w:snapToGrid/>
          <w:sz w:val="28"/>
          <w:szCs w:val="28"/>
          <w:lang w:val="en-US"/>
        </w:rPr>
      </w:pPr>
      <w:r w:rsidRPr="00474366">
        <w:rPr>
          <w:b/>
          <w:bCs/>
          <w:snapToGrid/>
          <w:sz w:val="28"/>
          <w:szCs w:val="28"/>
          <w:lang w:val="en-US"/>
        </w:rPr>
        <w:br w:type="page"/>
      </w:r>
    </w:p>
    <w:p w:rsidR="009F0D42" w:rsidRPr="00695384" w:rsidRDefault="009F0D42" w:rsidP="009F0D42">
      <w:pPr>
        <w:keepNext/>
        <w:keepLines/>
        <w:tabs>
          <w:tab w:val="right" w:pos="851"/>
        </w:tabs>
        <w:spacing w:before="360" w:after="240" w:line="300" w:lineRule="exact"/>
        <w:ind w:left="567" w:right="567" w:hanging="567"/>
        <w:rPr>
          <w:b/>
          <w:bCs/>
          <w:snapToGrid/>
          <w:sz w:val="28"/>
          <w:szCs w:val="28"/>
          <w:lang w:val="de-DE"/>
        </w:rPr>
      </w:pPr>
      <w:r w:rsidRPr="00695384">
        <w:rPr>
          <w:b/>
          <w:bCs/>
          <w:snapToGrid/>
          <w:sz w:val="28"/>
          <w:szCs w:val="28"/>
          <w:lang w:val="de-DE"/>
        </w:rPr>
        <w:lastRenderedPageBreak/>
        <w:t>I.</w:t>
      </w:r>
      <w:r w:rsidRPr="00695384">
        <w:rPr>
          <w:b/>
          <w:bCs/>
          <w:snapToGrid/>
          <w:sz w:val="28"/>
          <w:szCs w:val="28"/>
          <w:lang w:val="de-DE"/>
        </w:rPr>
        <w:tab/>
      </w:r>
      <w:r w:rsidR="006353A0" w:rsidRPr="00695384">
        <w:rPr>
          <w:b/>
          <w:bCs/>
          <w:snapToGrid/>
          <w:sz w:val="28"/>
          <w:szCs w:val="28"/>
          <w:lang w:val="de-DE"/>
        </w:rPr>
        <w:t>Einleitung</w:t>
      </w:r>
    </w:p>
    <w:p w:rsidR="0047563F" w:rsidRDefault="009F0D42" w:rsidP="009F0D4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  <w:r w:rsidRPr="00695384">
        <w:rPr>
          <w:snapToGrid/>
          <w:lang w:val="de-DE"/>
        </w:rPr>
        <w:t>1.</w:t>
      </w:r>
      <w:r w:rsidRPr="00695384">
        <w:rPr>
          <w:snapToGrid/>
          <w:lang w:val="de-DE"/>
        </w:rPr>
        <w:tab/>
      </w:r>
      <w:r w:rsidR="006679D1">
        <w:rPr>
          <w:snapToGrid/>
          <w:lang w:val="de-DE"/>
        </w:rPr>
        <w:t>Seit dem In-Kraft-Treten des ADN 2015 müssen nach Absatz 7.1.4.7.1 ADN an Lade- und Löschstellen für Trockengüterschiffe sogenannte Evakuierungsmittel entsprechend der Tabelle in Unterabschnitt 7.2.4.77 ADN vorhanden sein. Andernfalls ist der Umschlag nur mit Zustimmung der zuständigen Behörde gestattet.</w:t>
      </w:r>
    </w:p>
    <w:p w:rsidR="009B730A" w:rsidRDefault="009B730A" w:rsidP="009F0D4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</w:p>
    <w:p w:rsidR="009B730A" w:rsidRPr="0017426A" w:rsidRDefault="009B730A" w:rsidP="009F0D4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  <w:r>
        <w:rPr>
          <w:snapToGrid/>
          <w:lang w:val="de-DE"/>
        </w:rPr>
        <w:t>2.</w:t>
      </w:r>
      <w:r>
        <w:rPr>
          <w:snapToGrid/>
          <w:lang w:val="de-DE"/>
        </w:rPr>
        <w:tab/>
      </w:r>
      <w:r w:rsidR="00395B0F">
        <w:rPr>
          <w:snapToGrid/>
          <w:lang w:val="de-DE"/>
        </w:rPr>
        <w:t>Bei der Einführung dieser Vorschrift</w:t>
      </w:r>
      <w:r w:rsidR="0017426A">
        <w:rPr>
          <w:snapToGrid/>
          <w:lang w:val="de-DE"/>
        </w:rPr>
        <w:t xml:space="preserve"> in das ADN 2015 (siehe </w:t>
      </w:r>
      <w:r w:rsidR="0017426A" w:rsidRPr="0017426A">
        <w:rPr>
          <w:snapToGrid/>
          <w:lang w:val="de-DE"/>
        </w:rPr>
        <w:t>CCNR-ZKR/ADN/27)</w:t>
      </w:r>
      <w:r w:rsidR="0017426A">
        <w:rPr>
          <w:snapToGrid/>
          <w:lang w:val="de-DE"/>
        </w:rPr>
        <w:t xml:space="preserve"> wurde nach Meinung der deutschen Delegation übersehen, dass es im nachfolgenden Absatz 7.1.4.7.2 ADN eine besondere Bestimmung über die Zulassung von Lade- und Löschstellen</w:t>
      </w:r>
      <w:r w:rsidR="00536424">
        <w:rPr>
          <w:snapToGrid/>
          <w:lang w:val="de-DE"/>
        </w:rPr>
        <w:t xml:space="preserve"> gibt</w:t>
      </w:r>
      <w:r w:rsidR="0017426A">
        <w:rPr>
          <w:snapToGrid/>
          <w:lang w:val="de-DE"/>
        </w:rPr>
        <w:t xml:space="preserve"> für Güter der Klasse 1 und Güter der Klassen 4.1 oder 5.2, wenn für diese drei blaue Kegel/blaue Lichter vorgeschrieben sind.</w:t>
      </w:r>
    </w:p>
    <w:p w:rsidR="00361A12" w:rsidRPr="00361A12" w:rsidRDefault="00361A12" w:rsidP="009F0D4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</w:p>
    <w:p w:rsidR="0047563F" w:rsidRDefault="0047563F" w:rsidP="009F0D42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</w:p>
    <w:p w:rsidR="009F0D42" w:rsidRPr="00695384" w:rsidRDefault="009F0D42" w:rsidP="009F0D42">
      <w:pPr>
        <w:keepNext/>
        <w:keepLines/>
        <w:tabs>
          <w:tab w:val="right" w:pos="851"/>
        </w:tabs>
        <w:spacing w:before="360" w:after="240" w:line="300" w:lineRule="exact"/>
        <w:ind w:left="567" w:right="567" w:hanging="567"/>
        <w:rPr>
          <w:b/>
          <w:bCs/>
          <w:snapToGrid/>
          <w:sz w:val="28"/>
          <w:szCs w:val="28"/>
          <w:lang w:val="de-DE"/>
        </w:rPr>
      </w:pPr>
      <w:r w:rsidRPr="00695384">
        <w:rPr>
          <w:b/>
          <w:bCs/>
          <w:snapToGrid/>
          <w:sz w:val="28"/>
          <w:szCs w:val="28"/>
          <w:lang w:val="de-DE"/>
        </w:rPr>
        <w:t>II.</w:t>
      </w:r>
      <w:r w:rsidRPr="00695384">
        <w:rPr>
          <w:b/>
          <w:bCs/>
          <w:snapToGrid/>
          <w:sz w:val="28"/>
          <w:szCs w:val="28"/>
          <w:lang w:val="de-DE"/>
        </w:rPr>
        <w:tab/>
        <w:t>Auslegungsfrage</w:t>
      </w:r>
    </w:p>
    <w:p w:rsidR="00314C4D" w:rsidRDefault="00536424" w:rsidP="00536424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  <w:r>
        <w:rPr>
          <w:snapToGrid/>
          <w:lang w:val="de-DE"/>
        </w:rPr>
        <w:t>3.</w:t>
      </w:r>
      <w:r>
        <w:rPr>
          <w:snapToGrid/>
          <w:lang w:val="de-DE"/>
        </w:rPr>
        <w:tab/>
        <w:t>Deutschland ist der Auffassung, dass selbstverständ</w:t>
      </w:r>
      <w:r w:rsidR="00A6339F">
        <w:rPr>
          <w:snapToGrid/>
          <w:lang w:val="de-DE"/>
        </w:rPr>
        <w:t>lich auch an den in Absatz 7.1.</w:t>
      </w:r>
      <w:r>
        <w:rPr>
          <w:snapToGrid/>
          <w:lang w:val="de-DE"/>
        </w:rPr>
        <w:t xml:space="preserve">4.7.2 ADN besonders genannten Lade- und Löschstellen Evakuierungsmittel vorhanden sein müssen. Argument dafür ist, dass </w:t>
      </w:r>
      <w:r w:rsidR="00252B1A">
        <w:rPr>
          <w:snapToGrid/>
          <w:lang w:val="de-DE"/>
        </w:rPr>
        <w:t xml:space="preserve">in der Tabelle „Mögliche Evakuierungsmittel im Notfall“, Unterabschnitt 7.1.4.77 ADN, in der letzten Spalte „Container und verpacktes Gut“ </w:t>
      </w:r>
      <w:r w:rsidR="00252B1A" w:rsidRPr="00252B1A">
        <w:rPr>
          <w:b/>
          <w:snapToGrid/>
          <w:lang w:val="de-DE"/>
        </w:rPr>
        <w:t>alle</w:t>
      </w:r>
      <w:r w:rsidR="00252B1A">
        <w:rPr>
          <w:b/>
          <w:snapToGrid/>
          <w:lang w:val="de-DE"/>
        </w:rPr>
        <w:t xml:space="preserve"> </w:t>
      </w:r>
      <w:r w:rsidR="00252B1A" w:rsidRPr="00252B1A">
        <w:rPr>
          <w:snapToGrid/>
          <w:lang w:val="de-DE"/>
        </w:rPr>
        <w:t>Klassen</w:t>
      </w:r>
      <w:r w:rsidR="00252B1A">
        <w:rPr>
          <w:snapToGrid/>
          <w:lang w:val="de-DE"/>
        </w:rPr>
        <w:t>, also auch Klassen 1, 4.1 und 5.2, angesprochen werden.</w:t>
      </w:r>
      <w:r w:rsidR="00894FF5">
        <w:rPr>
          <w:snapToGrid/>
          <w:lang w:val="de-DE"/>
        </w:rPr>
        <w:t xml:space="preserve"> Absatz 7.1.4.7.1 ADN kann als die allgemeine Vorschrift für alle Lade- und Löschstellen für alle Gefahrgutklassen angesehen werden. </w:t>
      </w:r>
    </w:p>
    <w:p w:rsidR="00314C4D" w:rsidRDefault="00314C4D" w:rsidP="00536424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</w:p>
    <w:p w:rsidR="00536424" w:rsidRDefault="00314C4D" w:rsidP="00536424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  <w:r>
        <w:rPr>
          <w:snapToGrid/>
          <w:lang w:val="de-DE"/>
        </w:rPr>
        <w:t>4.</w:t>
      </w:r>
      <w:r>
        <w:rPr>
          <w:snapToGrid/>
          <w:lang w:val="de-DE"/>
        </w:rPr>
        <w:tab/>
      </w:r>
      <w:r w:rsidR="00894FF5">
        <w:rPr>
          <w:snapToGrid/>
          <w:lang w:val="de-DE"/>
        </w:rPr>
        <w:t xml:space="preserve">Die Bedeutung des Absatzes 7.1.4.7.2 ADN liegt darin, dass Gefahrgüter der Klassen 1, 4.1 und 5.2, soweit für diese 3 blaue Kegel/Lichter vorgeschrieben sind, </w:t>
      </w:r>
      <w:r>
        <w:rPr>
          <w:snapToGrid/>
          <w:lang w:val="de-DE"/>
        </w:rPr>
        <w:t xml:space="preserve">bei der Zulassung von Lade- und Löschstellen bei Bedarf ausdrücklich genannt werden müssen. Beim Laden und Löschen dieser Güter ergibt sich nämlich aus der Pflicht zur Führung von 3 blauen Kegeln/Lichtern ein besonderes, </w:t>
      </w:r>
      <w:r w:rsidR="0044788E">
        <w:rPr>
          <w:snapToGrid/>
          <w:lang w:val="de-DE"/>
        </w:rPr>
        <w:t>erhöhtes Gefahrenpot</w:t>
      </w:r>
      <w:r>
        <w:rPr>
          <w:snapToGrid/>
          <w:lang w:val="de-DE"/>
        </w:rPr>
        <w:t xml:space="preserve">ential. Dieses muss z.B. bei der Lage der Lade- und Löschstellen in Relation zu </w:t>
      </w:r>
      <w:r w:rsidR="0044788E">
        <w:rPr>
          <w:snapToGrid/>
          <w:lang w:val="de-DE"/>
        </w:rPr>
        <w:t>anderen Gewerbeanlagen und Wohnbebauung besonders berücksichtigt werden</w:t>
      </w:r>
      <w:r w:rsidR="00A6339F">
        <w:rPr>
          <w:snapToGrid/>
          <w:lang w:val="de-DE"/>
        </w:rPr>
        <w:t xml:space="preserve"> (vergleiche die Vorschrift zu Mindestabständen beim Stillliegen, 7.1.5.4.3 ADN, 3. Spiegelstrich).</w:t>
      </w:r>
      <w:r w:rsidR="00845E42">
        <w:rPr>
          <w:snapToGrid/>
          <w:lang w:val="de-DE"/>
        </w:rPr>
        <w:t xml:space="preserve"> </w:t>
      </w:r>
      <w:r w:rsidR="00A6339F">
        <w:rPr>
          <w:snapToGrid/>
          <w:lang w:val="de-DE"/>
        </w:rPr>
        <w:t>D</w:t>
      </w:r>
      <w:r w:rsidR="00845E42">
        <w:rPr>
          <w:snapToGrid/>
          <w:lang w:val="de-DE"/>
        </w:rPr>
        <w:t xml:space="preserve">ieses besondere Gefahrenpotential </w:t>
      </w:r>
      <w:r w:rsidR="00A6339F">
        <w:rPr>
          <w:snapToGrid/>
          <w:lang w:val="de-DE"/>
        </w:rPr>
        <w:t>bestätigt</w:t>
      </w:r>
      <w:r w:rsidR="00845E42">
        <w:rPr>
          <w:snapToGrid/>
          <w:lang w:val="de-DE"/>
        </w:rPr>
        <w:t xml:space="preserve"> die Forderung nach der Bereitstellung von geeigneten Evakuierungsmitteln.</w:t>
      </w:r>
    </w:p>
    <w:p w:rsidR="0047563F" w:rsidRPr="00695384" w:rsidRDefault="0047563F" w:rsidP="0047563F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</w:p>
    <w:p w:rsidR="0044788E" w:rsidRPr="00695384" w:rsidRDefault="0044788E" w:rsidP="0044788E">
      <w:pPr>
        <w:keepNext/>
        <w:keepLines/>
        <w:tabs>
          <w:tab w:val="right" w:pos="851"/>
        </w:tabs>
        <w:spacing w:before="360" w:after="240" w:line="300" w:lineRule="exact"/>
        <w:ind w:left="567" w:right="567" w:hanging="567"/>
        <w:rPr>
          <w:b/>
          <w:bCs/>
          <w:snapToGrid/>
          <w:sz w:val="28"/>
          <w:szCs w:val="28"/>
          <w:lang w:val="de-DE"/>
        </w:rPr>
      </w:pPr>
      <w:r w:rsidRPr="00695384">
        <w:rPr>
          <w:b/>
          <w:bCs/>
          <w:snapToGrid/>
          <w:sz w:val="28"/>
          <w:szCs w:val="28"/>
          <w:lang w:val="de-DE"/>
        </w:rPr>
        <w:t>III.</w:t>
      </w:r>
      <w:r w:rsidRPr="00695384">
        <w:rPr>
          <w:b/>
          <w:bCs/>
          <w:snapToGrid/>
          <w:sz w:val="28"/>
          <w:szCs w:val="28"/>
          <w:lang w:val="de-DE"/>
        </w:rPr>
        <w:tab/>
        <w:t>Position Deutschlands</w:t>
      </w:r>
    </w:p>
    <w:p w:rsidR="0047563F" w:rsidRDefault="00EC1665" w:rsidP="0047563F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  <w:r>
        <w:rPr>
          <w:snapToGrid/>
          <w:lang w:val="de-DE"/>
        </w:rPr>
        <w:t>5</w:t>
      </w:r>
      <w:r w:rsidR="0047563F" w:rsidRPr="00695384">
        <w:rPr>
          <w:snapToGrid/>
          <w:lang w:val="de-DE"/>
        </w:rPr>
        <w:t>.</w:t>
      </w:r>
      <w:r w:rsidR="0047563F" w:rsidRPr="00695384">
        <w:rPr>
          <w:snapToGrid/>
          <w:lang w:val="de-DE"/>
        </w:rPr>
        <w:tab/>
      </w:r>
      <w:r w:rsidR="00894FF5">
        <w:rPr>
          <w:snapToGrid/>
          <w:lang w:val="de-DE"/>
        </w:rPr>
        <w:t>Deutschland bittet den Sicherheitsausschuss, diese Frage zu erörtern</w:t>
      </w:r>
      <w:r w:rsidR="0044788E">
        <w:rPr>
          <w:snapToGrid/>
          <w:lang w:val="de-DE"/>
        </w:rPr>
        <w:t xml:space="preserve"> und die vorgenannte Auslegung zu bestätigen.</w:t>
      </w:r>
    </w:p>
    <w:p w:rsidR="009A6FE8" w:rsidRDefault="009A6FE8" w:rsidP="0047563F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/>
        </w:rPr>
      </w:pPr>
    </w:p>
    <w:p w:rsidR="00BD7264" w:rsidRPr="006353A0" w:rsidRDefault="0004012A" w:rsidP="0004012A">
      <w:pPr>
        <w:suppressAutoHyphens w:val="0"/>
        <w:autoSpaceDE w:val="0"/>
        <w:autoSpaceDN w:val="0"/>
        <w:adjustRightInd w:val="0"/>
        <w:spacing w:line="240" w:lineRule="auto"/>
        <w:ind w:left="567"/>
        <w:jc w:val="center"/>
        <w:rPr>
          <w:lang w:val="fr-FR"/>
        </w:rPr>
      </w:pPr>
      <w:r w:rsidRPr="006353A0">
        <w:rPr>
          <w:lang w:val="fr-FR"/>
        </w:rPr>
        <w:t>***</w:t>
      </w:r>
    </w:p>
    <w:sectPr w:rsidR="00BD7264" w:rsidRPr="006353A0" w:rsidSect="005F30BB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12" w:rsidRDefault="00361A12">
      <w:pPr>
        <w:rPr>
          <w:szCs w:val="24"/>
        </w:rPr>
      </w:pPr>
    </w:p>
  </w:endnote>
  <w:endnote w:type="continuationSeparator" w:id="0">
    <w:p w:rsidR="00361A12" w:rsidRDefault="00361A12">
      <w:pPr>
        <w:rPr>
          <w:szCs w:val="24"/>
        </w:rPr>
      </w:pPr>
    </w:p>
  </w:endnote>
  <w:endnote w:type="continuationNotice" w:id="1">
    <w:p w:rsidR="00361A12" w:rsidRDefault="00361A12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2" w:rsidRPr="00E345CE" w:rsidRDefault="00361A12" w:rsidP="0004012A">
    <w:pPr>
      <w:pStyle w:val="Footer"/>
      <w:jc w:val="right"/>
      <w:rPr>
        <w:rFonts w:ascii="Arial" w:hAnsi="Arial"/>
        <w:noProof/>
        <w:snapToGrid/>
        <w:sz w:val="12"/>
        <w:szCs w:val="24"/>
        <w:lang w:val="en-US"/>
      </w:rPr>
    </w:pPr>
    <w:r>
      <w:rPr>
        <w:rFonts w:ascii="Arial" w:hAnsi="Arial"/>
        <w:noProof/>
        <w:snapToGrid/>
        <w:sz w:val="12"/>
        <w:szCs w:val="24"/>
        <w:lang w:val="en-US"/>
      </w:rPr>
      <w:t>mm/adn_wp15_ac2_201</w:t>
    </w:r>
    <w:r w:rsidR="000B32A6">
      <w:rPr>
        <w:rFonts w:ascii="Arial" w:hAnsi="Arial"/>
        <w:noProof/>
        <w:snapToGrid/>
        <w:sz w:val="12"/>
        <w:szCs w:val="24"/>
        <w:lang w:val="en-US"/>
      </w:rPr>
      <w:t>7</w:t>
    </w:r>
    <w:r>
      <w:rPr>
        <w:rFonts w:ascii="Arial" w:hAnsi="Arial"/>
        <w:noProof/>
        <w:snapToGrid/>
        <w:sz w:val="12"/>
        <w:szCs w:val="24"/>
        <w:lang w:val="en-US"/>
      </w:rPr>
      <w:t>_</w:t>
    </w:r>
    <w:r w:rsidR="00654B53">
      <w:rPr>
        <w:rFonts w:ascii="Arial" w:hAnsi="Arial"/>
        <w:noProof/>
        <w:snapToGrid/>
        <w:sz w:val="12"/>
        <w:szCs w:val="24"/>
        <w:lang w:val="en-US"/>
      </w:rPr>
      <w:t>11</w:t>
    </w:r>
    <w:r>
      <w:rPr>
        <w:rFonts w:ascii="Arial" w:hAnsi="Arial"/>
        <w:noProof/>
        <w:snapToGrid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2" w:rsidRPr="00951A0F" w:rsidRDefault="00361A12" w:rsidP="00951A0F">
    <w:pPr>
      <w:pStyle w:val="Footer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12" w:rsidRDefault="00361A12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361A12" w:rsidRDefault="00361A12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361A12" w:rsidRDefault="00361A12">
      <w:pPr>
        <w:rPr>
          <w:szCs w:val="24"/>
        </w:rPr>
      </w:pPr>
    </w:p>
  </w:footnote>
  <w:footnote w:id="2">
    <w:p w:rsidR="00474366" w:rsidRPr="00BD73EF" w:rsidRDefault="00474366" w:rsidP="00474366">
      <w:pPr>
        <w:pStyle w:val="FootnoteText"/>
        <w:ind w:left="284" w:hanging="284"/>
        <w:rPr>
          <w:sz w:val="16"/>
          <w:szCs w:val="16"/>
          <w:lang w:val="de-DE"/>
        </w:rPr>
      </w:pPr>
      <w:r w:rsidRPr="00BD73EF">
        <w:rPr>
          <w:rStyle w:val="FootnoteReference"/>
          <w:lang w:val="de-DE"/>
        </w:rPr>
        <w:t>*</w:t>
      </w:r>
      <w:r w:rsidRPr="00BD73EF">
        <w:rPr>
          <w:sz w:val="16"/>
          <w:szCs w:val="16"/>
          <w:lang w:val="de-DE"/>
        </w:rPr>
        <w:t xml:space="preserve"> </w:t>
      </w:r>
      <w:r w:rsidRPr="00BD73EF">
        <w:rPr>
          <w:sz w:val="16"/>
          <w:szCs w:val="16"/>
          <w:lang w:val="de-DE"/>
        </w:rPr>
        <w:tab/>
        <w:t>Von der UN-ECE in Englisch, Französisch und Russisch unter dem Aktenzeichen ECE/TRANS/WP.15/AC.2/2017/</w:t>
      </w:r>
      <w:r>
        <w:rPr>
          <w:sz w:val="16"/>
          <w:szCs w:val="16"/>
          <w:lang w:val="de-DE"/>
        </w:rPr>
        <w:t>11</w:t>
      </w:r>
      <w:r w:rsidRPr="00BD73EF">
        <w:rPr>
          <w:sz w:val="16"/>
          <w:szCs w:val="16"/>
          <w:lang w:val="de-DE"/>
        </w:rPr>
        <w:t xml:space="preserve"> verteilt.</w:t>
      </w:r>
    </w:p>
  </w:footnote>
  <w:footnote w:id="3">
    <w:p w:rsidR="00474366" w:rsidRPr="00BD73EF" w:rsidRDefault="00474366" w:rsidP="00474366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BD73EF">
        <w:rPr>
          <w:rStyle w:val="FootnoteReference"/>
          <w:lang w:val="de-DE"/>
        </w:rPr>
        <w:t>**</w:t>
      </w:r>
      <w:r w:rsidRPr="00BD73EF">
        <w:rPr>
          <w:sz w:val="16"/>
          <w:szCs w:val="16"/>
          <w:lang w:val="de-DE"/>
        </w:rPr>
        <w:t xml:space="preserve"> </w:t>
      </w:r>
      <w:r w:rsidRPr="00BD73EF">
        <w:rPr>
          <w:lang w:val="de-DE"/>
        </w:rPr>
        <w:tab/>
      </w:r>
      <w:r w:rsidRPr="00BD73EF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2" w:rsidRPr="00BE68B7" w:rsidRDefault="00361A12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E68B7">
      <w:rPr>
        <w:rFonts w:ascii="Arial" w:hAnsi="Arial"/>
        <w:b w:val="0"/>
        <w:sz w:val="16"/>
        <w:szCs w:val="16"/>
        <w:lang w:val="en-US"/>
      </w:rPr>
      <w:t>CCNR-ZKR/ADN/WP.15/AC.2/201</w:t>
    </w:r>
    <w:r w:rsidR="000B32A6">
      <w:rPr>
        <w:rFonts w:ascii="Arial" w:hAnsi="Arial"/>
        <w:b w:val="0"/>
        <w:sz w:val="16"/>
        <w:szCs w:val="16"/>
        <w:lang w:val="en-US"/>
      </w:rPr>
      <w:t>7/</w:t>
    </w:r>
    <w:r w:rsidR="00654B53">
      <w:rPr>
        <w:rFonts w:ascii="Arial" w:hAnsi="Arial"/>
        <w:b w:val="0"/>
        <w:sz w:val="16"/>
        <w:szCs w:val="16"/>
        <w:lang w:val="en-US"/>
      </w:rPr>
      <w:t>11</w:t>
    </w:r>
  </w:p>
  <w:p w:rsidR="00361A12" w:rsidRPr="008F1455" w:rsidRDefault="00361A12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3D538F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2" w:rsidRPr="008F1455" w:rsidRDefault="00361A12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8F1455">
      <w:rPr>
        <w:rFonts w:ascii="Arial" w:hAnsi="Arial"/>
        <w:b w:val="0"/>
        <w:sz w:val="16"/>
        <w:szCs w:val="16"/>
        <w:lang w:val="fr-FR"/>
      </w:rPr>
      <w:t>CCNR-ZKR/ADN/WP.15/AC.2/2016/Y7</w:t>
    </w:r>
  </w:p>
  <w:p w:rsidR="00361A12" w:rsidRPr="008F1455" w:rsidRDefault="00361A12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 w:rsidRPr="008F1455">
      <w:rPr>
        <w:rFonts w:ascii="Arial" w:hAnsi="Arial"/>
        <w:b w:val="0"/>
        <w:sz w:val="16"/>
        <w:szCs w:val="16"/>
      </w:rPr>
      <w:t>Page 3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44788E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5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6"/>
  </w:num>
  <w:num w:numId="5">
    <w:abstractNumId w:val="35"/>
  </w:num>
  <w:num w:numId="6">
    <w:abstractNumId w:val="4"/>
  </w:num>
  <w:num w:numId="7">
    <w:abstractNumId w:val="7"/>
  </w:num>
  <w:num w:numId="8">
    <w:abstractNumId w:val="22"/>
  </w:num>
  <w:num w:numId="9">
    <w:abstractNumId w:val="13"/>
  </w:num>
  <w:num w:numId="10">
    <w:abstractNumId w:val="8"/>
  </w:num>
  <w:num w:numId="11">
    <w:abstractNumId w:val="24"/>
  </w:num>
  <w:num w:numId="12">
    <w:abstractNumId w:val="5"/>
  </w:num>
  <w:num w:numId="13">
    <w:abstractNumId w:val="33"/>
  </w:num>
  <w:num w:numId="14">
    <w:abstractNumId w:val="9"/>
  </w:num>
  <w:num w:numId="15">
    <w:abstractNumId w:val="37"/>
  </w:num>
  <w:num w:numId="16">
    <w:abstractNumId w:val="31"/>
  </w:num>
  <w:num w:numId="17">
    <w:abstractNumId w:val="21"/>
  </w:num>
  <w:num w:numId="18">
    <w:abstractNumId w:val="15"/>
  </w:num>
  <w:num w:numId="19">
    <w:abstractNumId w:val="23"/>
  </w:num>
  <w:num w:numId="20">
    <w:abstractNumId w:val="10"/>
  </w:num>
  <w:num w:numId="21">
    <w:abstractNumId w:val="28"/>
  </w:num>
  <w:num w:numId="22">
    <w:abstractNumId w:val="36"/>
  </w:num>
  <w:num w:numId="23">
    <w:abstractNumId w:val="29"/>
  </w:num>
  <w:num w:numId="24">
    <w:abstractNumId w:val="18"/>
  </w:num>
  <w:num w:numId="25">
    <w:abstractNumId w:val="27"/>
  </w:num>
  <w:num w:numId="26">
    <w:abstractNumId w:val="17"/>
  </w:num>
  <w:num w:numId="27">
    <w:abstractNumId w:val="16"/>
  </w:num>
  <w:num w:numId="28">
    <w:abstractNumId w:val="32"/>
  </w:num>
  <w:num w:numId="29">
    <w:abstractNumId w:val="19"/>
  </w:num>
  <w:num w:numId="30">
    <w:abstractNumId w:val="26"/>
  </w:num>
  <w:num w:numId="31">
    <w:abstractNumId w:val="20"/>
  </w:num>
  <w:num w:numId="32">
    <w:abstractNumId w:val="25"/>
  </w:num>
  <w:num w:numId="33">
    <w:abstractNumId w:val="3"/>
  </w:num>
  <w:num w:numId="34">
    <w:abstractNumId w:val="12"/>
  </w:num>
  <w:num w:numId="35">
    <w:abstractNumId w:val="34"/>
  </w:num>
  <w:num w:numId="36">
    <w:abstractNumId w:val="14"/>
  </w:num>
  <w:num w:numId="37">
    <w:abstractNumId w:val="2"/>
  </w:num>
  <w:num w:numId="3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0680"/>
    <w:rsid w:val="000012AB"/>
    <w:rsid w:val="00001364"/>
    <w:rsid w:val="00001C32"/>
    <w:rsid w:val="000053C5"/>
    <w:rsid w:val="00010CCD"/>
    <w:rsid w:val="00020B06"/>
    <w:rsid w:val="0002116F"/>
    <w:rsid w:val="00024FB3"/>
    <w:rsid w:val="00030C06"/>
    <w:rsid w:val="00031537"/>
    <w:rsid w:val="000355BD"/>
    <w:rsid w:val="00035613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24A2"/>
    <w:rsid w:val="000A446A"/>
    <w:rsid w:val="000A52E3"/>
    <w:rsid w:val="000B175B"/>
    <w:rsid w:val="000B1C22"/>
    <w:rsid w:val="000B32A6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2981"/>
    <w:rsid w:val="00101C30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1A08"/>
    <w:rsid w:val="0013213F"/>
    <w:rsid w:val="0013574C"/>
    <w:rsid w:val="00135BA5"/>
    <w:rsid w:val="00136129"/>
    <w:rsid w:val="00137A57"/>
    <w:rsid w:val="001422F4"/>
    <w:rsid w:val="001426C0"/>
    <w:rsid w:val="00146FF1"/>
    <w:rsid w:val="001471A5"/>
    <w:rsid w:val="00151BFD"/>
    <w:rsid w:val="00155C78"/>
    <w:rsid w:val="00161846"/>
    <w:rsid w:val="0016237E"/>
    <w:rsid w:val="001628F5"/>
    <w:rsid w:val="00172CF3"/>
    <w:rsid w:val="001730D3"/>
    <w:rsid w:val="0017426A"/>
    <w:rsid w:val="00174EA5"/>
    <w:rsid w:val="001817E0"/>
    <w:rsid w:val="00181A2A"/>
    <w:rsid w:val="001870ED"/>
    <w:rsid w:val="00191685"/>
    <w:rsid w:val="00193460"/>
    <w:rsid w:val="001938F0"/>
    <w:rsid w:val="00194E53"/>
    <w:rsid w:val="001A1048"/>
    <w:rsid w:val="001A148C"/>
    <w:rsid w:val="001A2704"/>
    <w:rsid w:val="001A4ED5"/>
    <w:rsid w:val="001B3169"/>
    <w:rsid w:val="001B3934"/>
    <w:rsid w:val="001B4857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733"/>
    <w:rsid w:val="00236DE8"/>
    <w:rsid w:val="002405A7"/>
    <w:rsid w:val="00242C50"/>
    <w:rsid w:val="00242D7E"/>
    <w:rsid w:val="002478DF"/>
    <w:rsid w:val="00250C0B"/>
    <w:rsid w:val="00250D22"/>
    <w:rsid w:val="00252025"/>
    <w:rsid w:val="00252334"/>
    <w:rsid w:val="00252B1A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4125"/>
    <w:rsid w:val="002D652F"/>
    <w:rsid w:val="002E0EE4"/>
    <w:rsid w:val="002E1352"/>
    <w:rsid w:val="00300698"/>
    <w:rsid w:val="00304304"/>
    <w:rsid w:val="003107FA"/>
    <w:rsid w:val="0031437A"/>
    <w:rsid w:val="00314C4D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1A12"/>
    <w:rsid w:val="003630AA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0F"/>
    <w:rsid w:val="00395B51"/>
    <w:rsid w:val="003972E0"/>
    <w:rsid w:val="003A1EBD"/>
    <w:rsid w:val="003A3950"/>
    <w:rsid w:val="003B071E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4BE"/>
    <w:rsid w:val="003D3B4A"/>
    <w:rsid w:val="003D4B23"/>
    <w:rsid w:val="003D538F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4788E"/>
    <w:rsid w:val="0045017B"/>
    <w:rsid w:val="00452BB4"/>
    <w:rsid w:val="004535E7"/>
    <w:rsid w:val="0045394D"/>
    <w:rsid w:val="004545E9"/>
    <w:rsid w:val="0045575E"/>
    <w:rsid w:val="004578CF"/>
    <w:rsid w:val="004644C6"/>
    <w:rsid w:val="00466C98"/>
    <w:rsid w:val="00474366"/>
    <w:rsid w:val="004743AE"/>
    <w:rsid w:val="0047563F"/>
    <w:rsid w:val="00480BB9"/>
    <w:rsid w:val="00481194"/>
    <w:rsid w:val="00481AC6"/>
    <w:rsid w:val="00481C01"/>
    <w:rsid w:val="004835E7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5912"/>
    <w:rsid w:val="004C7BD2"/>
    <w:rsid w:val="004D2AF1"/>
    <w:rsid w:val="004D785F"/>
    <w:rsid w:val="004D7A03"/>
    <w:rsid w:val="004E2C8B"/>
    <w:rsid w:val="004E6760"/>
    <w:rsid w:val="004E74FC"/>
    <w:rsid w:val="004F13C8"/>
    <w:rsid w:val="004F17B7"/>
    <w:rsid w:val="004F1BE5"/>
    <w:rsid w:val="004F2C14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36424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80C8B"/>
    <w:rsid w:val="00580ED5"/>
    <w:rsid w:val="00587F3C"/>
    <w:rsid w:val="00590B15"/>
    <w:rsid w:val="0059380F"/>
    <w:rsid w:val="005A0417"/>
    <w:rsid w:val="005A0851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334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53A0"/>
    <w:rsid w:val="006364CC"/>
    <w:rsid w:val="00637CA2"/>
    <w:rsid w:val="00640B26"/>
    <w:rsid w:val="00642C2E"/>
    <w:rsid w:val="00644FED"/>
    <w:rsid w:val="0064585E"/>
    <w:rsid w:val="006517B6"/>
    <w:rsid w:val="00651FC8"/>
    <w:rsid w:val="00654B53"/>
    <w:rsid w:val="00665595"/>
    <w:rsid w:val="006659D9"/>
    <w:rsid w:val="00665BFA"/>
    <w:rsid w:val="006679D1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5384"/>
    <w:rsid w:val="00697CD4"/>
    <w:rsid w:val="006A1E28"/>
    <w:rsid w:val="006A3F0D"/>
    <w:rsid w:val="006A4DDD"/>
    <w:rsid w:val="006A5C73"/>
    <w:rsid w:val="006A6D47"/>
    <w:rsid w:val="006A7392"/>
    <w:rsid w:val="006A7CCA"/>
    <w:rsid w:val="006B0C4E"/>
    <w:rsid w:val="006B19FE"/>
    <w:rsid w:val="006B3B2C"/>
    <w:rsid w:val="006B3DFE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07EE3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ECD"/>
    <w:rsid w:val="0072632A"/>
    <w:rsid w:val="00726CBE"/>
    <w:rsid w:val="0072750B"/>
    <w:rsid w:val="007309DE"/>
    <w:rsid w:val="0073465B"/>
    <w:rsid w:val="00734C2D"/>
    <w:rsid w:val="00737E85"/>
    <w:rsid w:val="00740176"/>
    <w:rsid w:val="007425B4"/>
    <w:rsid w:val="007431FB"/>
    <w:rsid w:val="00743AA0"/>
    <w:rsid w:val="00744294"/>
    <w:rsid w:val="007502C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3D35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08D3"/>
    <w:rsid w:val="007A1A3F"/>
    <w:rsid w:val="007A3C01"/>
    <w:rsid w:val="007A3C0B"/>
    <w:rsid w:val="007B64F2"/>
    <w:rsid w:val="007B6BA5"/>
    <w:rsid w:val="007B7B1E"/>
    <w:rsid w:val="007C169B"/>
    <w:rsid w:val="007C3390"/>
    <w:rsid w:val="007C4F4B"/>
    <w:rsid w:val="007C7A4E"/>
    <w:rsid w:val="007D64B1"/>
    <w:rsid w:val="007E287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44A4"/>
    <w:rsid w:val="00825A28"/>
    <w:rsid w:val="0082761D"/>
    <w:rsid w:val="00827E05"/>
    <w:rsid w:val="008305E5"/>
    <w:rsid w:val="008311A3"/>
    <w:rsid w:val="008333C7"/>
    <w:rsid w:val="00836A0C"/>
    <w:rsid w:val="00837A3F"/>
    <w:rsid w:val="0084125D"/>
    <w:rsid w:val="00842AFA"/>
    <w:rsid w:val="00842B7B"/>
    <w:rsid w:val="00844584"/>
    <w:rsid w:val="00845E42"/>
    <w:rsid w:val="00853E16"/>
    <w:rsid w:val="0085417D"/>
    <w:rsid w:val="008550E6"/>
    <w:rsid w:val="00861AFA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4FF2"/>
    <w:rsid w:val="00894FF5"/>
    <w:rsid w:val="00896CBD"/>
    <w:rsid w:val="008978BC"/>
    <w:rsid w:val="008979B1"/>
    <w:rsid w:val="008A0994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49F6"/>
    <w:rsid w:val="008D5935"/>
    <w:rsid w:val="008E0E46"/>
    <w:rsid w:val="008E58A3"/>
    <w:rsid w:val="008E7D56"/>
    <w:rsid w:val="008F1455"/>
    <w:rsid w:val="008F4E42"/>
    <w:rsid w:val="008F561F"/>
    <w:rsid w:val="008F649A"/>
    <w:rsid w:val="00903497"/>
    <w:rsid w:val="00907AD2"/>
    <w:rsid w:val="009124F2"/>
    <w:rsid w:val="00915860"/>
    <w:rsid w:val="00917C0E"/>
    <w:rsid w:val="00925B30"/>
    <w:rsid w:val="0092768B"/>
    <w:rsid w:val="009316CC"/>
    <w:rsid w:val="00932460"/>
    <w:rsid w:val="00936C2E"/>
    <w:rsid w:val="00936F09"/>
    <w:rsid w:val="009409EC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5A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A6FE8"/>
    <w:rsid w:val="009B0335"/>
    <w:rsid w:val="009B45F7"/>
    <w:rsid w:val="009B4CA8"/>
    <w:rsid w:val="009B730A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77CF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5718A"/>
    <w:rsid w:val="00A6339F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17DC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2B04"/>
    <w:rsid w:val="00AF6613"/>
    <w:rsid w:val="00AF685C"/>
    <w:rsid w:val="00B0077F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67FA2"/>
    <w:rsid w:val="00B72BAF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B5567"/>
    <w:rsid w:val="00BC027E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E68B7"/>
    <w:rsid w:val="00BF25C2"/>
    <w:rsid w:val="00C0023D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403A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450"/>
    <w:rsid w:val="00D0058E"/>
    <w:rsid w:val="00D008A3"/>
    <w:rsid w:val="00D01E98"/>
    <w:rsid w:val="00D04BA4"/>
    <w:rsid w:val="00D04E81"/>
    <w:rsid w:val="00D073C6"/>
    <w:rsid w:val="00D121B6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A6D4E"/>
    <w:rsid w:val="00DB06D2"/>
    <w:rsid w:val="00DB2042"/>
    <w:rsid w:val="00DB2A63"/>
    <w:rsid w:val="00DB4C2A"/>
    <w:rsid w:val="00DB5D0F"/>
    <w:rsid w:val="00DC59B0"/>
    <w:rsid w:val="00DC6021"/>
    <w:rsid w:val="00DC7AF7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15DF0"/>
    <w:rsid w:val="00E23CAD"/>
    <w:rsid w:val="00E27CED"/>
    <w:rsid w:val="00E322B5"/>
    <w:rsid w:val="00E330C1"/>
    <w:rsid w:val="00E345CE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1665"/>
    <w:rsid w:val="00EC2F56"/>
    <w:rsid w:val="00EC54BA"/>
    <w:rsid w:val="00EC67F7"/>
    <w:rsid w:val="00ED095F"/>
    <w:rsid w:val="00ED5D98"/>
    <w:rsid w:val="00ED621D"/>
    <w:rsid w:val="00ED7A2A"/>
    <w:rsid w:val="00EE17D9"/>
    <w:rsid w:val="00EE5AF8"/>
    <w:rsid w:val="00EE6953"/>
    <w:rsid w:val="00EF0752"/>
    <w:rsid w:val="00EF0C63"/>
    <w:rsid w:val="00EF1D7F"/>
    <w:rsid w:val="00EF5E4D"/>
    <w:rsid w:val="00EF6ACF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1C57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8EDC2F-C88E-491F-91A9-DE7ED1C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paragraph" w:customStyle="1" w:styleId="N5">
    <w:name w:val="N5"/>
    <w:basedOn w:val="Normal"/>
    <w:link w:val="N5Car"/>
    <w:rsid w:val="00A177CF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character" w:customStyle="1" w:styleId="N5Car">
    <w:name w:val="N5 Car"/>
    <w:link w:val="N5"/>
    <w:rsid w:val="00A177CF"/>
    <w:rPr>
      <w:rFonts w:ascii="Arial" w:hAnsi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EA4E-0EA8-4C4A-8E1D-F6FADF48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Caillot</cp:lastModifiedBy>
  <cp:revision>2</cp:revision>
  <cp:lastPrinted>2016-06-09T14:11:00Z</cp:lastPrinted>
  <dcterms:created xsi:type="dcterms:W3CDTF">2016-11-17T13:53:00Z</dcterms:created>
  <dcterms:modified xsi:type="dcterms:W3CDTF">2016-11-17T13:53:00Z</dcterms:modified>
</cp:coreProperties>
</file>