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9E166B">
              <w:fldChar w:fldCharType="begin"/>
            </w:r>
            <w:r w:rsidR="009E166B">
              <w:instrText xml:space="preserve"> FILLIN  "Введите символ после ЕCE/"  \* MERGEFORMAT </w:instrText>
            </w:r>
            <w:r w:rsidR="009E166B">
              <w:fldChar w:fldCharType="separate"/>
            </w:r>
            <w:r w:rsidR="00F832FC">
              <w:t>TRANS/WP.15/AC.2/2017/11</w:t>
            </w:r>
            <w:r w:rsidR="009E166B">
              <w:fldChar w:fldCharType="end"/>
            </w:r>
            <w:r w:rsidR="00F832FC">
              <w:t xml:space="preserve">         </w:t>
            </w:r>
          </w:p>
        </w:tc>
      </w:tr>
      <w:tr w:rsidR="00A658DB" w:rsidRPr="00245892" w:rsidTr="005E065C">
        <w:trPr>
          <w:trHeight w:hRule="exact" w:val="270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F2D0F63" wp14:editId="0EB4185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E166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832FC" w:rsidP="007B199D">
            <w:r>
              <w:rPr>
                <w:lang w:val="en-US"/>
              </w:rPr>
              <w:t>9 November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F832FC" w:rsidRDefault="00A658DB" w:rsidP="007B199D">
            <w:pPr>
              <w:rPr>
                <w:lang w:val="en-US"/>
              </w:rPr>
            </w:pPr>
            <w:r w:rsidRPr="00245892">
              <w:t xml:space="preserve">Original: </w:t>
            </w:r>
            <w:r w:rsidR="00F832FC">
              <w:rPr>
                <w:lang w:val="en-US"/>
              </w:rPr>
              <w:t>French</w:t>
            </w:r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832FC" w:rsidRPr="00523F38" w:rsidRDefault="00F832FC" w:rsidP="00523F38">
      <w:pPr>
        <w:spacing w:before="120" w:line="240" w:lineRule="auto"/>
        <w:rPr>
          <w:sz w:val="28"/>
          <w:szCs w:val="28"/>
        </w:rPr>
      </w:pPr>
      <w:r w:rsidRPr="00523F38">
        <w:rPr>
          <w:sz w:val="28"/>
          <w:szCs w:val="28"/>
        </w:rPr>
        <w:t>Комитет по внутреннему транспорту</w:t>
      </w:r>
    </w:p>
    <w:p w:rsidR="00F832FC" w:rsidRPr="00523F38" w:rsidRDefault="00F832FC" w:rsidP="00523F38">
      <w:pPr>
        <w:spacing w:before="120" w:line="240" w:lineRule="auto"/>
        <w:rPr>
          <w:b/>
          <w:bCs/>
          <w:sz w:val="24"/>
          <w:szCs w:val="24"/>
        </w:rPr>
      </w:pPr>
      <w:r w:rsidRPr="00523F38">
        <w:rPr>
          <w:b/>
          <w:bCs/>
          <w:sz w:val="24"/>
          <w:szCs w:val="24"/>
        </w:rPr>
        <w:t>Рабочая группа по перевозкам опасных грузов</w:t>
      </w:r>
    </w:p>
    <w:p w:rsidR="00F832FC" w:rsidRPr="00F832FC" w:rsidRDefault="00F832FC" w:rsidP="00523F38">
      <w:pPr>
        <w:spacing w:before="120" w:line="240" w:lineRule="auto"/>
        <w:rPr>
          <w:b/>
          <w:bCs/>
        </w:rPr>
      </w:pPr>
      <w:r w:rsidRPr="00F832FC">
        <w:rPr>
          <w:b/>
          <w:bCs/>
        </w:rPr>
        <w:t>Совместное совещание экспертов по Правилам,</w:t>
      </w:r>
      <w:r w:rsidRPr="00F832FC">
        <w:rPr>
          <w:b/>
          <w:bCs/>
        </w:rPr>
        <w:br/>
        <w:t>прилагаемым к Европейскому соглашению</w:t>
      </w:r>
      <w:r w:rsidRPr="00F832FC">
        <w:rPr>
          <w:b/>
          <w:bCs/>
        </w:rPr>
        <w:br/>
        <w:t>о международной перевозке опасных грузов</w:t>
      </w:r>
      <w:r w:rsidRPr="00F832FC">
        <w:rPr>
          <w:b/>
          <w:bCs/>
        </w:rPr>
        <w:br/>
        <w:t>по внутренним водным путям (ВОПОГ)</w:t>
      </w:r>
      <w:r w:rsidRPr="00F832FC">
        <w:rPr>
          <w:b/>
          <w:bCs/>
        </w:rPr>
        <w:br/>
        <w:t>(Комитет по вопросам безопасности ВОПОГ)</w:t>
      </w:r>
    </w:p>
    <w:p w:rsidR="00F832FC" w:rsidRPr="00F832FC" w:rsidRDefault="00F832FC" w:rsidP="00523F38">
      <w:pPr>
        <w:spacing w:before="120" w:line="240" w:lineRule="auto"/>
        <w:rPr>
          <w:b/>
          <w:bCs/>
        </w:rPr>
      </w:pPr>
      <w:r w:rsidRPr="00F832FC">
        <w:rPr>
          <w:b/>
          <w:bCs/>
        </w:rPr>
        <w:t>Тридцатая сессия</w:t>
      </w:r>
    </w:p>
    <w:p w:rsidR="00F832FC" w:rsidRPr="00F832FC" w:rsidRDefault="00F832FC" w:rsidP="00F832FC">
      <w:pPr>
        <w:spacing w:line="240" w:lineRule="auto"/>
      </w:pPr>
      <w:r w:rsidRPr="00F832FC">
        <w:t>Женева, 23–27 января 2017 года</w:t>
      </w:r>
    </w:p>
    <w:p w:rsidR="00F832FC" w:rsidRPr="00F832FC" w:rsidRDefault="00F832FC" w:rsidP="00F832FC">
      <w:pPr>
        <w:spacing w:line="240" w:lineRule="auto"/>
      </w:pPr>
      <w:r w:rsidRPr="00F832FC">
        <w:t>Пункт 4 c) предварительной повестки дня</w:t>
      </w:r>
    </w:p>
    <w:p w:rsidR="00F832FC" w:rsidRPr="00F832FC" w:rsidRDefault="00F832FC" w:rsidP="00F832FC">
      <w:pPr>
        <w:spacing w:line="240" w:lineRule="auto"/>
        <w:rPr>
          <w:b/>
        </w:rPr>
      </w:pPr>
      <w:r w:rsidRPr="00F832FC">
        <w:rPr>
          <w:b/>
        </w:rPr>
        <w:t xml:space="preserve">Применение Европейского соглашения </w:t>
      </w:r>
      <w:r w:rsidR="00523F38" w:rsidRPr="00523F38">
        <w:rPr>
          <w:b/>
        </w:rPr>
        <w:br/>
      </w:r>
      <w:r w:rsidRPr="00F832FC">
        <w:rPr>
          <w:b/>
        </w:rPr>
        <w:t xml:space="preserve">о международной перевозке опасных грузов </w:t>
      </w:r>
      <w:r w:rsidR="00523F38" w:rsidRPr="00523F38">
        <w:rPr>
          <w:b/>
        </w:rPr>
        <w:br/>
      </w:r>
      <w:r w:rsidRPr="00F832FC">
        <w:rPr>
          <w:b/>
        </w:rPr>
        <w:t>по внутренним водным путям (ВОПОГ):</w:t>
      </w:r>
    </w:p>
    <w:p w:rsidR="00F832FC" w:rsidRPr="00F832FC" w:rsidRDefault="00F832FC" w:rsidP="00F832FC">
      <w:pPr>
        <w:spacing w:line="240" w:lineRule="auto"/>
        <w:rPr>
          <w:b/>
        </w:rPr>
      </w:pPr>
      <w:r w:rsidRPr="00F832FC">
        <w:rPr>
          <w:b/>
        </w:rPr>
        <w:t>толкование Правил, прилагаемых к ВОПОГ</w:t>
      </w:r>
    </w:p>
    <w:p w:rsidR="00F832FC" w:rsidRPr="00F832FC" w:rsidRDefault="00F832FC" w:rsidP="00523F38">
      <w:pPr>
        <w:pStyle w:val="HChGR"/>
      </w:pPr>
      <w:r w:rsidRPr="00F832FC">
        <w:tab/>
      </w:r>
      <w:r w:rsidRPr="00F832FC">
        <w:tab/>
        <w:t>Подраздел 7.1.4.7 ВОПОГ – Места погрузки и</w:t>
      </w:r>
      <w:r w:rsidR="00523F38">
        <w:rPr>
          <w:lang w:val="en-US"/>
        </w:rPr>
        <w:t> </w:t>
      </w:r>
      <w:r w:rsidRPr="00F832FC">
        <w:t>выгрузки для сухогрузных судов</w:t>
      </w:r>
    </w:p>
    <w:p w:rsidR="00F832FC" w:rsidRDefault="00F832FC" w:rsidP="00523F38">
      <w:pPr>
        <w:pStyle w:val="H1GR"/>
        <w:rPr>
          <w:lang w:val="en-US"/>
        </w:rPr>
      </w:pPr>
      <w:r w:rsidRPr="00F832FC">
        <w:tab/>
      </w:r>
      <w:r w:rsidRPr="00F832FC">
        <w:tab/>
        <w:t>Передано правительством Германии</w:t>
      </w:r>
      <w:r w:rsidR="00E2701B" w:rsidRPr="00E2701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="00E2701B" w:rsidRPr="00E2701B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523F38" w:rsidTr="00507246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523F38" w:rsidRPr="00523F38" w:rsidRDefault="00523F38" w:rsidP="00523F38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523F38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523F38" w:rsidRPr="00523F38" w:rsidTr="00507246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5E065C" w:rsidRDefault="00523F38" w:rsidP="00E437D5">
            <w:pPr>
              <w:pStyle w:val="SingleTxtGR"/>
              <w:ind w:left="2830" w:hanging="2552"/>
              <w:rPr>
                <w:lang w:val="en-US"/>
              </w:rPr>
            </w:pPr>
            <w:r w:rsidRPr="00F832FC">
              <w:rPr>
                <w:b/>
              </w:rPr>
              <w:t>Существо предложения</w:t>
            </w:r>
            <w:r w:rsidRPr="00523F38">
              <w:rPr>
                <w:b/>
              </w:rPr>
              <w:t>:</w:t>
            </w:r>
            <w:r w:rsidR="009A1E9F" w:rsidRPr="009A1E9F">
              <w:rPr>
                <w:b/>
              </w:rPr>
              <w:tab/>
            </w:r>
            <w:r w:rsidRPr="009A1E9F">
              <w:rPr>
                <w:bCs/>
              </w:rPr>
              <w:t xml:space="preserve">В пункте 7.1.4.7.2 ВОПОГ содержится отдельное предписание в отношении </w:t>
            </w:r>
            <w:r w:rsidRPr="009A1E9F">
              <w:t>мест погрузки и выгрузки опасных грузов</w:t>
            </w:r>
            <w:r w:rsidRPr="009A1E9F">
              <w:rPr>
                <w:bCs/>
              </w:rPr>
              <w:t xml:space="preserve">, для которых </w:t>
            </w:r>
            <w:r w:rsidRPr="009A1E9F">
              <w:t>предписана сигнализация в виде трех синих конусов или трех синих огней.</w:t>
            </w:r>
            <w:r w:rsidR="00E437D5" w:rsidRPr="00E437D5">
              <w:t xml:space="preserve"> </w:t>
            </w:r>
          </w:p>
          <w:p w:rsidR="00523F38" w:rsidRPr="009A1E9F" w:rsidRDefault="005E065C" w:rsidP="00507246">
            <w:pPr>
              <w:pStyle w:val="SingleTxtGR"/>
              <w:ind w:left="2830" w:hanging="2552"/>
              <w:rPr>
                <w:lang w:eastAsia="ru-RU"/>
              </w:rPr>
            </w:pP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r w:rsidR="00523F38" w:rsidRPr="009A1E9F">
              <w:rPr>
                <w:bCs/>
              </w:rPr>
              <w:t>В отличие от пункта 7.1.4.7.1 ВОПОГ в вышеупомянутом пункте не содержится предписаний в отношении наличия средств для эвакуации.</w:t>
            </w:r>
          </w:p>
        </w:tc>
      </w:tr>
      <w:tr w:rsidR="00523F38" w:rsidRPr="00523F38" w:rsidTr="00507246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9A1E9F" w:rsidRPr="00F832FC" w:rsidRDefault="009A1E9F" w:rsidP="005E065C">
            <w:pPr>
              <w:pStyle w:val="SingleTxtGR"/>
              <w:spacing w:after="0"/>
              <w:ind w:left="2830" w:hanging="2552"/>
              <w:rPr>
                <w:bCs/>
              </w:rPr>
            </w:pPr>
            <w:r w:rsidRPr="009A1E9F">
              <w:rPr>
                <w:b/>
                <w:bCs/>
              </w:rPr>
              <w:lastRenderedPageBreak/>
              <w:t>Предлагаемое решение:</w:t>
            </w:r>
            <w:r w:rsidRPr="009A1E9F">
              <w:rPr>
                <w:bCs/>
              </w:rPr>
              <w:tab/>
            </w:r>
            <w:r w:rsidRPr="00F832FC">
              <w:rPr>
                <w:bCs/>
              </w:rPr>
              <w:t>Обсуждение в рамках Комитета по вопросам безопасности ВОПОГ</w:t>
            </w:r>
          </w:p>
          <w:p w:rsidR="00523F38" w:rsidRPr="009A1E9F" w:rsidRDefault="009A1E9F" w:rsidP="009A1E9F">
            <w:pPr>
              <w:pStyle w:val="SingleTxtGR"/>
              <w:ind w:left="2830" w:hanging="2552"/>
              <w:rPr>
                <w:lang w:eastAsia="ru-RU"/>
              </w:rPr>
            </w:pP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ab/>
            </w:r>
            <w:r w:rsidRPr="00F832FC">
              <w:rPr>
                <w:bCs/>
              </w:rPr>
              <w:t>Включение толкования в отчет о работе Совещания</w:t>
            </w:r>
          </w:p>
        </w:tc>
      </w:tr>
      <w:tr w:rsidR="00523F38" w:rsidRPr="00523F38" w:rsidTr="00523F38">
        <w:tc>
          <w:tcPr>
            <w:tcW w:w="9854" w:type="dxa"/>
            <w:shd w:val="clear" w:color="auto" w:fill="auto"/>
          </w:tcPr>
          <w:p w:rsidR="00523F38" w:rsidRPr="009A1E9F" w:rsidRDefault="009A1E9F" w:rsidP="009A1E9F">
            <w:pPr>
              <w:pStyle w:val="SingleTxtGR"/>
              <w:ind w:left="2830" w:hanging="2552"/>
              <w:rPr>
                <w:bCs/>
              </w:rPr>
            </w:pPr>
            <w:r w:rsidRPr="009A1E9F">
              <w:rPr>
                <w:b/>
                <w:bCs/>
              </w:rPr>
              <w:t>Справочные документы:</w:t>
            </w:r>
            <w:r w:rsidRPr="009A1E9F">
              <w:rPr>
                <w:bCs/>
              </w:rPr>
              <w:tab/>
              <w:t xml:space="preserve">ECE/ADN/27, ECE/TRANS/WP.15/AC.2/60, </w:t>
            </w:r>
            <w:r w:rsidRPr="00F832FC">
              <w:rPr>
                <w:bCs/>
              </w:rPr>
              <w:t>пункт</w:t>
            </w:r>
            <w:r w:rsidRPr="009A1E9F">
              <w:rPr>
                <w:bCs/>
              </w:rPr>
              <w:t xml:space="preserve"> 15</w:t>
            </w:r>
          </w:p>
        </w:tc>
      </w:tr>
      <w:tr w:rsidR="009A1E9F" w:rsidRPr="00523F38" w:rsidTr="00523F38">
        <w:tc>
          <w:tcPr>
            <w:tcW w:w="9854" w:type="dxa"/>
            <w:shd w:val="clear" w:color="auto" w:fill="auto"/>
          </w:tcPr>
          <w:p w:rsidR="009A1E9F" w:rsidRPr="00523F38" w:rsidRDefault="009A1E9F" w:rsidP="00523F38">
            <w:pPr>
              <w:rPr>
                <w:lang w:eastAsia="ru-RU"/>
              </w:rPr>
            </w:pPr>
          </w:p>
        </w:tc>
      </w:tr>
    </w:tbl>
    <w:p w:rsidR="00F832FC" w:rsidRPr="00F832FC" w:rsidRDefault="00F832FC" w:rsidP="00E2701B">
      <w:pPr>
        <w:pStyle w:val="HChGR"/>
      </w:pPr>
      <w:r w:rsidRPr="009A1E9F">
        <w:rPr>
          <w:lang w:val="en-US"/>
        </w:rPr>
        <w:tab/>
      </w:r>
      <w:r w:rsidRPr="00F832FC">
        <w:t>I.</w:t>
      </w:r>
      <w:r w:rsidRPr="00F832FC">
        <w:tab/>
        <w:t>Введение</w:t>
      </w:r>
    </w:p>
    <w:p w:rsidR="00F832FC" w:rsidRPr="00F832FC" w:rsidRDefault="00F832FC" w:rsidP="00F832FC">
      <w:pPr>
        <w:pStyle w:val="SingleTxtGR"/>
      </w:pPr>
      <w:r w:rsidRPr="00F832FC">
        <w:t>1.</w:t>
      </w:r>
      <w:r w:rsidRPr="00F832FC">
        <w:tab/>
        <w:t>С момента вступления в силу ВОПОГ 2015 года пункт 7.1.4.7.1 ВОПОГ предписывает, что в местах погрузки и выгрузки для сухогрузных судов должны иметься в наличии так называемые средства для эвакуации, предусмотренные в таблице в подразделе</w:t>
      </w:r>
      <w:r>
        <w:t xml:space="preserve"> </w:t>
      </w:r>
      <w:r w:rsidRPr="00F832FC">
        <w:t>7.</w:t>
      </w:r>
      <w:r w:rsidR="00A70539" w:rsidRPr="00A70539">
        <w:t>2</w:t>
      </w:r>
      <w:r w:rsidRPr="00F832FC">
        <w:t>.4.77 ВОПОГ. При отсутствии таких средств перегрузка может производиться только с разрешения компетентного органа.</w:t>
      </w:r>
    </w:p>
    <w:p w:rsidR="00F832FC" w:rsidRPr="00F832FC" w:rsidRDefault="00F832FC" w:rsidP="00F832FC">
      <w:pPr>
        <w:pStyle w:val="SingleTxtGR"/>
      </w:pPr>
      <w:r w:rsidRPr="00F832FC">
        <w:t>2.</w:t>
      </w:r>
      <w:r w:rsidRPr="00F832FC">
        <w:tab/>
        <w:t>При включении данного предписания в ВОПОГ 2015</w:t>
      </w:r>
      <w:r w:rsidR="00507246" w:rsidRPr="00507246">
        <w:t xml:space="preserve"> </w:t>
      </w:r>
      <w:r w:rsidR="00507246">
        <w:t>года</w:t>
      </w:r>
      <w:r w:rsidRPr="00F832FC">
        <w:t xml:space="preserve"> (см. ECE/</w:t>
      </w:r>
      <w:r w:rsidR="00507246">
        <w:br/>
      </w:r>
      <w:r w:rsidRPr="00F832FC">
        <w:t>ADN/27), по мнению делегации Германии, было упущено из виду, что в следующем пункте 7.1.4.7.2 ВОПОГ содержится отдельное положение, касающееся утверждения мест погрузки и выгрузки для грузов класса 1 и грузов класса 4.1 или 5.2, когда для этих грузов предписана сигнализация в виде трех синих конусов или трех синих огней.</w:t>
      </w:r>
    </w:p>
    <w:p w:rsidR="00F832FC" w:rsidRPr="00F832FC" w:rsidRDefault="00F832FC" w:rsidP="00E2701B">
      <w:pPr>
        <w:pStyle w:val="HChGR"/>
      </w:pPr>
      <w:r w:rsidRPr="00F832FC">
        <w:tab/>
        <w:t>II.</w:t>
      </w:r>
      <w:r w:rsidRPr="00F832FC">
        <w:tab/>
        <w:t>Вопрос толкования</w:t>
      </w:r>
    </w:p>
    <w:p w:rsidR="00F832FC" w:rsidRPr="00F832FC" w:rsidRDefault="00F832FC" w:rsidP="00F832FC">
      <w:pPr>
        <w:pStyle w:val="SingleTxtGR"/>
      </w:pPr>
      <w:r w:rsidRPr="00F832FC">
        <w:t>3.</w:t>
      </w:r>
      <w:r w:rsidRPr="00F832FC">
        <w:tab/>
        <w:t>Германия считает, что средства для эвакуации вполне очевидно должны иметься в наличии также в местах погрузки и выгрузки, особо упомянутых в пункте 7.1.4.7.2 ВОПОГ. Аргумент в пользу этого состоит в том, что в таблице «Возможные средства для эвакуации в случае возникновения чрезвычайной ситуации», содержащейся в подразделе 7.1.4.77 ВОПОГ, в последней колонке «Контейнер и</w:t>
      </w:r>
      <w:r>
        <w:t xml:space="preserve"> </w:t>
      </w:r>
      <w:r w:rsidRPr="00F832FC">
        <w:t xml:space="preserve">упакованные грузы» упоминаются </w:t>
      </w:r>
      <w:r w:rsidRPr="00195702">
        <w:rPr>
          <w:b/>
        </w:rPr>
        <w:t>все</w:t>
      </w:r>
      <w:r w:rsidRPr="00F832FC">
        <w:t xml:space="preserve"> классы, т.е. также классы</w:t>
      </w:r>
      <w:r w:rsidR="00507246">
        <w:t> </w:t>
      </w:r>
      <w:r w:rsidRPr="00F832FC">
        <w:t>1, 4.1 и 5.2. Пункт 7.1.4.7.1 ВОПОГ может рассматриваться как общее предписание для всех мест погрузки и выгрузки для всех категорий опасных грузов.</w:t>
      </w:r>
    </w:p>
    <w:p w:rsidR="00F832FC" w:rsidRPr="00F832FC" w:rsidRDefault="00F832FC" w:rsidP="00F832FC">
      <w:pPr>
        <w:pStyle w:val="SingleTxtGR"/>
      </w:pPr>
      <w:r w:rsidRPr="00F832FC">
        <w:t>4.</w:t>
      </w:r>
      <w:r w:rsidRPr="00F832FC">
        <w:tab/>
        <w:t>Смысл пункта 7.1.4.7.2 ВОПОГ состоит в том, что опасные грузы классов</w:t>
      </w:r>
      <w:r w:rsidR="00C07EB2">
        <w:rPr>
          <w:lang w:val="en-US"/>
        </w:rPr>
        <w:t> </w:t>
      </w:r>
      <w:r w:rsidRPr="00F832FC">
        <w:t>1, 4.1 и 5.2, когда для них предписаны три синих конуса/синих огня, должны быть прямо упомянуты, если это необходимо, для целей утверждения мест погрузки и выгрузки. Вследствие обязанности выставлять три синих конуса/синих огня во время погрузки и выгрузки этих грузов фактически возникает возросший потенциал конкретной опасности. Этот потенциал опасности должен особо учитываться, когда речь идет, например, о расположении мест погрузки и выгрузки по отношению к другим сооружениям (кустарным, коммерческим или промышленным) и жилым районам (см. предписание в отношении минимальных расстояний во время стоянки, пункт 7.1.5.4.3 ВОПОГ, третий подпункт). Этот потенциал конкретной опасности служит подтверждением требования о наличии соответствующих средств для эвакуации.</w:t>
      </w:r>
    </w:p>
    <w:p w:rsidR="00F832FC" w:rsidRPr="00F832FC" w:rsidRDefault="00F832FC" w:rsidP="00E2701B">
      <w:pPr>
        <w:pStyle w:val="HChGR"/>
      </w:pPr>
      <w:r w:rsidRPr="00F832FC">
        <w:tab/>
        <w:t>III.</w:t>
      </w:r>
      <w:r w:rsidRPr="00F832FC">
        <w:tab/>
        <w:t>Позиция Германии</w:t>
      </w:r>
    </w:p>
    <w:p w:rsidR="00A658DB" w:rsidRDefault="00F832FC" w:rsidP="00F832FC">
      <w:pPr>
        <w:pStyle w:val="SingleTxtGR"/>
        <w:rPr>
          <w:lang w:val="en-US"/>
        </w:rPr>
      </w:pPr>
      <w:r w:rsidRPr="00F832FC">
        <w:t>5.</w:t>
      </w:r>
      <w:r w:rsidRPr="00F832FC">
        <w:tab/>
        <w:t>Германия предлагает Комитету по вопросам безопасности рассмотреть данный вопрос и подтвердить вышеизложенное толкование.</w:t>
      </w:r>
    </w:p>
    <w:p w:rsidR="00F832FC" w:rsidRPr="00F832FC" w:rsidRDefault="00F832FC" w:rsidP="00F832F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832FC" w:rsidRPr="00F832F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FC" w:rsidRDefault="00F832FC" w:rsidP="00B471C5">
      <w:r>
        <w:separator/>
      </w:r>
    </w:p>
  </w:endnote>
  <w:endnote w:type="continuationSeparator" w:id="0">
    <w:p w:rsidR="00F832FC" w:rsidRDefault="00F832F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E166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2701B">
      <w:rPr>
        <w:lang w:val="en-US"/>
      </w:rPr>
      <w:t>19623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E2701B">
      <w:rPr>
        <w:lang w:val="en-US"/>
      </w:rPr>
      <w:t>19623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0724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255B9">
            <w:rPr>
              <w:lang w:val="en-US"/>
            </w:rPr>
            <w:t>19623</w:t>
          </w:r>
          <w:r w:rsidRPr="001C3ABC">
            <w:rPr>
              <w:lang w:val="en-US"/>
            </w:rPr>
            <w:t xml:space="preserve"> (R)</w:t>
          </w:r>
          <w:r w:rsidR="00D255B9">
            <w:rPr>
              <w:lang w:val="en-US"/>
            </w:rPr>
            <w:t xml:space="preserve">  021216  021216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255B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7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255B9" w:rsidRDefault="00D255B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255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FC" w:rsidRPr="009141DC" w:rsidRDefault="00F832F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832FC" w:rsidRPr="00D1261C" w:rsidRDefault="00F832F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2701B" w:rsidRPr="00E2701B" w:rsidRDefault="00E2701B">
      <w:pPr>
        <w:pStyle w:val="FootnoteText"/>
        <w:rPr>
          <w:lang w:val="ru-RU"/>
        </w:rPr>
      </w:pPr>
      <w:r>
        <w:tab/>
      </w:r>
      <w:r w:rsidRPr="00E2701B">
        <w:rPr>
          <w:rStyle w:val="FootnoteReference"/>
          <w:sz w:val="20"/>
          <w:vertAlign w:val="baseline"/>
          <w:lang w:val="ru-RU"/>
        </w:rPr>
        <w:t>*</w:t>
      </w:r>
      <w:r w:rsidRPr="00E2701B">
        <w:rPr>
          <w:lang w:val="ru-RU"/>
        </w:rPr>
        <w:t xml:space="preserve"> </w:t>
      </w:r>
      <w:r w:rsidRPr="00E2701B">
        <w:rPr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3E49BF">
        <w:rPr>
          <w:lang w:val="ru-RU"/>
        </w:rPr>
        <w:t xml:space="preserve"> </w:t>
      </w:r>
      <w:r w:rsidRPr="00834E2C">
        <w:t>CCNR</w:t>
      </w:r>
      <w:r w:rsidR="0094277E" w:rsidRPr="0094277E">
        <w:rPr>
          <w:lang w:val="ru-RU"/>
        </w:rPr>
        <w:t>/</w:t>
      </w:r>
      <w:r w:rsidRPr="00834E2C">
        <w:t>ZKR</w:t>
      </w:r>
      <w:r w:rsidRPr="003E49BF">
        <w:rPr>
          <w:lang w:val="ru-RU"/>
        </w:rPr>
        <w:t>/</w:t>
      </w:r>
      <w:r w:rsidRPr="00834E2C">
        <w:t>ADN</w:t>
      </w:r>
      <w:r w:rsidRPr="003E49BF">
        <w:rPr>
          <w:lang w:val="ru-RU"/>
        </w:rPr>
        <w:t>/</w:t>
      </w:r>
      <w:r w:rsidRPr="00834E2C">
        <w:t>WP</w:t>
      </w:r>
      <w:r w:rsidRPr="003E49BF">
        <w:rPr>
          <w:lang w:val="ru-RU"/>
        </w:rPr>
        <w:t>.15/</w:t>
      </w:r>
      <w:r w:rsidRPr="00834E2C">
        <w:t>AC</w:t>
      </w:r>
      <w:r w:rsidRPr="003E49BF">
        <w:rPr>
          <w:lang w:val="ru-RU"/>
        </w:rPr>
        <w:t>.2/2017/</w:t>
      </w:r>
      <w:r>
        <w:rPr>
          <w:lang w:val="ru-RU"/>
        </w:rPr>
        <w:t>11</w:t>
      </w:r>
      <w:r w:rsidRPr="003E49BF">
        <w:rPr>
          <w:noProof/>
          <w:lang w:val="ru-RU"/>
        </w:rPr>
        <w:t>.</w:t>
      </w:r>
    </w:p>
  </w:footnote>
  <w:footnote w:id="2">
    <w:p w:rsidR="00E2701B" w:rsidRPr="00E2701B" w:rsidRDefault="00E2701B">
      <w:pPr>
        <w:pStyle w:val="FootnoteText"/>
        <w:rPr>
          <w:lang w:val="ru-RU"/>
        </w:rPr>
      </w:pPr>
      <w:r w:rsidRPr="0094277E">
        <w:rPr>
          <w:lang w:val="ru-RU"/>
        </w:rPr>
        <w:tab/>
      </w:r>
      <w:r w:rsidRPr="00D255B9">
        <w:rPr>
          <w:rStyle w:val="FootnoteReference"/>
          <w:sz w:val="20"/>
          <w:vertAlign w:val="baseline"/>
          <w:lang w:val="ru-RU"/>
        </w:rPr>
        <w:t>**</w:t>
      </w:r>
      <w:r w:rsidRPr="00E2701B">
        <w:rPr>
          <w:lang w:val="ru-RU"/>
        </w:rPr>
        <w:t xml:space="preserve"> </w:t>
      </w:r>
      <w:r w:rsidRPr="00E2701B">
        <w:rPr>
          <w:lang w:val="ru-RU"/>
        </w:rPr>
        <w:tab/>
      </w:r>
      <w:r w:rsidR="00D255B9" w:rsidRPr="00D255B9">
        <w:rPr>
          <w:lang w:val="ru-RU"/>
        </w:rPr>
        <w:t xml:space="preserve">В соответствии с программой работы Комитета по внутреннему транспорту </w:t>
      </w:r>
      <w:r w:rsidR="00D255B9" w:rsidRPr="00D255B9">
        <w:rPr>
          <w:lang w:val="ru-RU"/>
        </w:rPr>
        <w:br/>
        <w:t>на 2016–2017 годы (</w:t>
      </w:r>
      <w:r w:rsidR="00D255B9" w:rsidRPr="00D255B9">
        <w:rPr>
          <w:lang w:val="en-US"/>
        </w:rPr>
        <w:t>ECE</w:t>
      </w:r>
      <w:r w:rsidR="00D255B9" w:rsidRPr="00D255B9">
        <w:rPr>
          <w:lang w:val="ru-RU"/>
        </w:rPr>
        <w:t>/</w:t>
      </w:r>
      <w:r w:rsidR="00D255B9" w:rsidRPr="00D255B9">
        <w:rPr>
          <w:lang w:val="en-US"/>
        </w:rPr>
        <w:t>TRANS</w:t>
      </w:r>
      <w:r w:rsidR="00D255B9" w:rsidRPr="00D255B9">
        <w:rPr>
          <w:lang w:val="ru-RU"/>
        </w:rPr>
        <w:t>/2016/28/</w:t>
      </w:r>
      <w:r w:rsidR="00D255B9" w:rsidRPr="00D255B9">
        <w:rPr>
          <w:lang w:val="en-US"/>
        </w:rPr>
        <w:t>Add</w:t>
      </w:r>
      <w:r w:rsidR="00D255B9" w:rsidRPr="00D255B9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2701B" w:rsidRPr="00E2701B">
      <w:rPr>
        <w:lang w:val="en-US"/>
      </w:rPr>
      <w:t>TRANS/WP.15/AC.2/2017/11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2701B" w:rsidRPr="00E2701B">
      <w:rPr>
        <w:lang w:val="en-US"/>
      </w:rPr>
      <w:t>TRANS/WP.15/AC.2/2017/11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C"/>
    <w:rsid w:val="000450D1"/>
    <w:rsid w:val="000B1FD5"/>
    <w:rsid w:val="000F2A4F"/>
    <w:rsid w:val="00195702"/>
    <w:rsid w:val="00203F84"/>
    <w:rsid w:val="00236A53"/>
    <w:rsid w:val="00275188"/>
    <w:rsid w:val="0028687D"/>
    <w:rsid w:val="002B091C"/>
    <w:rsid w:val="002B3D40"/>
    <w:rsid w:val="002D0CCB"/>
    <w:rsid w:val="00345C79"/>
    <w:rsid w:val="00366A39"/>
    <w:rsid w:val="00446892"/>
    <w:rsid w:val="0048005C"/>
    <w:rsid w:val="004D639B"/>
    <w:rsid w:val="004E242B"/>
    <w:rsid w:val="00507246"/>
    <w:rsid w:val="00523F38"/>
    <w:rsid w:val="00544379"/>
    <w:rsid w:val="00566944"/>
    <w:rsid w:val="005D56BF"/>
    <w:rsid w:val="005E065C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4277E"/>
    <w:rsid w:val="0098674D"/>
    <w:rsid w:val="00997ACA"/>
    <w:rsid w:val="009A1E9F"/>
    <w:rsid w:val="009E166B"/>
    <w:rsid w:val="00A03FB7"/>
    <w:rsid w:val="00A55C56"/>
    <w:rsid w:val="00A658DB"/>
    <w:rsid w:val="00A70539"/>
    <w:rsid w:val="00A75A11"/>
    <w:rsid w:val="00A9606E"/>
    <w:rsid w:val="00AD7EAD"/>
    <w:rsid w:val="00B35A32"/>
    <w:rsid w:val="00B432C6"/>
    <w:rsid w:val="00B471C5"/>
    <w:rsid w:val="00B6474A"/>
    <w:rsid w:val="00BE1742"/>
    <w:rsid w:val="00C07EB2"/>
    <w:rsid w:val="00D1261C"/>
    <w:rsid w:val="00D255B9"/>
    <w:rsid w:val="00D26030"/>
    <w:rsid w:val="00D75DCE"/>
    <w:rsid w:val="00DD35AC"/>
    <w:rsid w:val="00DD479F"/>
    <w:rsid w:val="00DF7A57"/>
    <w:rsid w:val="00E15E48"/>
    <w:rsid w:val="00E2701B"/>
    <w:rsid w:val="00E437D5"/>
    <w:rsid w:val="00EB0723"/>
    <w:rsid w:val="00EB2957"/>
    <w:rsid w:val="00EB55DC"/>
    <w:rsid w:val="00EE6F37"/>
    <w:rsid w:val="00F1599F"/>
    <w:rsid w:val="00F31EF2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63C252-7253-4CF7-9E81-82F7B515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E167-7AAD-45C4-BFD0-69C2EFF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cp:lastPrinted>2016-12-02T09:21:00Z</cp:lastPrinted>
  <dcterms:created xsi:type="dcterms:W3CDTF">2016-12-02T16:15:00Z</dcterms:created>
  <dcterms:modified xsi:type="dcterms:W3CDTF">2016-12-02T16:15:00Z</dcterms:modified>
</cp:coreProperties>
</file>