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A86837"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171EA3" w:rsidRDefault="00C4302B" w:rsidP="005722E7">
            <w:pPr>
              <w:jc w:val="right"/>
              <w:rPr>
                <w:lang w:val="en-GB"/>
              </w:rPr>
            </w:pPr>
            <w:r w:rsidRPr="00171EA3">
              <w:rPr>
                <w:sz w:val="40"/>
                <w:lang w:val="en-GB"/>
              </w:rPr>
              <w:t>ECE</w:t>
            </w:r>
            <w:r w:rsidR="00A86837">
              <w:rPr>
                <w:lang w:val="en-GB"/>
              </w:rPr>
              <w:t>/TRANS/WP.15/AC.2</w:t>
            </w:r>
            <w:r w:rsidRPr="00171EA3">
              <w:rPr>
                <w:lang w:val="en-GB"/>
              </w:rPr>
              <w:t>/201</w:t>
            </w:r>
            <w:r w:rsidR="00D017DF">
              <w:rPr>
                <w:lang w:val="en-GB"/>
              </w:rPr>
              <w:t>7</w:t>
            </w:r>
            <w:r w:rsidRPr="00171EA3">
              <w:rPr>
                <w:lang w:val="en-GB"/>
              </w:rPr>
              <w:t>/</w:t>
            </w:r>
            <w:r w:rsidR="00D241C1">
              <w:rPr>
                <w:lang w:val="en-GB"/>
              </w:rPr>
              <w:t>1</w:t>
            </w:r>
            <w:r w:rsidR="005722E7">
              <w:rPr>
                <w:lang w:val="en-GB"/>
              </w:rPr>
              <w:t>3</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1703B7" w:rsidP="00F01516">
            <w:pPr>
              <w:spacing w:before="120"/>
              <w:jc w:val="center"/>
              <w:rPr>
                <w:lang w:val="fr-FR"/>
              </w:rPr>
            </w:pPr>
            <w:r>
              <w:rPr>
                <w:noProof/>
                <w:lang w:val="en-GB" w:eastAsia="en-GB"/>
              </w:rPr>
              <w:drawing>
                <wp:inline distT="0" distB="0" distL="0" distR="0" wp14:anchorId="513FC690" wp14:editId="16B15124">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C4302B" w:rsidP="00C4302B">
            <w:pPr>
              <w:spacing w:before="240" w:line="240" w:lineRule="exact"/>
              <w:rPr>
                <w:lang w:val="fr-FR"/>
              </w:rPr>
            </w:pPr>
            <w:r>
              <w:rPr>
                <w:lang w:val="fr-FR"/>
              </w:rPr>
              <w:t>Distr. générale</w:t>
            </w:r>
          </w:p>
          <w:p w:rsidR="00C4302B" w:rsidRDefault="0047700A" w:rsidP="00C4302B">
            <w:pPr>
              <w:spacing w:line="240" w:lineRule="exact"/>
              <w:rPr>
                <w:lang w:val="fr-FR"/>
              </w:rPr>
            </w:pPr>
            <w:r>
              <w:rPr>
                <w:lang w:val="fr-FR"/>
              </w:rPr>
              <w:t>9</w:t>
            </w:r>
            <w:r w:rsidR="0094300E">
              <w:rPr>
                <w:lang w:val="fr-FR"/>
              </w:rPr>
              <w:t xml:space="preserve"> </w:t>
            </w:r>
            <w:r w:rsidR="00D017DF">
              <w:rPr>
                <w:lang w:val="fr-FR"/>
              </w:rPr>
              <w:t>novembre</w:t>
            </w:r>
            <w:r w:rsidR="00B30CFB">
              <w:rPr>
                <w:lang w:val="fr-FR"/>
              </w:rPr>
              <w:t xml:space="preserve"> 2016</w:t>
            </w:r>
          </w:p>
          <w:p w:rsidR="00C4302B" w:rsidRDefault="00C4302B" w:rsidP="00C4302B">
            <w:pPr>
              <w:spacing w:line="240" w:lineRule="exact"/>
              <w:rPr>
                <w:lang w:val="fr-FR"/>
              </w:rPr>
            </w:pPr>
          </w:p>
          <w:p w:rsidR="00C4302B" w:rsidRPr="00367E6A" w:rsidRDefault="00C4302B" w:rsidP="00B30CFB">
            <w:pPr>
              <w:spacing w:line="240" w:lineRule="exact"/>
              <w:rPr>
                <w:lang w:val="fr-FR"/>
              </w:rPr>
            </w:pPr>
            <w:r>
              <w:rPr>
                <w:lang w:val="fr-FR"/>
              </w:rPr>
              <w:t xml:space="preserve">Original: français </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49374F" w:rsidRPr="00A17EEC" w:rsidRDefault="0049374F" w:rsidP="0049374F">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49374F" w:rsidRPr="00234E40" w:rsidRDefault="00D017DF" w:rsidP="0049374F">
      <w:pPr>
        <w:spacing w:before="120"/>
        <w:rPr>
          <w:b/>
        </w:rPr>
      </w:pPr>
      <w:r>
        <w:rPr>
          <w:b/>
        </w:rPr>
        <w:t>Trentième</w:t>
      </w:r>
      <w:r w:rsidR="0049374F">
        <w:rPr>
          <w:b/>
        </w:rPr>
        <w:t xml:space="preserve"> </w:t>
      </w:r>
      <w:r w:rsidR="0049374F" w:rsidRPr="00234E40">
        <w:rPr>
          <w:b/>
        </w:rPr>
        <w:t>session</w:t>
      </w:r>
    </w:p>
    <w:p w:rsidR="0049374F" w:rsidRDefault="0049374F" w:rsidP="0049374F">
      <w:r>
        <w:t>Genève, 2</w:t>
      </w:r>
      <w:r w:rsidR="00D017DF">
        <w:t>3</w:t>
      </w:r>
      <w:r>
        <w:t>-2</w:t>
      </w:r>
      <w:r w:rsidR="00D017DF">
        <w:t>7</w:t>
      </w:r>
      <w:r>
        <w:t xml:space="preserve"> </w:t>
      </w:r>
      <w:r w:rsidR="00D017DF">
        <w:t>janvier</w:t>
      </w:r>
      <w:r>
        <w:t xml:space="preserve"> 201</w:t>
      </w:r>
      <w:r w:rsidR="008E0108">
        <w:t>7</w:t>
      </w:r>
    </w:p>
    <w:p w:rsidR="0049374F" w:rsidRDefault="0049374F" w:rsidP="0049374F">
      <w:r w:rsidRPr="00B93E72">
        <w:t xml:space="preserve">Point </w:t>
      </w:r>
      <w:r w:rsidR="00D241C1">
        <w:t>4</w:t>
      </w:r>
      <w:r w:rsidR="00C617E1">
        <w:t xml:space="preserve"> </w:t>
      </w:r>
      <w:r w:rsidR="00D241C1">
        <w:t>c</w:t>
      </w:r>
      <w:r w:rsidR="00C617E1">
        <w:t>)</w:t>
      </w:r>
      <w:r w:rsidRPr="00B93E72">
        <w:t xml:space="preserve"> de l</w:t>
      </w:r>
      <w:r>
        <w:t>’</w:t>
      </w:r>
      <w:r w:rsidRPr="00B93E72">
        <w:t>ordre du jour provisoire</w:t>
      </w:r>
    </w:p>
    <w:p w:rsidR="0049374F" w:rsidRDefault="00D241C1" w:rsidP="00790627">
      <w:pPr>
        <w:rPr>
          <w:b/>
          <w:lang w:val="fr-FR"/>
        </w:rPr>
      </w:pPr>
      <w:r w:rsidRPr="00D241C1">
        <w:rPr>
          <w:b/>
        </w:rPr>
        <w:t>Mise en œuvre</w:t>
      </w:r>
      <w:r w:rsidRPr="00D241C1">
        <w:rPr>
          <w:b/>
          <w:lang w:val="fr-FR"/>
        </w:rPr>
        <w:t xml:space="preserve"> de l’Accord européen relatif au </w:t>
      </w:r>
      <w:r>
        <w:rPr>
          <w:b/>
          <w:lang w:val="fr-FR"/>
        </w:rPr>
        <w:br/>
      </w:r>
      <w:r w:rsidRPr="00D241C1">
        <w:rPr>
          <w:b/>
          <w:lang w:val="fr-FR"/>
        </w:rPr>
        <w:t xml:space="preserve">transport international des marchandises dangereuses </w:t>
      </w:r>
      <w:r>
        <w:rPr>
          <w:b/>
          <w:lang w:val="fr-FR"/>
        </w:rPr>
        <w:br/>
      </w:r>
      <w:r w:rsidRPr="00D241C1">
        <w:rPr>
          <w:b/>
          <w:lang w:val="fr-FR"/>
        </w:rPr>
        <w:t>par voies de navigation intérieures (ADN)</w:t>
      </w:r>
    </w:p>
    <w:p w:rsidR="00C617E1" w:rsidRPr="00C63AC1" w:rsidRDefault="00930CC7" w:rsidP="00790627">
      <w:r>
        <w:rPr>
          <w:b/>
        </w:rPr>
        <w:t>i</w:t>
      </w:r>
      <w:r w:rsidR="00D241C1" w:rsidRPr="00D241C1">
        <w:rPr>
          <w:b/>
        </w:rPr>
        <w:t>nterprétation du Règlement annexé à l'ADN</w:t>
      </w:r>
    </w:p>
    <w:p w:rsidR="00A86837" w:rsidRPr="00EA0C87" w:rsidRDefault="0049374F" w:rsidP="00DB07CB">
      <w:pPr>
        <w:pStyle w:val="HChG"/>
        <w:spacing w:after="120"/>
      </w:pPr>
      <w:r w:rsidRPr="00C63AC1">
        <w:tab/>
      </w:r>
      <w:r w:rsidR="00A86837" w:rsidRPr="00C63AC1">
        <w:tab/>
      </w:r>
      <w:r w:rsidR="00930CC7">
        <w:rPr>
          <w:bCs/>
          <w:lang w:val="fr-FR" w:bidi="fr-FR"/>
        </w:rPr>
        <w:t>7.2.4.1.1 ADN, t</w:t>
      </w:r>
      <w:r w:rsidR="00DB07CB" w:rsidRPr="00DB07CB">
        <w:rPr>
          <w:bCs/>
          <w:lang w:val="fr-FR" w:bidi="fr-FR"/>
        </w:rPr>
        <w:t>ransport de colis sur des bateaux-citernes</w:t>
      </w:r>
    </w:p>
    <w:p w:rsidR="00A93320" w:rsidRPr="00A93320" w:rsidRDefault="00A86837" w:rsidP="00DB07CB">
      <w:pPr>
        <w:pStyle w:val="H1G"/>
        <w:spacing w:before="240"/>
        <w:rPr>
          <w:szCs w:val="24"/>
        </w:rPr>
      </w:pPr>
      <w:r w:rsidRPr="00EA0C87">
        <w:tab/>
      </w:r>
      <w:r w:rsidRPr="00EA0C87">
        <w:tab/>
      </w:r>
      <w:r w:rsidR="00481464">
        <w:rPr>
          <w:lang w:val="fr-FR"/>
        </w:rPr>
        <w:t xml:space="preserve">Communication </w:t>
      </w:r>
      <w:r w:rsidR="00C617E1" w:rsidRPr="00C617E1">
        <w:rPr>
          <w:lang w:val="fr-FR"/>
        </w:rPr>
        <w:t>du Gouvernement de l’Allemagne</w:t>
      </w:r>
      <w:r w:rsidR="008E0108" w:rsidRPr="0047700A">
        <w:rPr>
          <w:rStyle w:val="FootnoteReference"/>
          <w:sz w:val="24"/>
          <w:szCs w:val="24"/>
        </w:rPr>
        <w:footnoteReference w:customMarkFollows="1" w:id="2"/>
        <w:t>*</w:t>
      </w:r>
      <w:r w:rsidR="00481464" w:rsidRPr="0047700A">
        <w:rPr>
          <w:szCs w:val="24"/>
          <w:vertAlign w:val="superscript"/>
          <w:lang w:val="fr-FR"/>
        </w:rPr>
        <w:t xml:space="preserve">, </w:t>
      </w:r>
      <w:r w:rsidR="008E0108" w:rsidRPr="0047700A">
        <w:rPr>
          <w:rStyle w:val="FootnoteReference"/>
          <w:sz w:val="24"/>
          <w:szCs w:val="24"/>
        </w:rPr>
        <w:footnoteReference w:customMarkFollows="1" w:id="3"/>
        <w:t>**</w:t>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05"/>
        <w:gridCol w:w="7234"/>
      </w:tblGrid>
      <w:tr w:rsidR="00A93320" w:rsidRPr="00A93320" w:rsidTr="00A93320">
        <w:trPr>
          <w:jc w:val="center"/>
        </w:trPr>
        <w:tc>
          <w:tcPr>
            <w:tcW w:w="2405" w:type="dxa"/>
          </w:tcPr>
          <w:p w:rsidR="00A93320" w:rsidRPr="00A93320" w:rsidRDefault="00A93320" w:rsidP="00A93320">
            <w:pPr>
              <w:widowControl w:val="0"/>
              <w:tabs>
                <w:tab w:val="left" w:pos="284"/>
              </w:tabs>
              <w:suppressAutoHyphens w:val="0"/>
              <w:overflowPunct w:val="0"/>
              <w:autoSpaceDE w:val="0"/>
              <w:autoSpaceDN w:val="0"/>
              <w:adjustRightInd w:val="0"/>
              <w:ind w:right="567"/>
              <w:jc w:val="both"/>
              <w:textAlignment w:val="baseline"/>
              <w:rPr>
                <w:color w:val="000000"/>
                <w:sz w:val="24"/>
                <w:szCs w:val="24"/>
                <w:lang w:val="fr-FR"/>
              </w:rPr>
            </w:pPr>
            <w:r w:rsidRPr="00A93320">
              <w:rPr>
                <w:rFonts w:eastAsia="Arial"/>
                <w:i/>
                <w:color w:val="000000"/>
                <w:sz w:val="24"/>
                <w:szCs w:val="24"/>
                <w:lang w:val="fr-FR"/>
              </w:rPr>
              <w:t>Résumé</w:t>
            </w:r>
          </w:p>
        </w:tc>
        <w:tc>
          <w:tcPr>
            <w:tcW w:w="7234" w:type="dxa"/>
          </w:tcPr>
          <w:p w:rsidR="00A93320" w:rsidRPr="00A93320" w:rsidRDefault="00A93320" w:rsidP="00A93320">
            <w:pPr>
              <w:widowControl w:val="0"/>
              <w:suppressAutoHyphens w:val="0"/>
              <w:overflowPunct w:val="0"/>
              <w:autoSpaceDE w:val="0"/>
              <w:autoSpaceDN w:val="0"/>
              <w:adjustRightInd w:val="0"/>
              <w:ind w:right="567"/>
              <w:jc w:val="both"/>
              <w:textAlignment w:val="baseline"/>
              <w:rPr>
                <w:color w:val="000000"/>
                <w:sz w:val="24"/>
                <w:szCs w:val="24"/>
                <w:lang w:val="fr-FR"/>
              </w:rPr>
            </w:pPr>
          </w:p>
        </w:tc>
      </w:tr>
      <w:tr w:rsidR="00A93320" w:rsidRPr="00A93320" w:rsidTr="00A93320">
        <w:trPr>
          <w:jc w:val="center"/>
        </w:trPr>
        <w:tc>
          <w:tcPr>
            <w:tcW w:w="2405" w:type="dxa"/>
          </w:tcPr>
          <w:p w:rsidR="00A93320" w:rsidRPr="00A93320" w:rsidRDefault="00A93320" w:rsidP="0047700A">
            <w:pPr>
              <w:widowControl w:val="0"/>
              <w:tabs>
                <w:tab w:val="left" w:pos="284"/>
              </w:tabs>
              <w:suppressAutoHyphens w:val="0"/>
              <w:overflowPunct w:val="0"/>
              <w:autoSpaceDE w:val="0"/>
              <w:autoSpaceDN w:val="0"/>
              <w:adjustRightInd w:val="0"/>
              <w:ind w:right="68"/>
              <w:textAlignment w:val="baseline"/>
              <w:rPr>
                <w:color w:val="000000"/>
                <w:lang w:val="fr-FR"/>
              </w:rPr>
            </w:pPr>
            <w:r w:rsidRPr="00A93320">
              <w:rPr>
                <w:b/>
                <w:color w:val="000000"/>
                <w:lang w:val="fr-FR"/>
              </w:rPr>
              <w:t>Résumé analytique :</w:t>
            </w:r>
          </w:p>
        </w:tc>
        <w:tc>
          <w:tcPr>
            <w:tcW w:w="7234" w:type="dxa"/>
          </w:tcPr>
          <w:p w:rsidR="00DB07CB" w:rsidRPr="00DB07CB" w:rsidRDefault="00DB07CB" w:rsidP="0047700A">
            <w:pPr>
              <w:widowControl w:val="0"/>
              <w:suppressAutoHyphens w:val="0"/>
              <w:overflowPunct w:val="0"/>
              <w:autoSpaceDE w:val="0"/>
              <w:autoSpaceDN w:val="0"/>
              <w:adjustRightInd w:val="0"/>
              <w:ind w:right="567"/>
              <w:jc w:val="both"/>
              <w:textAlignment w:val="baseline"/>
              <w:rPr>
                <w:bCs/>
                <w:color w:val="000000"/>
                <w:spacing w:val="-2"/>
                <w:lang w:val="fr-FR" w:eastAsia="fr-FR" w:bidi="fr-FR"/>
              </w:rPr>
            </w:pPr>
            <w:r w:rsidRPr="00DB07CB">
              <w:rPr>
                <w:bCs/>
                <w:color w:val="000000"/>
                <w:spacing w:val="-2"/>
                <w:lang w:val="fr-FR" w:eastAsia="fr-FR" w:bidi="fr-FR"/>
              </w:rPr>
              <w:t>Le 7.2.4.1.1 de l’ADN en liaison avec la sous-section 7.2.4.14 de l’ADN autorise à transporter également sur des bateaux-citernes des colis particuliers, à savoir des récipients pour produits résiduaires et des récipients pour slops.</w:t>
            </w:r>
          </w:p>
          <w:p w:rsidR="00A93320" w:rsidRPr="00A93320" w:rsidRDefault="00DB07CB" w:rsidP="0047700A">
            <w:pPr>
              <w:widowControl w:val="0"/>
              <w:suppressAutoHyphens w:val="0"/>
              <w:overflowPunct w:val="0"/>
              <w:autoSpaceDE w:val="0"/>
              <w:autoSpaceDN w:val="0"/>
              <w:adjustRightInd w:val="0"/>
              <w:spacing w:after="120"/>
              <w:ind w:right="567"/>
              <w:jc w:val="both"/>
              <w:textAlignment w:val="baseline"/>
              <w:rPr>
                <w:color w:val="000000"/>
                <w:lang w:val="fr-FR"/>
              </w:rPr>
            </w:pPr>
            <w:r w:rsidRPr="00DB07CB">
              <w:rPr>
                <w:bCs/>
                <w:color w:val="000000"/>
                <w:spacing w:val="-2"/>
                <w:lang w:val="fr-FR" w:eastAsia="fr-FR" w:bidi="fr-FR"/>
              </w:rPr>
              <w:t>Il pourrait ne pas être clair que le transport de ces colis doit, également sur un bateau-citerne, s’effectuer conformément aux conditions de transport pour des colis telles qu’elles s’appliquent à des transports sur des bateaux à cargaison sèche.</w:t>
            </w:r>
          </w:p>
        </w:tc>
      </w:tr>
      <w:tr w:rsidR="00A93320" w:rsidRPr="00A93320" w:rsidTr="00A93320">
        <w:trPr>
          <w:jc w:val="center"/>
        </w:trPr>
        <w:tc>
          <w:tcPr>
            <w:tcW w:w="2405" w:type="dxa"/>
          </w:tcPr>
          <w:p w:rsidR="00A93320" w:rsidRPr="00A93320" w:rsidRDefault="00A93320" w:rsidP="00A93320">
            <w:pPr>
              <w:widowControl w:val="0"/>
              <w:tabs>
                <w:tab w:val="left" w:pos="284"/>
              </w:tabs>
              <w:suppressAutoHyphens w:val="0"/>
              <w:overflowPunct w:val="0"/>
              <w:autoSpaceDE w:val="0"/>
              <w:autoSpaceDN w:val="0"/>
              <w:adjustRightInd w:val="0"/>
              <w:spacing w:after="120"/>
              <w:ind w:right="68"/>
              <w:textAlignment w:val="baseline"/>
              <w:rPr>
                <w:b/>
                <w:color w:val="000000"/>
                <w:lang w:val="fr-FR"/>
              </w:rPr>
            </w:pPr>
            <w:r w:rsidRPr="00A93320">
              <w:rPr>
                <w:b/>
                <w:color w:val="000000"/>
                <w:lang w:val="fr-FR"/>
              </w:rPr>
              <w:t>Mesure à prendre :</w:t>
            </w:r>
          </w:p>
        </w:tc>
        <w:tc>
          <w:tcPr>
            <w:tcW w:w="7234" w:type="dxa"/>
          </w:tcPr>
          <w:p w:rsidR="00DB07CB" w:rsidRPr="00DB07CB" w:rsidRDefault="00DB07CB" w:rsidP="00DB07CB">
            <w:pPr>
              <w:widowControl w:val="0"/>
              <w:suppressAutoHyphens w:val="0"/>
              <w:overflowPunct w:val="0"/>
              <w:autoSpaceDE w:val="0"/>
              <w:autoSpaceDN w:val="0"/>
              <w:adjustRightInd w:val="0"/>
              <w:ind w:right="567"/>
              <w:textAlignment w:val="baseline"/>
              <w:rPr>
                <w:bCs/>
                <w:color w:val="000000"/>
                <w:lang w:val="fr-FR" w:eastAsia="fr-FR" w:bidi="fr-FR"/>
              </w:rPr>
            </w:pPr>
            <w:r w:rsidRPr="00DB07CB">
              <w:rPr>
                <w:bCs/>
                <w:color w:val="000000"/>
                <w:lang w:val="fr-FR" w:eastAsia="fr-FR" w:bidi="fr-FR"/>
              </w:rPr>
              <w:t xml:space="preserve">Délibération au sein du </w:t>
            </w:r>
            <w:r w:rsidR="00FF656D">
              <w:rPr>
                <w:bCs/>
                <w:color w:val="000000"/>
                <w:lang w:val="fr-FR" w:eastAsia="fr-FR" w:bidi="fr-FR"/>
              </w:rPr>
              <w:t>C</w:t>
            </w:r>
            <w:bookmarkStart w:id="0" w:name="_GoBack"/>
            <w:bookmarkEnd w:id="0"/>
            <w:r w:rsidRPr="00DB07CB">
              <w:rPr>
                <w:bCs/>
                <w:color w:val="000000"/>
                <w:lang w:val="fr-FR" w:eastAsia="fr-FR" w:bidi="fr-FR"/>
              </w:rPr>
              <w:t xml:space="preserve">omité de sécurité ADN </w:t>
            </w:r>
          </w:p>
          <w:p w:rsidR="00A93320" w:rsidRPr="00A93320" w:rsidRDefault="00DB07CB" w:rsidP="00DB07CB">
            <w:pPr>
              <w:widowControl w:val="0"/>
              <w:suppressAutoHyphens w:val="0"/>
              <w:overflowPunct w:val="0"/>
              <w:autoSpaceDE w:val="0"/>
              <w:autoSpaceDN w:val="0"/>
              <w:adjustRightInd w:val="0"/>
              <w:spacing w:after="120"/>
              <w:ind w:right="567"/>
              <w:textAlignment w:val="baseline"/>
              <w:rPr>
                <w:color w:val="000000"/>
                <w:lang w:val="fr-FR"/>
              </w:rPr>
            </w:pPr>
            <w:r w:rsidRPr="00DB07CB">
              <w:rPr>
                <w:bCs/>
                <w:color w:val="000000"/>
                <w:lang w:val="fr-FR" w:eastAsia="fr-FR" w:bidi="fr-FR"/>
              </w:rPr>
              <w:t>Communication de l’interprétation dans le compte-rendu de réunion</w:t>
            </w:r>
          </w:p>
        </w:tc>
      </w:tr>
      <w:tr w:rsidR="00A93320" w:rsidRPr="00332954" w:rsidTr="00D241C1">
        <w:trPr>
          <w:jc w:val="center"/>
        </w:trPr>
        <w:tc>
          <w:tcPr>
            <w:tcW w:w="2405" w:type="dxa"/>
          </w:tcPr>
          <w:p w:rsidR="00A93320" w:rsidRPr="00A93320" w:rsidRDefault="00A93320" w:rsidP="0047700A">
            <w:pPr>
              <w:widowControl w:val="0"/>
              <w:tabs>
                <w:tab w:val="left" w:pos="284"/>
              </w:tabs>
              <w:suppressAutoHyphens w:val="0"/>
              <w:overflowPunct w:val="0"/>
              <w:autoSpaceDE w:val="0"/>
              <w:autoSpaceDN w:val="0"/>
              <w:adjustRightInd w:val="0"/>
              <w:spacing w:after="120"/>
              <w:ind w:right="68"/>
              <w:textAlignment w:val="baseline"/>
              <w:rPr>
                <w:b/>
                <w:color w:val="000000"/>
                <w:lang w:val="fr-FR"/>
              </w:rPr>
            </w:pPr>
            <w:r w:rsidRPr="00A93320">
              <w:rPr>
                <w:b/>
                <w:color w:val="000000"/>
                <w:lang w:val="fr-FR"/>
              </w:rPr>
              <w:t>Documents connexes :</w:t>
            </w:r>
          </w:p>
        </w:tc>
        <w:tc>
          <w:tcPr>
            <w:tcW w:w="7234" w:type="dxa"/>
            <w:vAlign w:val="bottom"/>
          </w:tcPr>
          <w:p w:rsidR="00DB07CB" w:rsidRPr="00DB07CB" w:rsidRDefault="00930CC7" w:rsidP="00DB07CB">
            <w:pPr>
              <w:widowControl w:val="0"/>
              <w:suppressAutoHyphens w:val="0"/>
              <w:overflowPunct w:val="0"/>
              <w:autoSpaceDE w:val="0"/>
              <w:autoSpaceDN w:val="0"/>
              <w:adjustRightInd w:val="0"/>
              <w:ind w:right="567"/>
              <w:textAlignment w:val="baseline"/>
              <w:rPr>
                <w:bCs/>
                <w:color w:val="000000"/>
                <w:lang w:val="en-GB" w:eastAsia="fr-FR" w:bidi="fr-FR"/>
              </w:rPr>
            </w:pPr>
            <w:r>
              <w:rPr>
                <w:bCs/>
                <w:color w:val="000000"/>
                <w:lang w:val="en-GB" w:eastAsia="fr-FR" w:bidi="fr-FR"/>
              </w:rPr>
              <w:t>ECE/TRANS</w:t>
            </w:r>
            <w:r w:rsidR="00DB07CB" w:rsidRPr="00DB07CB">
              <w:rPr>
                <w:bCs/>
                <w:color w:val="000000"/>
                <w:lang w:val="en-GB" w:eastAsia="fr-FR" w:bidi="fr-FR"/>
              </w:rPr>
              <w:t>/WP.15/AC.2/2016/30</w:t>
            </w:r>
          </w:p>
          <w:p w:rsidR="00DB07CB" w:rsidRPr="00DB07CB" w:rsidRDefault="00930CC7" w:rsidP="00DB07CB">
            <w:pPr>
              <w:widowControl w:val="0"/>
              <w:suppressAutoHyphens w:val="0"/>
              <w:overflowPunct w:val="0"/>
              <w:autoSpaceDE w:val="0"/>
              <w:autoSpaceDN w:val="0"/>
              <w:adjustRightInd w:val="0"/>
              <w:ind w:right="567"/>
              <w:textAlignment w:val="baseline"/>
              <w:rPr>
                <w:bCs/>
                <w:color w:val="000000"/>
                <w:lang w:val="en-US" w:eastAsia="fr-FR" w:bidi="fr-FR"/>
              </w:rPr>
            </w:pPr>
            <w:r>
              <w:rPr>
                <w:bCs/>
                <w:color w:val="000000"/>
                <w:lang w:val="en-GB" w:eastAsia="fr-FR" w:bidi="fr-FR"/>
              </w:rPr>
              <w:t>ECE/TRANS</w:t>
            </w:r>
            <w:r w:rsidR="00DB07CB" w:rsidRPr="00DB07CB">
              <w:rPr>
                <w:bCs/>
                <w:color w:val="000000"/>
                <w:lang w:val="en-US" w:eastAsia="fr-FR" w:bidi="fr-FR"/>
              </w:rPr>
              <w:t>/WP.15/AC.2/2016/34</w:t>
            </w:r>
          </w:p>
          <w:p w:rsidR="00A93320" w:rsidRPr="00DB07CB" w:rsidRDefault="00DB07CB" w:rsidP="0047700A">
            <w:pPr>
              <w:widowControl w:val="0"/>
              <w:suppressAutoHyphens w:val="0"/>
              <w:overflowPunct w:val="0"/>
              <w:autoSpaceDE w:val="0"/>
              <w:autoSpaceDN w:val="0"/>
              <w:adjustRightInd w:val="0"/>
              <w:ind w:right="567"/>
              <w:textAlignment w:val="baseline"/>
              <w:rPr>
                <w:color w:val="000000"/>
                <w:lang w:val="en-GB"/>
              </w:rPr>
            </w:pPr>
            <w:r w:rsidRPr="00DB07CB">
              <w:rPr>
                <w:bCs/>
                <w:color w:val="000000"/>
                <w:lang w:val="en-GB" w:eastAsia="fr-FR" w:bidi="fr-FR"/>
              </w:rPr>
              <w:t>ECE/TRANS/WP.15/AC.2/60, para 13</w:t>
            </w:r>
          </w:p>
        </w:tc>
      </w:tr>
    </w:tbl>
    <w:p w:rsidR="00A93320" w:rsidRPr="00A93320" w:rsidRDefault="00A93320" w:rsidP="00A93320">
      <w:pPr>
        <w:pStyle w:val="HChG"/>
        <w:rPr>
          <w:lang w:val="fr-FR"/>
        </w:rPr>
      </w:pPr>
      <w:r w:rsidRPr="00D241C1">
        <w:rPr>
          <w:lang w:val="en-GB"/>
        </w:rPr>
        <w:lastRenderedPageBreak/>
        <w:tab/>
      </w:r>
      <w:r w:rsidRPr="00A93320">
        <w:rPr>
          <w:lang w:val="fr-FR"/>
        </w:rPr>
        <w:t>I.</w:t>
      </w:r>
      <w:r w:rsidRPr="00A93320">
        <w:rPr>
          <w:lang w:val="fr-FR"/>
        </w:rPr>
        <w:tab/>
      </w:r>
      <w:r w:rsidRPr="00A93320">
        <w:t>Introduction</w:t>
      </w:r>
    </w:p>
    <w:p w:rsidR="00A35751" w:rsidRPr="00A35751" w:rsidRDefault="00A35751" w:rsidP="00A35751">
      <w:pPr>
        <w:pStyle w:val="SingleTxtG"/>
        <w:rPr>
          <w:lang w:val="fr-FR" w:bidi="fr-FR"/>
        </w:rPr>
      </w:pPr>
      <w:r w:rsidRPr="00A35751">
        <w:rPr>
          <w:lang w:val="fr-FR" w:bidi="fr-FR"/>
        </w:rPr>
        <w:t>1.</w:t>
      </w:r>
      <w:r w:rsidRPr="00A35751">
        <w:rPr>
          <w:lang w:val="fr-FR" w:bidi="fr-FR"/>
        </w:rPr>
        <w:tab/>
        <w:t xml:space="preserve">La question d’interprétation mentionnée plus haut dans le résumé a été soumise pour délibération par la délégation allemande au </w:t>
      </w:r>
      <w:r w:rsidR="00930CC7">
        <w:rPr>
          <w:lang w:val="fr-FR" w:bidi="fr-FR"/>
        </w:rPr>
        <w:t>C</w:t>
      </w:r>
      <w:r w:rsidRPr="00A35751">
        <w:rPr>
          <w:lang w:val="fr-FR" w:bidi="fr-FR"/>
        </w:rPr>
        <w:t xml:space="preserve">omité de sécurité lors de sa </w:t>
      </w:r>
      <w:r w:rsidR="00930CC7">
        <w:rPr>
          <w:lang w:val="fr-FR" w:bidi="fr-FR"/>
        </w:rPr>
        <w:t>vingt-neuvième</w:t>
      </w:r>
      <w:r w:rsidRPr="00A35751">
        <w:rPr>
          <w:lang w:val="fr-FR" w:bidi="fr-FR"/>
        </w:rPr>
        <w:t xml:space="preserve"> session. Le comité de sécurité était d’avis qu’il s’agissait d’une question complexe, pour laquelle des délibérations plus approfondies seraient nécessaires lors de la </w:t>
      </w:r>
      <w:r w:rsidR="00930CC7">
        <w:rPr>
          <w:lang w:val="fr-FR" w:bidi="fr-FR"/>
        </w:rPr>
        <w:t>trentième</w:t>
      </w:r>
      <w:r w:rsidRPr="00A35751">
        <w:rPr>
          <w:lang w:val="fr-FR" w:bidi="fr-FR"/>
        </w:rPr>
        <w:t xml:space="preserve"> session.</w:t>
      </w:r>
    </w:p>
    <w:p w:rsidR="00A35751" w:rsidRPr="00A35751" w:rsidRDefault="00A35751" w:rsidP="00A35751">
      <w:pPr>
        <w:pStyle w:val="SingleTxtG"/>
        <w:rPr>
          <w:lang w:val="fr-FR" w:bidi="fr-FR"/>
        </w:rPr>
      </w:pPr>
      <w:r w:rsidRPr="00A35751">
        <w:rPr>
          <w:lang w:val="fr-FR" w:bidi="fr-FR"/>
        </w:rPr>
        <w:t>2.</w:t>
      </w:r>
      <w:r w:rsidRPr="00A35751">
        <w:rPr>
          <w:lang w:val="fr-FR" w:bidi="fr-FR"/>
        </w:rPr>
        <w:tab/>
        <w:t xml:space="preserve">Au cours de la même session, le comité de sécurité a, dans le cadre de la réorganisation de la protection contre l’explosion sur la base du document </w:t>
      </w:r>
      <w:r w:rsidR="00930CC7" w:rsidRPr="0047700A">
        <w:rPr>
          <w:bCs/>
          <w:color w:val="000000"/>
          <w:lang w:eastAsia="fr-FR" w:bidi="fr-FR"/>
        </w:rPr>
        <w:t>ECE/TRANS</w:t>
      </w:r>
      <w:r w:rsidRPr="00A35751">
        <w:rPr>
          <w:lang w:val="fr-FR" w:bidi="fr-FR"/>
        </w:rPr>
        <w:t>/WP.15/AC.2/2016/30, décidé pour l’ADN 2019 les modifications suivantes de la sous-section 7.2.4.1 de l’ADN en question ici et des définitions pour les récipients pour produits résiduaires et les récipients pour slops à la section 1.2.1 de l’ADN :</w:t>
      </w:r>
    </w:p>
    <w:p w:rsidR="00A35751" w:rsidRPr="00A35751" w:rsidRDefault="00F4554C" w:rsidP="00A35751">
      <w:pPr>
        <w:pStyle w:val="SingleTxtG"/>
        <w:rPr>
          <w:lang w:val="fr-FR" w:bidi="fr-FR"/>
        </w:rPr>
      </w:pPr>
      <w:r>
        <w:rPr>
          <w:lang w:val="fr-FR" w:bidi="fr-FR"/>
        </w:rPr>
        <w:t>«</w:t>
      </w:r>
      <w:r w:rsidR="00A35751" w:rsidRPr="00A35751">
        <w:rPr>
          <w:lang w:val="fr-FR" w:bidi="fr-FR"/>
        </w:rPr>
        <w:t>Le transport de colis dans la zone de cargaison est interdit. Cette interdiction ne s’applique pas :</w:t>
      </w:r>
    </w:p>
    <w:p w:rsidR="00A35751" w:rsidRPr="00A35751" w:rsidRDefault="00A35751" w:rsidP="00A35751">
      <w:pPr>
        <w:pStyle w:val="SingleTxtG"/>
        <w:rPr>
          <w:lang w:val="fr-FR" w:bidi="fr-FR"/>
        </w:rPr>
      </w:pPr>
      <w:r w:rsidRPr="00A35751">
        <w:rPr>
          <w:lang w:val="fr-FR" w:bidi="fr-FR"/>
        </w:rPr>
        <w:t xml:space="preserve">– </w:t>
      </w:r>
      <w:r w:rsidRPr="00A35751">
        <w:rPr>
          <w:lang w:val="fr-FR" w:bidi="fr-FR"/>
        </w:rPr>
        <w:tab/>
        <w:t xml:space="preserve">aux cargaisons restantes, eaux de lavage, résidus de cargaison et aux slops, contenus dans pas plus de six récipients pour produits résiduaires ou récipients pour slops agréés à cette fin, ayant une capacité </w:t>
      </w:r>
      <w:r w:rsidRPr="00A35751">
        <w:rPr>
          <w:u w:val="single"/>
          <w:lang w:val="fr-FR" w:bidi="fr-FR"/>
        </w:rPr>
        <w:t>totale maximale de 12 m</w:t>
      </w:r>
      <w:r w:rsidRPr="00A35751">
        <w:rPr>
          <w:u w:val="single"/>
          <w:vertAlign w:val="superscript"/>
          <w:lang w:val="fr-FR" w:bidi="fr-FR"/>
        </w:rPr>
        <w:t>3</w:t>
      </w:r>
      <w:r>
        <w:rPr>
          <w:u w:val="single"/>
          <w:vertAlign w:val="superscript"/>
          <w:lang w:val="fr-FR" w:bidi="fr-FR"/>
        </w:rPr>
        <w:t xml:space="preserve"> </w:t>
      </w:r>
      <w:r w:rsidRPr="00A35751">
        <w:rPr>
          <w:strike/>
          <w:lang w:val="fr-FR" w:bidi="fr-FR"/>
        </w:rPr>
        <w:t>individuelle maximale de 2,00 m</w:t>
      </w:r>
      <w:r w:rsidRPr="00A35751">
        <w:rPr>
          <w:strike/>
          <w:vertAlign w:val="superscript"/>
          <w:lang w:val="fr-FR" w:bidi="fr-FR"/>
        </w:rPr>
        <w:t>3</w:t>
      </w:r>
      <w:r w:rsidRPr="00A35751">
        <w:rPr>
          <w:strike/>
          <w:lang w:val="fr-FR" w:bidi="fr-FR"/>
        </w:rPr>
        <w:t>. Ces récipients pour produits résiduaires doivent répondre aux exigences d’une réglementation internationale applicable à la matière concernée</w:t>
      </w:r>
      <w:r w:rsidRPr="00A35751">
        <w:rPr>
          <w:lang w:val="fr-FR" w:bidi="fr-FR"/>
        </w:rPr>
        <w:t>. Les récipients pour produits résiduaires et les récipients pour slops doivent être placés de manière sûre dans la zone de cargaison</w:t>
      </w:r>
      <w:r w:rsidRPr="00A35751">
        <w:rPr>
          <w:u w:val="single"/>
          <w:lang w:val="fr-FR" w:bidi="fr-FR"/>
        </w:rPr>
        <w:t>, se trouver à une distance minimale de la coque égale au quart de la largeur du bateau</w:t>
      </w:r>
      <w:r w:rsidRPr="00A35751">
        <w:rPr>
          <w:lang w:val="fr-FR" w:bidi="fr-FR"/>
        </w:rPr>
        <w:t xml:space="preserve"> et répondre aux exigences </w:t>
      </w:r>
      <w:r w:rsidRPr="00A35751">
        <w:rPr>
          <w:strike/>
          <w:lang w:val="fr-FR" w:bidi="fr-FR"/>
        </w:rPr>
        <w:t>qui leur sont applicables</w:t>
      </w:r>
      <w:r w:rsidRPr="00A35751">
        <w:rPr>
          <w:lang w:val="fr-FR" w:bidi="fr-FR"/>
        </w:rPr>
        <w:t xml:space="preserve"> fixées au 9.3.2.26.</w:t>
      </w:r>
      <w:r w:rsidRPr="00A35751">
        <w:rPr>
          <w:u w:val="single"/>
          <w:lang w:val="fr-FR" w:bidi="fr-FR"/>
        </w:rPr>
        <w:t>3</w:t>
      </w:r>
      <w:r w:rsidRPr="00A35751">
        <w:rPr>
          <w:lang w:val="fr-FR" w:bidi="fr-FR"/>
        </w:rPr>
        <w:t>4 ou 9.3.3.26.</w:t>
      </w:r>
      <w:r w:rsidRPr="00A35751">
        <w:rPr>
          <w:u w:val="single"/>
          <w:lang w:val="fr-FR" w:bidi="fr-FR"/>
        </w:rPr>
        <w:t>3</w:t>
      </w:r>
      <w:r w:rsidRPr="00A35751">
        <w:rPr>
          <w:lang w:val="fr-FR" w:bidi="fr-FR"/>
        </w:rPr>
        <w:t>4;</w:t>
      </w:r>
    </w:p>
    <w:p w:rsidR="00A35751" w:rsidRPr="00A35751" w:rsidRDefault="00A35751" w:rsidP="00A35751">
      <w:pPr>
        <w:pStyle w:val="SingleTxtG"/>
        <w:rPr>
          <w:lang w:val="fr-FR" w:bidi="fr-FR"/>
        </w:rPr>
      </w:pPr>
      <w:r w:rsidRPr="00A35751">
        <w:rPr>
          <w:lang w:val="fr-FR" w:bidi="fr-FR"/>
        </w:rPr>
        <w:t xml:space="preserve">– </w:t>
      </w:r>
      <w:r w:rsidRPr="00A35751">
        <w:rPr>
          <w:lang w:val="fr-FR" w:bidi="fr-FR"/>
        </w:rPr>
        <w:tab/>
        <w:t>aux échantillons de cargaison, à raison de 30 au maximum, des matières admises au transport dans le bateau-citerne, dont la contenance maximale est de 500 ml par récipient. Les récipients doivent répondre aux prescriptions d’emballage visées à la Partie 4 de l’ADR et être placés à bord, en un endroit déterminé dans la zone de cargaison de manière à ce que dans les conditions normales de transport ils ne puissent se briser ou être transpercés ni que leur contenu puisse se répandre dans l’espace de cale. Les récipients fragiles doivent être ca</w:t>
      </w:r>
      <w:r w:rsidR="00F4554C">
        <w:rPr>
          <w:lang w:val="fr-FR" w:bidi="fr-FR"/>
        </w:rPr>
        <w:t>pitonnés de manière appropriée.</w:t>
      </w:r>
      <w:r w:rsidRPr="00A35751">
        <w:rPr>
          <w:lang w:val="fr-FR" w:bidi="fr-FR"/>
        </w:rPr>
        <w:t>».</w:t>
      </w:r>
    </w:p>
    <w:p w:rsidR="00A35751" w:rsidRPr="00A35751" w:rsidRDefault="00F4554C" w:rsidP="00A35751">
      <w:pPr>
        <w:pStyle w:val="SingleTxtG"/>
        <w:rPr>
          <w:b/>
          <w:bCs/>
          <w:i/>
          <w:iCs/>
          <w:lang w:val="fr-FR" w:bidi="fr-FR"/>
        </w:rPr>
      </w:pPr>
      <w:r>
        <w:rPr>
          <w:b/>
          <w:i/>
          <w:lang w:val="fr-FR" w:bidi="fr-FR"/>
        </w:rPr>
        <w:t>«</w:t>
      </w:r>
      <w:r w:rsidR="00A35751" w:rsidRPr="00A35751">
        <w:rPr>
          <w:b/>
          <w:i/>
          <w:lang w:val="fr-FR" w:bidi="fr-FR"/>
        </w:rPr>
        <w:t xml:space="preserve">Récipient pour produits résiduaires </w:t>
      </w:r>
      <w:r w:rsidR="00A35751" w:rsidRPr="00A35751">
        <w:rPr>
          <w:i/>
          <w:lang w:val="fr-FR" w:bidi="fr-FR"/>
        </w:rPr>
        <w:t xml:space="preserve">: </w:t>
      </w:r>
      <w:r w:rsidR="00A35751" w:rsidRPr="00A35751">
        <w:rPr>
          <w:strike/>
          <w:lang w:val="fr-FR" w:bidi="fr-FR"/>
        </w:rPr>
        <w:t>une citerne,</w:t>
      </w:r>
      <w:r w:rsidR="00A35751" w:rsidRPr="00A35751">
        <w:rPr>
          <w:lang w:val="fr-FR" w:bidi="fr-FR"/>
        </w:rPr>
        <w:t xml:space="preserve"> un grand récipient pour vrac (GRV), un conteneur-citerne ou une citerne mobile destiné à recueillir des cargaisons restantes, des eaux de lavage, des résidus de cargaison ou des slops pompables ; </w:t>
      </w:r>
      <w:r w:rsidR="00A35751" w:rsidRPr="00A35751">
        <w:rPr>
          <w:u w:val="single"/>
          <w:lang w:val="fr-FR" w:bidi="fr-FR"/>
        </w:rPr>
        <w:t>les récipients doivent être agréés selon l’ADR, le RID ou le code IMDG et autorisés pour la matière concernée. La contenance maximale admissible d’un grand récipient pour vrac est de 3 m</w:t>
      </w:r>
      <w:r w:rsidR="00A35751" w:rsidRPr="00A35751">
        <w:rPr>
          <w:u w:val="single"/>
          <w:vertAlign w:val="superscript"/>
          <w:lang w:val="fr-FR" w:bidi="fr-FR"/>
        </w:rPr>
        <w:t>3</w:t>
      </w:r>
      <w:r w:rsidR="00A35751" w:rsidRPr="00A35751">
        <w:rPr>
          <w:u w:val="single"/>
          <w:lang w:val="fr-FR" w:bidi="fr-FR"/>
        </w:rPr>
        <w:t xml:space="preserve"> et celle d’un conteneur-citerne ou d’une citerne mobile est de 12 m</w:t>
      </w:r>
      <w:r w:rsidR="00A35751" w:rsidRPr="00A35751">
        <w:rPr>
          <w:u w:val="single"/>
          <w:vertAlign w:val="superscript"/>
          <w:lang w:val="fr-FR" w:bidi="fr-FR"/>
        </w:rPr>
        <w:t>3</w:t>
      </w:r>
      <w:r>
        <w:rPr>
          <w:lang w:val="fr-FR" w:bidi="fr-FR"/>
        </w:rPr>
        <w:t>.</w:t>
      </w:r>
      <w:r w:rsidR="00A35751" w:rsidRPr="00A35751">
        <w:rPr>
          <w:lang w:val="fr-FR" w:bidi="fr-FR"/>
        </w:rPr>
        <w:t>»</w:t>
      </w:r>
    </w:p>
    <w:p w:rsidR="00A35751" w:rsidRPr="00A35751" w:rsidRDefault="00A35751" w:rsidP="00A35751">
      <w:pPr>
        <w:pStyle w:val="SingleTxtG"/>
        <w:rPr>
          <w:u w:val="single"/>
          <w:lang w:val="fr-FR" w:bidi="fr-FR"/>
        </w:rPr>
      </w:pPr>
      <w:r w:rsidRPr="00A35751">
        <w:rPr>
          <w:b/>
          <w:i/>
          <w:lang w:val="fr-FR" w:bidi="fr-FR"/>
        </w:rPr>
        <w:t>«Récipient pour slops :</w:t>
      </w:r>
      <w:r w:rsidRPr="00A35751">
        <w:rPr>
          <w:i/>
          <w:lang w:val="fr-FR" w:bidi="fr-FR"/>
        </w:rPr>
        <w:t xml:space="preserve"> </w:t>
      </w:r>
      <w:r w:rsidRPr="00A35751">
        <w:rPr>
          <w:strike/>
          <w:lang w:val="fr-FR" w:bidi="fr-FR"/>
        </w:rPr>
        <w:t>un fût en acier</w:t>
      </w:r>
      <w:r w:rsidRPr="00A35751">
        <w:rPr>
          <w:lang w:val="fr-FR" w:bidi="fr-FR"/>
        </w:rPr>
        <w:t xml:space="preserve"> </w:t>
      </w:r>
      <w:r w:rsidRPr="00A35751">
        <w:rPr>
          <w:u w:val="single"/>
          <w:lang w:val="fr-FR" w:bidi="fr-FR"/>
        </w:rPr>
        <w:t xml:space="preserve">un récipient résistant au feu, pouvant être fermé par des couvercles et </w:t>
      </w:r>
      <w:r w:rsidRPr="00A35751">
        <w:rPr>
          <w:lang w:val="fr-FR" w:bidi="fr-FR"/>
        </w:rPr>
        <w:t xml:space="preserve">destiné à recueillir des slops non pompables. </w:t>
      </w:r>
      <w:r w:rsidRPr="00A35751">
        <w:rPr>
          <w:u w:val="single"/>
          <w:lang w:val="fr-FR" w:bidi="fr-FR"/>
        </w:rPr>
        <w:t>Les récipients doivent être agréés selon l’ADR, le RID ou le code IMDG et autorisés pour la matière concernée. La contenance maximale admissible est de 450 l.</w:t>
      </w:r>
      <w:r w:rsidRPr="00A35751">
        <w:rPr>
          <w:i/>
          <w:u w:val="single"/>
          <w:lang w:val="fr-FR" w:bidi="fr-FR"/>
        </w:rPr>
        <w:t xml:space="preserve"> </w:t>
      </w:r>
      <w:r w:rsidRPr="00A35751">
        <w:rPr>
          <w:u w:val="single"/>
          <w:lang w:val="fr-FR" w:bidi="fr-FR"/>
        </w:rPr>
        <w:t>Il doit être facile à manipuler et marqué « SLOP » (ha</w:t>
      </w:r>
      <w:r w:rsidR="00F4554C">
        <w:rPr>
          <w:u w:val="single"/>
          <w:lang w:val="fr-FR" w:bidi="fr-FR"/>
        </w:rPr>
        <w:t>uteur des caractères : 0,10 m).</w:t>
      </w:r>
      <w:r w:rsidRPr="00A35751">
        <w:rPr>
          <w:u w:val="single"/>
          <w:lang w:val="fr-FR" w:bidi="fr-FR"/>
        </w:rPr>
        <w:t>»</w:t>
      </w:r>
    </w:p>
    <w:p w:rsidR="00C30DC2" w:rsidRPr="00C30DC2" w:rsidRDefault="00A35751" w:rsidP="00A35751">
      <w:pPr>
        <w:pStyle w:val="SingleTxtG"/>
        <w:rPr>
          <w:lang w:val="fr-FR" w:bidi="fr-FR"/>
        </w:rPr>
      </w:pPr>
      <w:r w:rsidRPr="00A35751">
        <w:rPr>
          <w:lang w:val="fr-FR" w:bidi="fr-FR"/>
        </w:rPr>
        <w:t>3.</w:t>
      </w:r>
      <w:r w:rsidRPr="00A35751">
        <w:rPr>
          <w:lang w:val="fr-FR" w:bidi="fr-FR"/>
        </w:rPr>
        <w:tab/>
        <w:t>L’Allemagne souhaite soumettre à nouveau pour délibération sa question d’interprétation avec ce document, en tenant compte de ces modifications.</w:t>
      </w:r>
    </w:p>
    <w:p w:rsidR="00A93320" w:rsidRPr="00A93320" w:rsidRDefault="00A93320" w:rsidP="00A93320">
      <w:pPr>
        <w:pStyle w:val="HChG"/>
        <w:rPr>
          <w:lang w:val="fr-FR"/>
        </w:rPr>
      </w:pPr>
      <w:r>
        <w:rPr>
          <w:lang w:val="fr-FR"/>
        </w:rPr>
        <w:tab/>
      </w:r>
      <w:r w:rsidRPr="00A93320">
        <w:rPr>
          <w:lang w:val="fr-FR"/>
        </w:rPr>
        <w:t>II.</w:t>
      </w:r>
      <w:r w:rsidRPr="00A93320">
        <w:rPr>
          <w:lang w:val="fr-FR"/>
        </w:rPr>
        <w:tab/>
      </w:r>
      <w:r w:rsidR="00C30DC2" w:rsidRPr="00C30DC2">
        <w:rPr>
          <w:lang w:val="fr-FR" w:bidi="fr-FR"/>
        </w:rPr>
        <w:t>Question d’interprétation</w:t>
      </w:r>
    </w:p>
    <w:p w:rsidR="00A35751" w:rsidRPr="00A35751" w:rsidRDefault="00A35751" w:rsidP="00A35751">
      <w:pPr>
        <w:pStyle w:val="SingleTxtG"/>
        <w:rPr>
          <w:lang w:val="fr-FR" w:bidi="fr-FR"/>
        </w:rPr>
      </w:pPr>
      <w:r w:rsidRPr="00A35751">
        <w:rPr>
          <w:lang w:val="fr-FR" w:bidi="fr-FR"/>
        </w:rPr>
        <w:t>4.</w:t>
      </w:r>
      <w:r w:rsidRPr="00A35751">
        <w:rPr>
          <w:lang w:val="fr-FR" w:bidi="fr-FR"/>
        </w:rPr>
        <w:tab/>
        <w:t>Le 7.2.4.1.1 de l’ADN ouvre la possibilité de transporter également à bord de bateaux-citernes des colis donnés chargeant des marchandises dangereuses.</w:t>
      </w:r>
    </w:p>
    <w:p w:rsidR="00A35751" w:rsidRPr="00A35751" w:rsidRDefault="00A35751" w:rsidP="00A35751">
      <w:pPr>
        <w:pStyle w:val="SingleTxtG"/>
        <w:rPr>
          <w:lang w:val="fr-FR" w:bidi="fr-FR"/>
        </w:rPr>
      </w:pPr>
      <w:r w:rsidRPr="00A35751">
        <w:rPr>
          <w:lang w:val="fr-FR" w:bidi="fr-FR"/>
        </w:rPr>
        <w:lastRenderedPageBreak/>
        <w:t>5.</w:t>
      </w:r>
      <w:r w:rsidRPr="00A35751">
        <w:rPr>
          <w:lang w:val="fr-FR" w:bidi="fr-FR"/>
        </w:rPr>
        <w:tab/>
        <w:t>Les enveloppes de ces colis doivent être, conformément aux définitions, agréées comme emballages selon l’ADR, le RID ou le code IMDG et autorisées pour la matière qui est transportée dans ces colis.</w:t>
      </w:r>
    </w:p>
    <w:p w:rsidR="00A35751" w:rsidRPr="00A35751" w:rsidRDefault="00A35751" w:rsidP="00A35751">
      <w:pPr>
        <w:pStyle w:val="SingleTxtG"/>
        <w:rPr>
          <w:lang w:val="fr-FR" w:bidi="fr-FR"/>
        </w:rPr>
      </w:pPr>
      <w:r w:rsidRPr="00A35751">
        <w:rPr>
          <w:lang w:val="fr-FR" w:bidi="fr-FR"/>
        </w:rPr>
        <w:t>6.</w:t>
      </w:r>
      <w:r w:rsidRPr="00A35751">
        <w:rPr>
          <w:lang w:val="fr-FR" w:bidi="fr-FR"/>
        </w:rPr>
        <w:tab/>
        <w:t>Afin d’interpréter correctement ces prescriptions, on pose la question de sa</w:t>
      </w:r>
      <w:r w:rsidR="00F4554C">
        <w:rPr>
          <w:lang w:val="fr-FR" w:bidi="fr-FR"/>
        </w:rPr>
        <w:t>voir si les colis mentionnés, «</w:t>
      </w:r>
      <w:r w:rsidRPr="00A35751">
        <w:rPr>
          <w:lang w:val="fr-FR" w:bidi="fr-FR"/>
        </w:rPr>
        <w:t>récipients pour produits r</w:t>
      </w:r>
      <w:r w:rsidR="00F4554C">
        <w:rPr>
          <w:lang w:val="fr-FR" w:bidi="fr-FR"/>
        </w:rPr>
        <w:t>ésiduaires» et «récipients pour slops</w:t>
      </w:r>
      <w:r w:rsidRPr="00A35751">
        <w:rPr>
          <w:lang w:val="fr-FR" w:bidi="fr-FR"/>
        </w:rPr>
        <w:t>», doivent pour le reste être transportés conformément aux conditions en vigueur pour le transport de colis sur des bateaux à cargaison sèche (p. ex. document de transport, marquage des récipients, conteneurs-citernes, citernes mobiles).</w:t>
      </w:r>
    </w:p>
    <w:p w:rsidR="00A35751" w:rsidRPr="00A35751" w:rsidRDefault="00A35751" w:rsidP="00A35751">
      <w:pPr>
        <w:pStyle w:val="SingleTxtG"/>
        <w:rPr>
          <w:lang w:val="fr-FR" w:bidi="fr-FR"/>
        </w:rPr>
      </w:pPr>
      <w:r w:rsidRPr="00A35751">
        <w:rPr>
          <w:lang w:val="fr-FR" w:bidi="fr-FR"/>
        </w:rPr>
        <w:t>7.</w:t>
      </w:r>
      <w:r w:rsidRPr="00A35751">
        <w:rPr>
          <w:lang w:val="fr-FR" w:bidi="fr-FR"/>
        </w:rPr>
        <w:tab/>
        <w:t>Dans ce cas, on pourrait appliquer pour le transport dans des grands récipients pour vrac (GRV) les dispositions de la sous-section 1.1.3.6 de l’ADN, avec des exemptions liées aux quantités transportées à bord. En particulier les paragraphes: 1.1.3.6.2 a), b), c), e) de l’ADN.</w:t>
      </w:r>
    </w:p>
    <w:p w:rsidR="00A35751" w:rsidRPr="00A35751" w:rsidRDefault="00A35751" w:rsidP="00A35751">
      <w:pPr>
        <w:pStyle w:val="SingleTxtG"/>
        <w:rPr>
          <w:lang w:val="fr-FR" w:bidi="fr-FR"/>
        </w:rPr>
      </w:pPr>
      <w:r w:rsidRPr="00A35751">
        <w:rPr>
          <w:lang w:val="fr-FR" w:bidi="fr-FR"/>
        </w:rPr>
        <w:t>8.</w:t>
      </w:r>
      <w:r w:rsidRPr="00A35751">
        <w:rPr>
          <w:lang w:val="fr-FR" w:bidi="fr-FR"/>
        </w:rPr>
        <w:tab/>
        <w:t>Le paragraphe 1.1.3.6.2 d) de l’ADN ne serait pas applicable, car les bateaux-citernes n’ont pas de cales. Les récipients pour produits résiduaires se trouvent sur le</w:t>
      </w:r>
      <w:r w:rsidR="00F4554C">
        <w:rPr>
          <w:lang w:val="fr-FR" w:bidi="fr-FR"/>
        </w:rPr>
        <w:t xml:space="preserve"> pont. Il faudrait écrire ici «</w:t>
      </w:r>
      <w:r w:rsidRPr="00A35751">
        <w:rPr>
          <w:lang w:val="fr-FR" w:bidi="fr-FR"/>
        </w:rPr>
        <w:t>dans la</w:t>
      </w:r>
      <w:r w:rsidR="00F4554C">
        <w:rPr>
          <w:lang w:val="fr-FR" w:bidi="fr-FR"/>
        </w:rPr>
        <w:t xml:space="preserve"> zone de cargaison</w:t>
      </w:r>
      <w:r w:rsidRPr="00A35751">
        <w:rPr>
          <w:lang w:val="fr-FR" w:bidi="fr-FR"/>
        </w:rPr>
        <w:t>».</w:t>
      </w:r>
    </w:p>
    <w:p w:rsidR="00A35751" w:rsidRPr="00A35751" w:rsidRDefault="00A35751" w:rsidP="00A35751">
      <w:pPr>
        <w:pStyle w:val="SingleTxtG"/>
        <w:rPr>
          <w:lang w:val="fr-FR" w:bidi="fr-FR"/>
        </w:rPr>
      </w:pPr>
      <w:r w:rsidRPr="00A35751">
        <w:rPr>
          <w:lang w:val="fr-FR" w:bidi="fr-FR"/>
        </w:rPr>
        <w:t>9.</w:t>
      </w:r>
      <w:r w:rsidRPr="00A35751">
        <w:rPr>
          <w:lang w:val="fr-FR" w:bidi="fr-FR"/>
        </w:rPr>
        <w:tab/>
        <w:t>Les sous-sections 1.1.4.1 et 1.1.4.2 de l’ADN contiennent des renvois aux prescriptions applicables aux colis de l’ADR, du RID ou du code IMDG, en particulier également pour le marquage des colis conforméme</w:t>
      </w:r>
      <w:r w:rsidR="00F4554C">
        <w:rPr>
          <w:lang w:val="fr-FR" w:bidi="fr-FR"/>
        </w:rPr>
        <w:t>nt au chapitre 5 ADN. (Remarque</w:t>
      </w:r>
      <w:r w:rsidRPr="00A35751">
        <w:rPr>
          <w:lang w:val="fr-FR" w:bidi="fr-FR"/>
        </w:rPr>
        <w:t>: 1.1.4.1 a) et b) confirment l’extension aux définitions pour les récipients pour produits résiduaires et les récipients pour slops).</w:t>
      </w:r>
    </w:p>
    <w:p w:rsidR="00A35751" w:rsidRPr="00A35751" w:rsidRDefault="00A35751" w:rsidP="00A35751">
      <w:pPr>
        <w:pStyle w:val="SingleTxtG"/>
        <w:rPr>
          <w:lang w:val="fr-FR" w:bidi="fr-FR"/>
        </w:rPr>
      </w:pPr>
      <w:r w:rsidRPr="00A35751">
        <w:rPr>
          <w:lang w:val="fr-FR" w:bidi="fr-FR"/>
        </w:rPr>
        <w:t>10.</w:t>
      </w:r>
      <w:r w:rsidRPr="00A35751">
        <w:rPr>
          <w:lang w:val="fr-FR" w:bidi="fr-FR"/>
        </w:rPr>
        <w:tab/>
        <w:t>La section 1.2.1 de l’AD</w:t>
      </w:r>
      <w:r w:rsidR="00F4554C">
        <w:rPr>
          <w:lang w:val="fr-FR" w:bidi="fr-FR"/>
        </w:rPr>
        <w:t>N contient la définition d’un «colis</w:t>
      </w:r>
      <w:r w:rsidRPr="00A35751">
        <w:rPr>
          <w:lang w:val="fr-FR" w:bidi="fr-FR"/>
        </w:rPr>
        <w:t>».</w:t>
      </w:r>
    </w:p>
    <w:p w:rsidR="00A35751" w:rsidRPr="00A35751" w:rsidRDefault="00A35751" w:rsidP="00A35751">
      <w:pPr>
        <w:pStyle w:val="SingleTxtG"/>
        <w:rPr>
          <w:lang w:val="fr-FR" w:bidi="fr-FR"/>
        </w:rPr>
      </w:pPr>
      <w:r w:rsidRPr="00A35751">
        <w:rPr>
          <w:lang w:val="fr-FR" w:bidi="fr-FR"/>
        </w:rPr>
        <w:t>11.</w:t>
      </w:r>
      <w:r w:rsidRPr="00A35751">
        <w:rPr>
          <w:lang w:val="fr-FR" w:bidi="fr-FR"/>
        </w:rPr>
        <w:tab/>
        <w:t>La section 1.4.3 de l’ADN énumère certaines obligations des intervenants pour le transport de colis.</w:t>
      </w:r>
    </w:p>
    <w:p w:rsidR="00A35751" w:rsidRPr="00A35751" w:rsidRDefault="00A35751" w:rsidP="00A35751">
      <w:pPr>
        <w:pStyle w:val="SingleTxtG"/>
        <w:rPr>
          <w:lang w:val="fr-FR" w:bidi="fr-FR"/>
        </w:rPr>
      </w:pPr>
      <w:r w:rsidRPr="00A35751">
        <w:rPr>
          <w:lang w:val="fr-FR" w:bidi="fr-FR"/>
        </w:rPr>
        <w:t>12.</w:t>
      </w:r>
      <w:r w:rsidRPr="00A35751">
        <w:rPr>
          <w:lang w:val="fr-FR" w:bidi="fr-FR"/>
        </w:rPr>
        <w:tab/>
        <w:t>La section 5.4.1 de l’ADN contient des prescriptions concernant les documents de transport pour des colis.</w:t>
      </w:r>
    </w:p>
    <w:p w:rsidR="00A93320" w:rsidRPr="00A93320" w:rsidRDefault="00A93320" w:rsidP="00A93320">
      <w:pPr>
        <w:pStyle w:val="HChG"/>
        <w:rPr>
          <w:lang w:val="fr-FR"/>
        </w:rPr>
      </w:pPr>
      <w:r>
        <w:rPr>
          <w:lang w:val="fr-FR"/>
        </w:rPr>
        <w:tab/>
      </w:r>
      <w:r w:rsidRPr="00A93320">
        <w:rPr>
          <w:lang w:val="fr-FR"/>
        </w:rPr>
        <w:t>I</w:t>
      </w:r>
      <w:r w:rsidR="00C30DC2">
        <w:rPr>
          <w:lang w:val="fr-FR"/>
        </w:rPr>
        <w:t>II</w:t>
      </w:r>
      <w:r w:rsidRPr="00A93320">
        <w:rPr>
          <w:lang w:val="fr-FR"/>
        </w:rPr>
        <w:t>.</w:t>
      </w:r>
      <w:r w:rsidRPr="00A93320">
        <w:rPr>
          <w:lang w:val="fr-FR"/>
        </w:rPr>
        <w:tab/>
      </w:r>
      <w:r w:rsidR="00C30DC2" w:rsidRPr="00C30DC2">
        <w:rPr>
          <w:lang w:val="fr-FR" w:bidi="fr-FR"/>
        </w:rPr>
        <w:t>Position de l’Allemagne</w:t>
      </w:r>
    </w:p>
    <w:p w:rsidR="00A35751" w:rsidRPr="00A35751" w:rsidRDefault="00A35751" w:rsidP="00A35751">
      <w:pPr>
        <w:pStyle w:val="SingleTxtG"/>
        <w:rPr>
          <w:lang w:bidi="fr-FR"/>
        </w:rPr>
      </w:pPr>
      <w:r w:rsidRPr="00A35751">
        <w:rPr>
          <w:lang w:bidi="fr-FR"/>
        </w:rPr>
        <w:t>13.</w:t>
      </w:r>
      <w:r w:rsidRPr="00A35751">
        <w:rPr>
          <w:lang w:bidi="fr-FR"/>
        </w:rPr>
        <w:tab/>
        <w:t>Les récipients pour produit13.</w:t>
      </w:r>
      <w:r w:rsidRPr="00A35751">
        <w:rPr>
          <w:lang w:bidi="fr-FR"/>
        </w:rPr>
        <w:tab/>
        <w:t>Les récipients pour produits résiduaires et récipients pour slops en question seront mentionnés à la suite de l’introduction suivante :</w:t>
      </w:r>
    </w:p>
    <w:p w:rsidR="00A35751" w:rsidRPr="00A35751" w:rsidRDefault="00F4554C" w:rsidP="00A35751">
      <w:pPr>
        <w:pStyle w:val="SingleTxtG"/>
        <w:rPr>
          <w:lang w:bidi="fr-FR"/>
        </w:rPr>
      </w:pPr>
      <w:r>
        <w:rPr>
          <w:lang w:bidi="fr-FR"/>
        </w:rPr>
        <w:t>«</w:t>
      </w:r>
      <w:r w:rsidR="00A35751" w:rsidRPr="00A35751">
        <w:rPr>
          <w:b/>
          <w:lang w:bidi="fr-FR"/>
        </w:rPr>
        <w:t>7.2.4.1.1</w:t>
      </w:r>
      <w:r w:rsidR="00A35751" w:rsidRPr="00A35751">
        <w:rPr>
          <w:lang w:bidi="fr-FR"/>
        </w:rPr>
        <w:tab/>
        <w:t>Le transport de colis dans la zone de cargaison est interdit. Cette i</w:t>
      </w:r>
      <w:r>
        <w:rPr>
          <w:lang w:bidi="fr-FR"/>
        </w:rPr>
        <w:t>nterdiction ne s’applique pas :</w:t>
      </w:r>
      <w:r w:rsidR="00A35751" w:rsidRPr="00A35751">
        <w:rPr>
          <w:lang w:bidi="fr-FR"/>
        </w:rPr>
        <w:t>».</w:t>
      </w:r>
    </w:p>
    <w:p w:rsidR="00A35751" w:rsidRPr="00A35751" w:rsidRDefault="00A35751" w:rsidP="00A35751">
      <w:pPr>
        <w:pStyle w:val="SingleTxtG"/>
        <w:rPr>
          <w:lang w:bidi="fr-FR"/>
        </w:rPr>
      </w:pPr>
      <w:r w:rsidRPr="00A35751">
        <w:rPr>
          <w:lang w:bidi="fr-FR"/>
        </w:rPr>
        <w:t>Pour les colis, il existe une définition à la section 1.2.1 de l’ADN. Pour le transport de colis, il existe des prescriptions de transport du même ordre que pour le transport en citernes.</w:t>
      </w:r>
    </w:p>
    <w:p w:rsidR="00A35751" w:rsidRPr="00A35751" w:rsidRDefault="00A35751" w:rsidP="00A35751">
      <w:pPr>
        <w:pStyle w:val="SingleTxtG"/>
        <w:rPr>
          <w:lang w:bidi="fr-FR"/>
        </w:rPr>
      </w:pPr>
      <w:r w:rsidRPr="00A35751">
        <w:rPr>
          <w:lang w:bidi="fr-FR"/>
        </w:rPr>
        <w:t>Il n’existe pas de raison particulière apparente pour laquelle les marchandises dangereuses chargées dans des récipients pour produits résiduaires et des récipients pour slops devraient être exemptées en dehors du chapitre 1.3 de l’ADN.</w:t>
      </w:r>
    </w:p>
    <w:p w:rsidR="00A35751" w:rsidRPr="00A35751" w:rsidRDefault="00A35751" w:rsidP="00A35751">
      <w:pPr>
        <w:pStyle w:val="SingleTxtG"/>
        <w:rPr>
          <w:lang w:bidi="fr-FR"/>
        </w:rPr>
      </w:pPr>
      <w:r w:rsidRPr="00A35751">
        <w:rPr>
          <w:lang w:bidi="fr-FR"/>
        </w:rPr>
        <w:t>14.</w:t>
      </w:r>
      <w:r w:rsidRPr="00A35751">
        <w:rPr>
          <w:lang w:bidi="fr-FR"/>
        </w:rPr>
        <w:tab/>
        <w:t>Le transport de GRV comme récipients pour produits résiduaires et de récipients pour slops peut être pour l’essentiel exempté des autres dispositions de l’ADN au moyen de la sous-section 1.1.3.6 de l’ADN. L’obligation d’agrément des récipients demeure dans tous les cas.</w:t>
      </w:r>
    </w:p>
    <w:p w:rsidR="00A35751" w:rsidRPr="00A35751" w:rsidRDefault="00A35751" w:rsidP="00A35751">
      <w:pPr>
        <w:pStyle w:val="SingleTxtG"/>
        <w:rPr>
          <w:lang w:bidi="fr-FR"/>
        </w:rPr>
      </w:pPr>
      <w:r w:rsidRPr="00A35751">
        <w:rPr>
          <w:lang w:bidi="fr-FR"/>
        </w:rPr>
        <w:t>Pour les conteneurs-citernes chargés d’un volume important de marchandise dangereuse (jusqu’à 12 m³), il existe un intérêt de sécurité à appliquer les autres prescriptions de transport pour des conteneurs-citernes ou des citernes mobiles également pour des récipients pour produits résiduaires dans le cadre du 7.2.4.1.1 de l’ADN.</w:t>
      </w:r>
    </w:p>
    <w:p w:rsidR="00A35751" w:rsidRPr="00A35751" w:rsidRDefault="00A35751" w:rsidP="00A35751">
      <w:pPr>
        <w:pStyle w:val="SingleTxtG"/>
        <w:rPr>
          <w:lang w:bidi="fr-FR"/>
        </w:rPr>
      </w:pPr>
      <w:r w:rsidRPr="00A35751">
        <w:rPr>
          <w:lang w:bidi="fr-FR"/>
        </w:rPr>
        <w:lastRenderedPageBreak/>
        <w:t>15.</w:t>
      </w:r>
      <w:r w:rsidRPr="00A35751">
        <w:rPr>
          <w:lang w:bidi="fr-FR"/>
        </w:rPr>
        <w:tab/>
        <w:t>Concernant le transport de résidus d’une cargaison différente dans un récipient pour produits résiduaires et pour le transport de slops, le groupe de travail informel Matières pourrait être invité à proposer les numéros ONU ou numéros de matière à utiliser au mieux.</w:t>
      </w:r>
    </w:p>
    <w:p w:rsidR="00A35751" w:rsidRPr="00A35751" w:rsidRDefault="00A35751" w:rsidP="00A35751">
      <w:pPr>
        <w:pStyle w:val="SingleTxtG"/>
        <w:rPr>
          <w:lang w:bidi="fr-FR"/>
        </w:rPr>
      </w:pPr>
      <w:r w:rsidRPr="00A35751">
        <w:rPr>
          <w:lang w:bidi="fr-FR"/>
        </w:rPr>
        <w:t>16.</w:t>
      </w:r>
      <w:r w:rsidRPr="00A35751">
        <w:rPr>
          <w:lang w:bidi="fr-FR"/>
        </w:rPr>
        <w:tab/>
        <w:t xml:space="preserve">Le </w:t>
      </w:r>
      <w:r w:rsidR="00930CC7">
        <w:rPr>
          <w:lang w:bidi="fr-FR"/>
        </w:rPr>
        <w:t>C</w:t>
      </w:r>
      <w:r w:rsidRPr="00A35751">
        <w:rPr>
          <w:lang w:bidi="fr-FR"/>
        </w:rPr>
        <w:t>omité de sécurité pourrait impérativement envisager de lier cette question à l’examen des prescriptions qui doivent être observées pour le transport de résidus de cargaison dans des citernes pour produits résidu</w:t>
      </w:r>
      <w:r>
        <w:rPr>
          <w:lang w:bidi="fr-FR"/>
        </w:rPr>
        <w:t>aires (voir 1.2.1, définition «</w:t>
      </w:r>
      <w:r w:rsidRPr="00A35751">
        <w:rPr>
          <w:lang w:bidi="fr-FR"/>
        </w:rPr>
        <w:t>Citerne pour produits résiduai</w:t>
      </w:r>
      <w:r>
        <w:rPr>
          <w:lang w:bidi="fr-FR"/>
        </w:rPr>
        <w:t>res</w:t>
      </w:r>
      <w:r w:rsidRPr="00A35751">
        <w:rPr>
          <w:lang w:bidi="fr-FR"/>
        </w:rPr>
        <w:t>», 7.2.1.21.1, 7.2.2.0.1 de l’ADN, 7.2.4.14, 7.2.4.15.1, 9.3.x.26.1 et 5.4.1 de l’ADN).</w:t>
      </w:r>
    </w:p>
    <w:p w:rsidR="008E0108" w:rsidRPr="008E0108" w:rsidRDefault="008E0108" w:rsidP="008E0108">
      <w:pPr>
        <w:pStyle w:val="SingleTxtG"/>
        <w:spacing w:before="240" w:after="0"/>
        <w:jc w:val="center"/>
        <w:rPr>
          <w:rFonts w:eastAsia="Arial"/>
          <w:u w:val="single"/>
        </w:rPr>
      </w:pPr>
      <w:r>
        <w:rPr>
          <w:rFonts w:eastAsia="Arial"/>
          <w:u w:val="single"/>
        </w:rPr>
        <w:tab/>
      </w:r>
      <w:r>
        <w:rPr>
          <w:rFonts w:eastAsia="Arial"/>
          <w:u w:val="single"/>
        </w:rPr>
        <w:tab/>
      </w:r>
      <w:r>
        <w:rPr>
          <w:rFonts w:eastAsia="Arial"/>
          <w:u w:val="single"/>
        </w:rPr>
        <w:tab/>
      </w:r>
    </w:p>
    <w:sectPr w:rsidR="008E0108" w:rsidRPr="008E0108" w:rsidSect="001A73B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85A" w:rsidRDefault="0006085A"/>
  </w:endnote>
  <w:endnote w:type="continuationSeparator" w:id="0">
    <w:p w:rsidR="0006085A" w:rsidRDefault="0006085A"/>
  </w:endnote>
  <w:endnote w:type="continuationNotice" w:id="1">
    <w:p w:rsidR="0006085A" w:rsidRDefault="00060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FF656D">
      <w:rPr>
        <w:b/>
        <w:noProof/>
        <w:sz w:val="18"/>
      </w:rPr>
      <w:t>4</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FF656D">
      <w:rPr>
        <w:b/>
        <w:noProof/>
        <w:sz w:val="18"/>
      </w:rPr>
      <w:t>3</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85A" w:rsidRPr="00D27D5E" w:rsidRDefault="0006085A" w:rsidP="00D27D5E">
      <w:pPr>
        <w:tabs>
          <w:tab w:val="right" w:pos="2155"/>
        </w:tabs>
        <w:spacing w:after="80"/>
        <w:ind w:left="680"/>
        <w:rPr>
          <w:u w:val="single"/>
        </w:rPr>
      </w:pPr>
      <w:r>
        <w:rPr>
          <w:u w:val="single"/>
        </w:rPr>
        <w:tab/>
      </w:r>
    </w:p>
  </w:footnote>
  <w:footnote w:type="continuationSeparator" w:id="0">
    <w:p w:rsidR="0006085A" w:rsidRPr="00A80554" w:rsidRDefault="0006085A" w:rsidP="00A80554">
      <w:pPr>
        <w:tabs>
          <w:tab w:val="left" w:pos="2155"/>
        </w:tabs>
        <w:spacing w:after="80"/>
        <w:ind w:left="680"/>
        <w:rPr>
          <w:u w:val="single"/>
        </w:rPr>
      </w:pPr>
      <w:r w:rsidRPr="00A80554">
        <w:rPr>
          <w:u w:val="single"/>
        </w:rPr>
        <w:tab/>
      </w:r>
    </w:p>
  </w:footnote>
  <w:footnote w:type="continuationNotice" w:id="1">
    <w:p w:rsidR="0006085A" w:rsidRDefault="0006085A"/>
  </w:footnote>
  <w:footnote w:id="2">
    <w:p w:rsidR="008E0108" w:rsidRPr="008E0108" w:rsidRDefault="008E0108">
      <w:pPr>
        <w:pStyle w:val="FootnoteText"/>
      </w:pPr>
      <w:r w:rsidRPr="008E0108">
        <w:rPr>
          <w:rStyle w:val="FootnoteReference"/>
          <w:szCs w:val="18"/>
        </w:rPr>
        <w:tab/>
        <w:t>*</w:t>
      </w:r>
      <w:r>
        <w:rPr>
          <w:rStyle w:val="FootnoteReference"/>
          <w:sz w:val="20"/>
          <w:vertAlign w:val="baseline"/>
        </w:rPr>
        <w:tab/>
      </w:r>
      <w:r w:rsidRPr="008E0108">
        <w:t>Diffusé en langue allemande par la Commission centrale pour la navigation du Rhin sous la cote CCNR/ZKR/ADN/WP.15/AC.2/2017/</w:t>
      </w:r>
      <w:r w:rsidR="00DB07CB">
        <w:t>13</w:t>
      </w:r>
      <w:r w:rsidRPr="008E0108">
        <w:t>.</w:t>
      </w:r>
    </w:p>
  </w:footnote>
  <w:footnote w:id="3">
    <w:p w:rsidR="008E0108" w:rsidRPr="008E0108" w:rsidRDefault="008E0108" w:rsidP="008E0108">
      <w:pPr>
        <w:pStyle w:val="FootnoteText"/>
      </w:pPr>
      <w:r w:rsidRPr="008E0108">
        <w:rPr>
          <w:rStyle w:val="FootnoteReference"/>
          <w:szCs w:val="18"/>
        </w:rPr>
        <w:tab/>
        <w:t>**</w:t>
      </w:r>
      <w:r>
        <w:rPr>
          <w:rStyle w:val="FootnoteReference"/>
        </w:rPr>
        <w:tab/>
      </w:r>
      <w:r w:rsidRPr="008E0108">
        <w:t>Conformément au programme de travail du Comité des transports intérieurs pour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rPr>
        <w:lang w:val="en-GB"/>
      </w:rPr>
    </w:pPr>
    <w:r w:rsidRPr="00565A49">
      <w:rPr>
        <w:lang w:val="en-GB"/>
      </w:rPr>
      <w:t>ECE/TRANS/WP.15/AC.</w:t>
    </w:r>
    <w:r w:rsidR="008E0108">
      <w:rPr>
        <w:lang w:val="en-GB"/>
      </w:rPr>
      <w:t>2/2017</w:t>
    </w:r>
    <w:r>
      <w:rPr>
        <w:lang w:val="en-GB"/>
      </w:rPr>
      <w:t>/</w:t>
    </w:r>
    <w:r w:rsidR="00A35751">
      <w:rPr>
        <w:lang w:val="en-GB"/>
      </w:rPr>
      <w:t>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jc w:val="right"/>
      <w:rPr>
        <w:lang w:val="en-GB"/>
      </w:rPr>
    </w:pPr>
    <w:r w:rsidRPr="00565A49">
      <w:rPr>
        <w:lang w:val="en-GB"/>
      </w:rPr>
      <w:t>ECE/TRANS/WP.15/AC.</w:t>
    </w:r>
    <w:r w:rsidR="008E0108">
      <w:rPr>
        <w:lang w:val="en-GB"/>
      </w:rPr>
      <w:t>2/2017</w:t>
    </w:r>
    <w:r w:rsidR="00A35751">
      <w:rPr>
        <w:lang w:val="en-GB"/>
      </w:rPr>
      <w:t>/13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F0C547B"/>
    <w:multiLevelType w:val="hybridMultilevel"/>
    <w:tmpl w:val="8B244A9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2D5E33AD"/>
    <w:multiLevelType w:val="hybridMultilevel"/>
    <w:tmpl w:val="B5F28126"/>
    <w:lvl w:ilvl="0" w:tplc="F3D60F20">
      <w:start w:val="1"/>
      <w:numFmt w:val="bullet"/>
      <w:lvlText w:val=""/>
      <w:lvlJc w:val="left"/>
      <w:pPr>
        <w:ind w:left="1287" w:hanging="360"/>
      </w:pPr>
      <w:rPr>
        <w:rFonts w:ascii="Symbol" w:hAnsi="Symbol" w:hint="default"/>
        <w:lang w:val="fr-FR"/>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7"/>
  </w:num>
  <w:num w:numId="2">
    <w:abstractNumId w:val="5"/>
  </w:num>
  <w:num w:numId="3">
    <w:abstractNumId w:val="0"/>
  </w:num>
  <w:num w:numId="4">
    <w:abstractNumId w:val="6"/>
  </w:num>
  <w:num w:numId="5">
    <w:abstractNumId w:val="8"/>
  </w:num>
  <w:num w:numId="6">
    <w:abstractNumId w:val="2"/>
  </w:num>
  <w:num w:numId="7">
    <w:abstractNumId w:val="4"/>
  </w:num>
  <w:num w:numId="8">
    <w:abstractNumId w:val="3"/>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es-ES" w:vendorID="64" w:dllVersion="131078" w:nlCheck="1" w:checkStyle="1"/>
  <w:activeWritingStyle w:appName="MSWord" w:lang="fr-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1A"/>
    <w:rsid w:val="0000195C"/>
    <w:rsid w:val="00003FFB"/>
    <w:rsid w:val="0000754C"/>
    <w:rsid w:val="000121D3"/>
    <w:rsid w:val="000131A5"/>
    <w:rsid w:val="00016AC5"/>
    <w:rsid w:val="00022BD7"/>
    <w:rsid w:val="00030ADE"/>
    <w:rsid w:val="000312C0"/>
    <w:rsid w:val="00032C15"/>
    <w:rsid w:val="00033A63"/>
    <w:rsid w:val="0004058B"/>
    <w:rsid w:val="000472A1"/>
    <w:rsid w:val="000507A8"/>
    <w:rsid w:val="0006085A"/>
    <w:rsid w:val="0006415C"/>
    <w:rsid w:val="000643B7"/>
    <w:rsid w:val="00066716"/>
    <w:rsid w:val="00071432"/>
    <w:rsid w:val="000758B9"/>
    <w:rsid w:val="00081790"/>
    <w:rsid w:val="000828C8"/>
    <w:rsid w:val="00094EF2"/>
    <w:rsid w:val="000963EA"/>
    <w:rsid w:val="000964C7"/>
    <w:rsid w:val="000A49E0"/>
    <w:rsid w:val="000A7EC2"/>
    <w:rsid w:val="000B34CA"/>
    <w:rsid w:val="000C0699"/>
    <w:rsid w:val="000D7E12"/>
    <w:rsid w:val="000E68FB"/>
    <w:rsid w:val="000F41F2"/>
    <w:rsid w:val="00104ADE"/>
    <w:rsid w:val="00114946"/>
    <w:rsid w:val="00115943"/>
    <w:rsid w:val="00127A72"/>
    <w:rsid w:val="0013180D"/>
    <w:rsid w:val="00135C0D"/>
    <w:rsid w:val="00154636"/>
    <w:rsid w:val="001551B7"/>
    <w:rsid w:val="001568BB"/>
    <w:rsid w:val="00160540"/>
    <w:rsid w:val="00162132"/>
    <w:rsid w:val="00162E33"/>
    <w:rsid w:val="0016419C"/>
    <w:rsid w:val="00164FB7"/>
    <w:rsid w:val="001703B7"/>
    <w:rsid w:val="0017182C"/>
    <w:rsid w:val="00171EA3"/>
    <w:rsid w:val="00177007"/>
    <w:rsid w:val="00186EE9"/>
    <w:rsid w:val="00190399"/>
    <w:rsid w:val="00192EEB"/>
    <w:rsid w:val="001A20FB"/>
    <w:rsid w:val="001A2CA3"/>
    <w:rsid w:val="001A37C7"/>
    <w:rsid w:val="001A73B7"/>
    <w:rsid w:val="001B6AF6"/>
    <w:rsid w:val="001B6F40"/>
    <w:rsid w:val="001C4BBB"/>
    <w:rsid w:val="001D7DF9"/>
    <w:rsid w:val="001D7F8A"/>
    <w:rsid w:val="001E3FEB"/>
    <w:rsid w:val="001E4A02"/>
    <w:rsid w:val="001F3CC1"/>
    <w:rsid w:val="001F412D"/>
    <w:rsid w:val="001F5816"/>
    <w:rsid w:val="00203B6A"/>
    <w:rsid w:val="002041A8"/>
    <w:rsid w:val="0020607F"/>
    <w:rsid w:val="002069D5"/>
    <w:rsid w:val="00216861"/>
    <w:rsid w:val="0022098E"/>
    <w:rsid w:val="00223B89"/>
    <w:rsid w:val="00225A8C"/>
    <w:rsid w:val="00232C61"/>
    <w:rsid w:val="002403AA"/>
    <w:rsid w:val="00260A9C"/>
    <w:rsid w:val="00261C6B"/>
    <w:rsid w:val="002659F1"/>
    <w:rsid w:val="00265FE8"/>
    <w:rsid w:val="0027037E"/>
    <w:rsid w:val="00271C7C"/>
    <w:rsid w:val="00287E79"/>
    <w:rsid w:val="0029101B"/>
    <w:rsid w:val="002928F9"/>
    <w:rsid w:val="0029776B"/>
    <w:rsid w:val="002A1905"/>
    <w:rsid w:val="002A29C3"/>
    <w:rsid w:val="002A5D07"/>
    <w:rsid w:val="002A5F7F"/>
    <w:rsid w:val="002B2881"/>
    <w:rsid w:val="002C555D"/>
    <w:rsid w:val="002D0474"/>
    <w:rsid w:val="002D7928"/>
    <w:rsid w:val="002F2735"/>
    <w:rsid w:val="003016B7"/>
    <w:rsid w:val="00304272"/>
    <w:rsid w:val="00306511"/>
    <w:rsid w:val="00321245"/>
    <w:rsid w:val="0032270A"/>
    <w:rsid w:val="00327E03"/>
    <w:rsid w:val="00330F9C"/>
    <w:rsid w:val="00332954"/>
    <w:rsid w:val="003338E5"/>
    <w:rsid w:val="00335202"/>
    <w:rsid w:val="003371E0"/>
    <w:rsid w:val="00340C35"/>
    <w:rsid w:val="00343859"/>
    <w:rsid w:val="003470CB"/>
    <w:rsid w:val="003515AA"/>
    <w:rsid w:val="00351AD9"/>
    <w:rsid w:val="003540B3"/>
    <w:rsid w:val="00367E6A"/>
    <w:rsid w:val="00370E0F"/>
    <w:rsid w:val="00372345"/>
    <w:rsid w:val="00374106"/>
    <w:rsid w:val="00374296"/>
    <w:rsid w:val="00391403"/>
    <w:rsid w:val="00397250"/>
    <w:rsid w:val="003974E1"/>
    <w:rsid w:val="003976D5"/>
    <w:rsid w:val="003A1FEF"/>
    <w:rsid w:val="003A462C"/>
    <w:rsid w:val="003A656C"/>
    <w:rsid w:val="003B6B20"/>
    <w:rsid w:val="003C322F"/>
    <w:rsid w:val="003C5C5B"/>
    <w:rsid w:val="003D1DF3"/>
    <w:rsid w:val="003D46A7"/>
    <w:rsid w:val="003D6C68"/>
    <w:rsid w:val="003D76E4"/>
    <w:rsid w:val="003F118A"/>
    <w:rsid w:val="004005D0"/>
    <w:rsid w:val="00406E74"/>
    <w:rsid w:val="00413736"/>
    <w:rsid w:val="00414425"/>
    <w:rsid w:val="004159D0"/>
    <w:rsid w:val="00421AC2"/>
    <w:rsid w:val="00423D55"/>
    <w:rsid w:val="004249E7"/>
    <w:rsid w:val="00426DA1"/>
    <w:rsid w:val="00430C92"/>
    <w:rsid w:val="00434168"/>
    <w:rsid w:val="0044289E"/>
    <w:rsid w:val="00454017"/>
    <w:rsid w:val="00461870"/>
    <w:rsid w:val="00471DA9"/>
    <w:rsid w:val="00475DD2"/>
    <w:rsid w:val="0047700A"/>
    <w:rsid w:val="00481464"/>
    <w:rsid w:val="00486E96"/>
    <w:rsid w:val="00491EC7"/>
    <w:rsid w:val="0049374F"/>
    <w:rsid w:val="00497A70"/>
    <w:rsid w:val="004A324B"/>
    <w:rsid w:val="004A331B"/>
    <w:rsid w:val="004A3778"/>
    <w:rsid w:val="004A5C90"/>
    <w:rsid w:val="004B154F"/>
    <w:rsid w:val="004D0EB7"/>
    <w:rsid w:val="004D53B7"/>
    <w:rsid w:val="004E1AC3"/>
    <w:rsid w:val="004E551E"/>
    <w:rsid w:val="00502D1A"/>
    <w:rsid w:val="00504EB2"/>
    <w:rsid w:val="00514EB1"/>
    <w:rsid w:val="0052158A"/>
    <w:rsid w:val="0052416A"/>
    <w:rsid w:val="00524D9B"/>
    <w:rsid w:val="00530057"/>
    <w:rsid w:val="00531F0F"/>
    <w:rsid w:val="005367EB"/>
    <w:rsid w:val="00543D5E"/>
    <w:rsid w:val="005446F3"/>
    <w:rsid w:val="00545F2F"/>
    <w:rsid w:val="005611FF"/>
    <w:rsid w:val="005622F9"/>
    <w:rsid w:val="00563346"/>
    <w:rsid w:val="00565A49"/>
    <w:rsid w:val="00571F41"/>
    <w:rsid w:val="005722E7"/>
    <w:rsid w:val="00575335"/>
    <w:rsid w:val="00576C84"/>
    <w:rsid w:val="00585A6B"/>
    <w:rsid w:val="0059410B"/>
    <w:rsid w:val="00595BE4"/>
    <w:rsid w:val="00595C56"/>
    <w:rsid w:val="005A041A"/>
    <w:rsid w:val="005B738F"/>
    <w:rsid w:val="005B76A3"/>
    <w:rsid w:val="005C6014"/>
    <w:rsid w:val="005E5D1F"/>
    <w:rsid w:val="005E5E79"/>
    <w:rsid w:val="005F25D1"/>
    <w:rsid w:val="005F302D"/>
    <w:rsid w:val="005F59DB"/>
    <w:rsid w:val="00603391"/>
    <w:rsid w:val="006049FD"/>
    <w:rsid w:val="00605683"/>
    <w:rsid w:val="00611D43"/>
    <w:rsid w:val="00612D48"/>
    <w:rsid w:val="00616B45"/>
    <w:rsid w:val="0061708F"/>
    <w:rsid w:val="006210B6"/>
    <w:rsid w:val="00625F01"/>
    <w:rsid w:val="00630D9B"/>
    <w:rsid w:val="00631953"/>
    <w:rsid w:val="006439EC"/>
    <w:rsid w:val="00654B07"/>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E0743"/>
    <w:rsid w:val="006E19BA"/>
    <w:rsid w:val="006E3B48"/>
    <w:rsid w:val="006E5FC7"/>
    <w:rsid w:val="006E7722"/>
    <w:rsid w:val="006F151C"/>
    <w:rsid w:val="00700CF9"/>
    <w:rsid w:val="0070347C"/>
    <w:rsid w:val="007176C1"/>
    <w:rsid w:val="00737BCE"/>
    <w:rsid w:val="0074123A"/>
    <w:rsid w:val="00742FD7"/>
    <w:rsid w:val="007450F8"/>
    <w:rsid w:val="00745CA1"/>
    <w:rsid w:val="007514EF"/>
    <w:rsid w:val="007527B6"/>
    <w:rsid w:val="00753BDA"/>
    <w:rsid w:val="00766A94"/>
    <w:rsid w:val="007673E8"/>
    <w:rsid w:val="00780EAE"/>
    <w:rsid w:val="007811F7"/>
    <w:rsid w:val="007817A1"/>
    <w:rsid w:val="007820F2"/>
    <w:rsid w:val="00783F37"/>
    <w:rsid w:val="007904AF"/>
    <w:rsid w:val="00790627"/>
    <w:rsid w:val="00790F2F"/>
    <w:rsid w:val="00795138"/>
    <w:rsid w:val="007A6076"/>
    <w:rsid w:val="007C1A44"/>
    <w:rsid w:val="007C57B0"/>
    <w:rsid w:val="007D78D5"/>
    <w:rsid w:val="007E2F66"/>
    <w:rsid w:val="007F0F13"/>
    <w:rsid w:val="007F55CB"/>
    <w:rsid w:val="00812C1A"/>
    <w:rsid w:val="00816FA8"/>
    <w:rsid w:val="0081704B"/>
    <w:rsid w:val="00823A0B"/>
    <w:rsid w:val="00831329"/>
    <w:rsid w:val="008317F6"/>
    <w:rsid w:val="00835193"/>
    <w:rsid w:val="008353E4"/>
    <w:rsid w:val="00835BFB"/>
    <w:rsid w:val="00836924"/>
    <w:rsid w:val="0083714D"/>
    <w:rsid w:val="00844750"/>
    <w:rsid w:val="00851438"/>
    <w:rsid w:val="00860C9D"/>
    <w:rsid w:val="00871051"/>
    <w:rsid w:val="00883D70"/>
    <w:rsid w:val="00884E9C"/>
    <w:rsid w:val="008B44C4"/>
    <w:rsid w:val="008B7879"/>
    <w:rsid w:val="008C1BBA"/>
    <w:rsid w:val="008C2211"/>
    <w:rsid w:val="008C7684"/>
    <w:rsid w:val="008D0723"/>
    <w:rsid w:val="008D0C3F"/>
    <w:rsid w:val="008D1AC7"/>
    <w:rsid w:val="008D3919"/>
    <w:rsid w:val="008E0108"/>
    <w:rsid w:val="008E0B16"/>
    <w:rsid w:val="008E3F2C"/>
    <w:rsid w:val="008E5107"/>
    <w:rsid w:val="008E7FAE"/>
    <w:rsid w:val="008F1725"/>
    <w:rsid w:val="008F60FF"/>
    <w:rsid w:val="009066AE"/>
    <w:rsid w:val="00911BF7"/>
    <w:rsid w:val="00922301"/>
    <w:rsid w:val="00922FBA"/>
    <w:rsid w:val="00926E87"/>
    <w:rsid w:val="00930CC7"/>
    <w:rsid w:val="00932D7A"/>
    <w:rsid w:val="0094300E"/>
    <w:rsid w:val="00952FDB"/>
    <w:rsid w:val="00953DE0"/>
    <w:rsid w:val="009566B0"/>
    <w:rsid w:val="00970F62"/>
    <w:rsid w:val="00977EC8"/>
    <w:rsid w:val="009817BD"/>
    <w:rsid w:val="009837CB"/>
    <w:rsid w:val="009A21FA"/>
    <w:rsid w:val="009A6F85"/>
    <w:rsid w:val="009B060F"/>
    <w:rsid w:val="009B18A3"/>
    <w:rsid w:val="009B25CE"/>
    <w:rsid w:val="009B5EA0"/>
    <w:rsid w:val="009C1239"/>
    <w:rsid w:val="009C246D"/>
    <w:rsid w:val="009C2848"/>
    <w:rsid w:val="009C38EA"/>
    <w:rsid w:val="009D3A8C"/>
    <w:rsid w:val="009E01B8"/>
    <w:rsid w:val="009E698E"/>
    <w:rsid w:val="009E7956"/>
    <w:rsid w:val="00A11C63"/>
    <w:rsid w:val="00A134EB"/>
    <w:rsid w:val="00A1547F"/>
    <w:rsid w:val="00A2492E"/>
    <w:rsid w:val="00A31F07"/>
    <w:rsid w:val="00A35751"/>
    <w:rsid w:val="00A41235"/>
    <w:rsid w:val="00A44CBA"/>
    <w:rsid w:val="00A45EBB"/>
    <w:rsid w:val="00A6502C"/>
    <w:rsid w:val="00A70163"/>
    <w:rsid w:val="00A71439"/>
    <w:rsid w:val="00A73DB7"/>
    <w:rsid w:val="00A778A5"/>
    <w:rsid w:val="00A80554"/>
    <w:rsid w:val="00A86837"/>
    <w:rsid w:val="00A93320"/>
    <w:rsid w:val="00A963DD"/>
    <w:rsid w:val="00AA0176"/>
    <w:rsid w:val="00AA3C96"/>
    <w:rsid w:val="00AA72C3"/>
    <w:rsid w:val="00AB6447"/>
    <w:rsid w:val="00AC67A1"/>
    <w:rsid w:val="00AC7977"/>
    <w:rsid w:val="00AD1E14"/>
    <w:rsid w:val="00AD3F23"/>
    <w:rsid w:val="00AE352C"/>
    <w:rsid w:val="00AE4F08"/>
    <w:rsid w:val="00AE5E87"/>
    <w:rsid w:val="00AE69A8"/>
    <w:rsid w:val="00AE7BCA"/>
    <w:rsid w:val="00AF1446"/>
    <w:rsid w:val="00AF2F6F"/>
    <w:rsid w:val="00AF684E"/>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C5D40"/>
    <w:rsid w:val="00BD0B53"/>
    <w:rsid w:val="00BD50B3"/>
    <w:rsid w:val="00BD5B50"/>
    <w:rsid w:val="00BE3741"/>
    <w:rsid w:val="00BF0556"/>
    <w:rsid w:val="00BF06B0"/>
    <w:rsid w:val="00BF47BD"/>
    <w:rsid w:val="00BF505B"/>
    <w:rsid w:val="00C00C2A"/>
    <w:rsid w:val="00C1607E"/>
    <w:rsid w:val="00C218FD"/>
    <w:rsid w:val="00C2232D"/>
    <w:rsid w:val="00C24B53"/>
    <w:rsid w:val="00C261F8"/>
    <w:rsid w:val="00C30DC2"/>
    <w:rsid w:val="00C33100"/>
    <w:rsid w:val="00C34C11"/>
    <w:rsid w:val="00C358CC"/>
    <w:rsid w:val="00C4302B"/>
    <w:rsid w:val="00C45121"/>
    <w:rsid w:val="00C51BB4"/>
    <w:rsid w:val="00C617E1"/>
    <w:rsid w:val="00C63AC1"/>
    <w:rsid w:val="00C732D1"/>
    <w:rsid w:val="00C836BC"/>
    <w:rsid w:val="00C940E9"/>
    <w:rsid w:val="00CA047F"/>
    <w:rsid w:val="00CA3500"/>
    <w:rsid w:val="00CA5CBD"/>
    <w:rsid w:val="00CB2BEA"/>
    <w:rsid w:val="00CB6267"/>
    <w:rsid w:val="00CD1A71"/>
    <w:rsid w:val="00CD1FBB"/>
    <w:rsid w:val="00CD4C90"/>
    <w:rsid w:val="00CF6435"/>
    <w:rsid w:val="00D016B5"/>
    <w:rsid w:val="00D017DF"/>
    <w:rsid w:val="00D034F1"/>
    <w:rsid w:val="00D11B17"/>
    <w:rsid w:val="00D218FC"/>
    <w:rsid w:val="00D241C1"/>
    <w:rsid w:val="00D27297"/>
    <w:rsid w:val="00D27D5E"/>
    <w:rsid w:val="00D34270"/>
    <w:rsid w:val="00D40906"/>
    <w:rsid w:val="00D41B47"/>
    <w:rsid w:val="00D428F9"/>
    <w:rsid w:val="00D440EE"/>
    <w:rsid w:val="00D47F24"/>
    <w:rsid w:val="00D52A86"/>
    <w:rsid w:val="00D60301"/>
    <w:rsid w:val="00D72874"/>
    <w:rsid w:val="00D75A23"/>
    <w:rsid w:val="00D84247"/>
    <w:rsid w:val="00D8534F"/>
    <w:rsid w:val="00D86AD1"/>
    <w:rsid w:val="00D96366"/>
    <w:rsid w:val="00DA1820"/>
    <w:rsid w:val="00DA57D4"/>
    <w:rsid w:val="00DA6BC7"/>
    <w:rsid w:val="00DB07CB"/>
    <w:rsid w:val="00DB4793"/>
    <w:rsid w:val="00DB5C62"/>
    <w:rsid w:val="00DC158C"/>
    <w:rsid w:val="00DC51E3"/>
    <w:rsid w:val="00DD051B"/>
    <w:rsid w:val="00DD5D73"/>
    <w:rsid w:val="00DE01E3"/>
    <w:rsid w:val="00DE0AF7"/>
    <w:rsid w:val="00DE24A4"/>
    <w:rsid w:val="00DE6D90"/>
    <w:rsid w:val="00DF002F"/>
    <w:rsid w:val="00DF1BEA"/>
    <w:rsid w:val="00DF1F03"/>
    <w:rsid w:val="00DF3492"/>
    <w:rsid w:val="00DF4DCE"/>
    <w:rsid w:val="00DF6551"/>
    <w:rsid w:val="00E0244D"/>
    <w:rsid w:val="00E02CE0"/>
    <w:rsid w:val="00E11BBC"/>
    <w:rsid w:val="00E1236D"/>
    <w:rsid w:val="00E15EC6"/>
    <w:rsid w:val="00E22F40"/>
    <w:rsid w:val="00E53D77"/>
    <w:rsid w:val="00E5407C"/>
    <w:rsid w:val="00E55D71"/>
    <w:rsid w:val="00E60E30"/>
    <w:rsid w:val="00E6288C"/>
    <w:rsid w:val="00E653A2"/>
    <w:rsid w:val="00E65B70"/>
    <w:rsid w:val="00E6627D"/>
    <w:rsid w:val="00E73AEE"/>
    <w:rsid w:val="00E74F8B"/>
    <w:rsid w:val="00E81E94"/>
    <w:rsid w:val="00E82607"/>
    <w:rsid w:val="00E87C4C"/>
    <w:rsid w:val="00E90A2D"/>
    <w:rsid w:val="00E95AF8"/>
    <w:rsid w:val="00EA0C87"/>
    <w:rsid w:val="00EA2677"/>
    <w:rsid w:val="00EA31C2"/>
    <w:rsid w:val="00EA4D5A"/>
    <w:rsid w:val="00EA5169"/>
    <w:rsid w:val="00EB16FF"/>
    <w:rsid w:val="00EB4C54"/>
    <w:rsid w:val="00EC0734"/>
    <w:rsid w:val="00EC3132"/>
    <w:rsid w:val="00EC3FA6"/>
    <w:rsid w:val="00EC60C5"/>
    <w:rsid w:val="00ED265E"/>
    <w:rsid w:val="00ED7BEB"/>
    <w:rsid w:val="00EE2EA3"/>
    <w:rsid w:val="00EE43A7"/>
    <w:rsid w:val="00EE7E0C"/>
    <w:rsid w:val="00EF041A"/>
    <w:rsid w:val="00F01516"/>
    <w:rsid w:val="00F03FFA"/>
    <w:rsid w:val="00F100D6"/>
    <w:rsid w:val="00F12577"/>
    <w:rsid w:val="00F14D09"/>
    <w:rsid w:val="00F2271B"/>
    <w:rsid w:val="00F227C9"/>
    <w:rsid w:val="00F35A1F"/>
    <w:rsid w:val="00F4554C"/>
    <w:rsid w:val="00F524AA"/>
    <w:rsid w:val="00F560CD"/>
    <w:rsid w:val="00F57129"/>
    <w:rsid w:val="00F90CFE"/>
    <w:rsid w:val="00F96586"/>
    <w:rsid w:val="00FA40A9"/>
    <w:rsid w:val="00FA43E0"/>
    <w:rsid w:val="00FA5A79"/>
    <w:rsid w:val="00FA6422"/>
    <w:rsid w:val="00FB00CB"/>
    <w:rsid w:val="00FB0BFE"/>
    <w:rsid w:val="00FB2419"/>
    <w:rsid w:val="00FB4C51"/>
    <w:rsid w:val="00FB6AC1"/>
    <w:rsid w:val="00FB72A4"/>
    <w:rsid w:val="00FC0CDC"/>
    <w:rsid w:val="00FD64E0"/>
    <w:rsid w:val="00FE1D5F"/>
    <w:rsid w:val="00FE2AF4"/>
    <w:rsid w:val="00FE307F"/>
    <w:rsid w:val="00FE69B3"/>
    <w:rsid w:val="00FF1DBD"/>
    <w:rsid w:val="00FF1E43"/>
    <w:rsid w:val="00FF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oNotEmbedSmartTags/>
  <w:decimalSymbol w:val="."/>
  <w:listSeparator w:val=","/>
  <w14:docId w14:val="44FFFC39"/>
  <w15:docId w15:val="{02F9F26E-BF90-4083-A5B9-B50746AD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styleId="ListParagraph">
    <w:name w:val="List Paragraph"/>
    <w:basedOn w:val="Normal"/>
    <w:uiPriority w:val="34"/>
    <w:qFormat/>
    <w:rsid w:val="0083714D"/>
    <w:pPr>
      <w:ind w:left="720"/>
      <w:contextualSpacing/>
    </w:pPr>
    <w:rPr>
      <w:snapToGrid w:val="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00FE-649A-4D68-A19E-CF36C291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15</TotalTime>
  <Pages>4</Pages>
  <Words>1317</Words>
  <Characters>7507</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Caillot</cp:lastModifiedBy>
  <cp:revision>9</cp:revision>
  <cp:lastPrinted>2016-05-30T13:37:00Z</cp:lastPrinted>
  <dcterms:created xsi:type="dcterms:W3CDTF">2016-11-01T18:29:00Z</dcterms:created>
  <dcterms:modified xsi:type="dcterms:W3CDTF">2016-11-09T14:12:00Z</dcterms:modified>
</cp:coreProperties>
</file>