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E01084">
              <w:fldChar w:fldCharType="begin"/>
            </w:r>
            <w:r w:rsidR="00E01084">
              <w:instrText xml:space="preserve"> FILLIN  "Введите символ после ЕCE/"  \* MERGEFORMAT </w:instrText>
            </w:r>
            <w:r w:rsidR="00E01084">
              <w:fldChar w:fldCharType="separate"/>
            </w:r>
            <w:r w:rsidR="001B0857">
              <w:t>TRANS/WP.15/AC.2/2017/16</w:t>
            </w:r>
            <w:r w:rsidR="00E01084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E01084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1B0857">
                <w:t>4 November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E01084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B0857" w:rsidRPr="00A014C4" w:rsidRDefault="001B0857" w:rsidP="001B0857">
      <w:pPr>
        <w:spacing w:before="120"/>
        <w:rPr>
          <w:sz w:val="28"/>
          <w:szCs w:val="28"/>
        </w:rPr>
      </w:pPr>
      <w:r w:rsidRPr="00A014C4">
        <w:rPr>
          <w:sz w:val="28"/>
          <w:szCs w:val="28"/>
        </w:rPr>
        <w:t>Комитет по внутреннему транспорту</w:t>
      </w:r>
    </w:p>
    <w:p w:rsidR="001B0857" w:rsidRPr="00A014C4" w:rsidRDefault="001B0857" w:rsidP="001B0857">
      <w:pPr>
        <w:spacing w:before="120"/>
        <w:rPr>
          <w:b/>
          <w:bCs/>
          <w:sz w:val="24"/>
          <w:szCs w:val="24"/>
        </w:rPr>
      </w:pPr>
      <w:r w:rsidRPr="00A014C4">
        <w:rPr>
          <w:b/>
          <w:bCs/>
          <w:sz w:val="24"/>
          <w:szCs w:val="24"/>
        </w:rPr>
        <w:t>Рабочая группа по перевозкам опасных грузов</w:t>
      </w:r>
    </w:p>
    <w:p w:rsidR="001B0857" w:rsidRPr="00A014C4" w:rsidRDefault="001B0857" w:rsidP="001B0857">
      <w:pPr>
        <w:spacing w:before="120"/>
        <w:rPr>
          <w:b/>
          <w:bCs/>
        </w:rPr>
      </w:pPr>
      <w:r w:rsidRPr="00A014C4">
        <w:rPr>
          <w:b/>
          <w:bCs/>
        </w:rPr>
        <w:t>Совместное совещание экспертов по Правилам,</w:t>
      </w:r>
      <w:r w:rsidRPr="00A014C4">
        <w:rPr>
          <w:b/>
          <w:bCs/>
        </w:rPr>
        <w:br/>
        <w:t>прилагаемым к Европейскому соглашению</w:t>
      </w:r>
      <w:r w:rsidRPr="00A014C4">
        <w:rPr>
          <w:b/>
          <w:bCs/>
        </w:rPr>
        <w:br/>
        <w:t>о международной перевозке опасных грузов</w:t>
      </w:r>
      <w:r w:rsidRPr="00A014C4">
        <w:rPr>
          <w:b/>
          <w:bCs/>
        </w:rPr>
        <w:br/>
        <w:t>по внутренним водным путям (ВОПОГ)</w:t>
      </w:r>
      <w:r w:rsidRPr="00A014C4">
        <w:rPr>
          <w:b/>
          <w:bCs/>
        </w:rPr>
        <w:br/>
        <w:t>(Комитет по вопросам безопасности ВОПОГ)</w:t>
      </w:r>
    </w:p>
    <w:p w:rsidR="001B0857" w:rsidRPr="00A014C4" w:rsidRDefault="001B0857" w:rsidP="001B0857">
      <w:pPr>
        <w:spacing w:before="120"/>
        <w:rPr>
          <w:b/>
          <w:bCs/>
        </w:rPr>
      </w:pPr>
      <w:r>
        <w:rPr>
          <w:b/>
          <w:bCs/>
        </w:rPr>
        <w:t>Тридцатая</w:t>
      </w:r>
      <w:r w:rsidRPr="00A014C4">
        <w:rPr>
          <w:b/>
          <w:bCs/>
        </w:rPr>
        <w:t xml:space="preserve"> сессия</w:t>
      </w:r>
    </w:p>
    <w:p w:rsidR="001B0857" w:rsidRPr="00A014C4" w:rsidRDefault="001B0857" w:rsidP="001B0857">
      <w:r w:rsidRPr="00A014C4">
        <w:t>Женева, 2</w:t>
      </w:r>
      <w:r>
        <w:t>3</w:t>
      </w:r>
      <w:r w:rsidRPr="00A014C4">
        <w:t>–2</w:t>
      </w:r>
      <w:r>
        <w:t>7 января</w:t>
      </w:r>
      <w:r w:rsidRPr="00A014C4">
        <w:t xml:space="preserve"> 201</w:t>
      </w:r>
      <w:r>
        <w:t>7</w:t>
      </w:r>
      <w:r w:rsidRPr="00A014C4">
        <w:t xml:space="preserve"> года</w:t>
      </w:r>
    </w:p>
    <w:p w:rsidR="001B0857" w:rsidRPr="00A014C4" w:rsidRDefault="001B0857" w:rsidP="001B0857">
      <w:r w:rsidRPr="00A014C4">
        <w:t xml:space="preserve">Пункт </w:t>
      </w:r>
      <w:r>
        <w:t>5</w:t>
      </w:r>
      <w:r w:rsidRPr="00A014C4">
        <w:t xml:space="preserve"> </w:t>
      </w:r>
      <w:r w:rsidRPr="006E0BB6">
        <w:t>b</w:t>
      </w:r>
      <w:r w:rsidRPr="00A014C4">
        <w:t>) предварительной повестки дня</w:t>
      </w:r>
    </w:p>
    <w:p w:rsidR="00A658DB" w:rsidRPr="00B40667" w:rsidRDefault="001B0857" w:rsidP="001B0857">
      <w:pPr>
        <w:spacing w:line="240" w:lineRule="auto"/>
        <w:rPr>
          <w:b/>
        </w:rPr>
      </w:pPr>
      <w:r w:rsidRPr="00A014C4">
        <w:rPr>
          <w:b/>
        </w:rPr>
        <w:t xml:space="preserve">Предложения о внесении поправок в Правила, прилагаемые </w:t>
      </w:r>
      <w:r w:rsidR="00B40667" w:rsidRPr="00B40667">
        <w:rPr>
          <w:b/>
        </w:rPr>
        <w:br/>
      </w:r>
      <w:r w:rsidRPr="00A014C4">
        <w:rPr>
          <w:b/>
        </w:rPr>
        <w:t>к ВОПОГ</w:t>
      </w:r>
      <w:r>
        <w:rPr>
          <w:b/>
        </w:rPr>
        <w:t>:</w:t>
      </w:r>
      <w:r w:rsidR="00B40667" w:rsidRPr="00B40667">
        <w:rPr>
          <w:b/>
        </w:rPr>
        <w:t xml:space="preserve"> </w:t>
      </w:r>
      <w:r>
        <w:rPr>
          <w:b/>
        </w:rPr>
        <w:t>д</w:t>
      </w:r>
      <w:r w:rsidRPr="00A014C4">
        <w:rPr>
          <w:b/>
        </w:rPr>
        <w:t>ругие предложения</w:t>
      </w:r>
    </w:p>
    <w:p w:rsidR="001B0857" w:rsidRPr="0020100F" w:rsidRDefault="001B0857" w:rsidP="001B0857">
      <w:pPr>
        <w:pStyle w:val="HChGR"/>
      </w:pPr>
      <w:r w:rsidRPr="00B40667">
        <w:tab/>
      </w:r>
      <w:r w:rsidRPr="00B40667">
        <w:tab/>
      </w:r>
      <w:r>
        <w:t xml:space="preserve">Огнетушащие </w:t>
      </w:r>
      <w:r w:rsidRPr="001B0857">
        <w:t>составы</w:t>
      </w:r>
    </w:p>
    <w:p w:rsidR="001B0857" w:rsidRPr="001B0857" w:rsidRDefault="001B0857" w:rsidP="001B0857">
      <w:pPr>
        <w:pStyle w:val="H1GR"/>
      </w:pPr>
      <w:r w:rsidRPr="0020100F">
        <w:tab/>
      </w:r>
      <w:r w:rsidRPr="0020100F">
        <w:tab/>
        <w:t xml:space="preserve">Передано правительствами </w:t>
      </w:r>
      <w:r>
        <w:t>Бельгии и Нидерландов</w:t>
      </w:r>
      <w:r w:rsidRPr="001B0857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1B0857">
        <w:rPr>
          <w:b w:val="0"/>
          <w:sz w:val="20"/>
        </w:rPr>
        <w:t xml:space="preserve"> </w:t>
      </w:r>
      <w:r w:rsidRPr="001B0857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63"/>
      </w:tblGrid>
      <w:tr w:rsidR="001B0857" w:rsidTr="00610E92">
        <w:tc>
          <w:tcPr>
            <w:tcW w:w="9663" w:type="dxa"/>
            <w:shd w:val="clear" w:color="auto" w:fill="auto"/>
          </w:tcPr>
          <w:p w:rsidR="001B0857" w:rsidRPr="001B0857" w:rsidRDefault="001B0857" w:rsidP="001B0857">
            <w:pPr>
              <w:suppressAutoHyphens/>
              <w:spacing w:before="240" w:after="120"/>
              <w:ind w:left="255"/>
              <w:rPr>
                <w:i/>
                <w:sz w:val="24"/>
                <w:lang w:val="en-US"/>
              </w:rPr>
            </w:pPr>
            <w:r w:rsidRPr="001B0857">
              <w:rPr>
                <w:i/>
                <w:sz w:val="24"/>
                <w:lang w:val="en-US"/>
              </w:rPr>
              <w:t>Резюме</w:t>
            </w:r>
          </w:p>
        </w:tc>
      </w:tr>
      <w:tr w:rsidR="001B0857" w:rsidRPr="003A76C3" w:rsidTr="00610E92">
        <w:tc>
          <w:tcPr>
            <w:tcW w:w="9663" w:type="dxa"/>
            <w:shd w:val="clear" w:color="auto" w:fill="auto"/>
          </w:tcPr>
          <w:p w:rsidR="001B0857" w:rsidRPr="003A76C3" w:rsidRDefault="003A76C3" w:rsidP="00B40667">
            <w:pPr>
              <w:pStyle w:val="SingleTxtGR"/>
              <w:ind w:left="3969" w:right="57" w:hanging="2835"/>
              <w:jc w:val="left"/>
            </w:pPr>
            <w:r w:rsidRPr="0051039F">
              <w:rPr>
                <w:b/>
                <w:bCs/>
                <w:lang w:bidi="ru-RU"/>
              </w:rPr>
              <w:t>Существо</w:t>
            </w:r>
            <w:r>
              <w:rPr>
                <w:b/>
                <w:bCs/>
                <w:lang w:bidi="ru-RU"/>
              </w:rPr>
              <w:t xml:space="preserve"> </w:t>
            </w:r>
            <w:r w:rsidRPr="0051039F">
              <w:rPr>
                <w:b/>
                <w:bCs/>
                <w:lang w:bidi="ru-RU"/>
              </w:rPr>
              <w:t>предложения:</w:t>
            </w:r>
            <w:r w:rsidRPr="003A76C3">
              <w:rPr>
                <w:b/>
                <w:bCs/>
                <w:lang w:bidi="ru-RU"/>
              </w:rPr>
              <w:tab/>
            </w:r>
            <w:r w:rsidRPr="005A5B05">
              <w:rPr>
                <w:bCs/>
              </w:rPr>
              <w:t>Разрешить</w:t>
            </w:r>
            <w:r>
              <w:rPr>
                <w:bCs/>
                <w:szCs w:val="24"/>
              </w:rPr>
              <w:t xml:space="preserve"> </w:t>
            </w:r>
            <w:r w:rsidRPr="0023275F">
              <w:t>в</w:t>
            </w:r>
            <w:r>
              <w:t xml:space="preserve"> рамках</w:t>
            </w:r>
            <w:r w:rsidRPr="0023275F">
              <w:t xml:space="preserve"> Правил, прилагаемых</w:t>
            </w:r>
            <w:r w:rsidRPr="0023275F">
              <w:rPr>
                <w:b/>
              </w:rPr>
              <w:t xml:space="preserve"> </w:t>
            </w:r>
            <w:r w:rsidRPr="0023275F">
              <w:t>к ВОПОГ</w:t>
            </w:r>
            <w:r>
              <w:t xml:space="preserve">, </w:t>
            </w:r>
            <w:r>
              <w:rPr>
                <w:bCs/>
                <w:szCs w:val="24"/>
              </w:rPr>
              <w:t>использование о</w:t>
            </w:r>
            <w:r w:rsidRPr="0023275F">
              <w:t>гнетушащи</w:t>
            </w:r>
            <w:r>
              <w:t>х</w:t>
            </w:r>
            <w:r w:rsidRPr="0023275F">
              <w:t xml:space="preserve"> </w:t>
            </w:r>
            <w:r>
              <w:t>составов</w:t>
            </w:r>
            <w:r w:rsidRPr="0023275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в виде сухого аэрозоля на постоянной основе</w:t>
            </w:r>
          </w:p>
        </w:tc>
      </w:tr>
      <w:tr w:rsidR="001B0857" w:rsidRPr="003A76C3" w:rsidTr="00610E92">
        <w:tc>
          <w:tcPr>
            <w:tcW w:w="9663" w:type="dxa"/>
            <w:shd w:val="clear" w:color="auto" w:fill="auto"/>
          </w:tcPr>
          <w:p w:rsidR="001B0857" w:rsidRPr="003A76C3" w:rsidRDefault="003A76C3" w:rsidP="00B40667">
            <w:pPr>
              <w:pStyle w:val="SingleTxtGR"/>
              <w:jc w:val="left"/>
            </w:pPr>
            <w:r w:rsidRPr="00E6226D">
              <w:rPr>
                <w:b/>
                <w:bCs/>
              </w:rPr>
              <w:t>Предлагаемое решение:</w:t>
            </w:r>
            <w:r w:rsidRPr="003A76C3">
              <w:rPr>
                <w:b/>
                <w:bCs/>
              </w:rPr>
              <w:tab/>
            </w:r>
            <w:r w:rsidRPr="00BD56E6">
              <w:rPr>
                <w:bCs/>
              </w:rPr>
              <w:t>Изменить</w:t>
            </w:r>
            <w:r w:rsidRPr="00E6226D">
              <w:rPr>
                <w:bCs/>
              </w:rPr>
              <w:t xml:space="preserve"> </w:t>
            </w:r>
            <w:r w:rsidRPr="00BD56E6">
              <w:rPr>
                <w:bCs/>
              </w:rPr>
              <w:t>пункты</w:t>
            </w:r>
            <w:r w:rsidRPr="00E6226D">
              <w:t xml:space="preserve"> 9.1.0.40.2.1 </w:t>
            </w:r>
            <w:r w:rsidRPr="00BD56E6">
              <w:t>и</w:t>
            </w:r>
            <w:r w:rsidRPr="00E6226D">
              <w:t xml:space="preserve"> 9.3.</w:t>
            </w:r>
            <w:r w:rsidRPr="00D2078A">
              <w:t>X</w:t>
            </w:r>
            <w:r w:rsidRPr="00E6226D">
              <w:t>.40.2.1</w:t>
            </w:r>
          </w:p>
        </w:tc>
      </w:tr>
      <w:tr w:rsidR="001B0857" w:rsidRPr="003A76C3" w:rsidTr="00610E92">
        <w:tc>
          <w:tcPr>
            <w:tcW w:w="9663" w:type="dxa"/>
            <w:shd w:val="clear" w:color="auto" w:fill="auto"/>
          </w:tcPr>
          <w:p w:rsidR="003A76C3" w:rsidRPr="00870799" w:rsidRDefault="003A76C3" w:rsidP="00B40667">
            <w:pPr>
              <w:pStyle w:val="SingleTxtGR"/>
              <w:spacing w:after="0"/>
              <w:ind w:left="3969" w:right="-84" w:hanging="2835"/>
              <w:jc w:val="left"/>
            </w:pPr>
            <w:r w:rsidRPr="00E6226D">
              <w:rPr>
                <w:b/>
              </w:rPr>
              <w:t>Справочные документы:</w:t>
            </w:r>
            <w:r w:rsidRPr="003A76C3">
              <w:rPr>
                <w:b/>
              </w:rPr>
              <w:tab/>
            </w:r>
            <w:r>
              <w:t>Неофициальный документ</w:t>
            </w:r>
            <w:r w:rsidRPr="00870799">
              <w:t xml:space="preserve"> </w:t>
            </w:r>
            <w:r w:rsidRPr="00D2078A">
              <w:t>INF</w:t>
            </w:r>
            <w:r w:rsidRPr="00870799">
              <w:t>.3 (</w:t>
            </w:r>
            <w:r>
              <w:t>двадцать восьмая сессия</w:t>
            </w:r>
            <w:r w:rsidRPr="00870799">
              <w:t>)</w:t>
            </w:r>
          </w:p>
          <w:p w:rsidR="003A76C3" w:rsidRPr="00870799" w:rsidRDefault="003A76C3" w:rsidP="003A76C3">
            <w:pPr>
              <w:ind w:left="3969"/>
            </w:pPr>
            <w:r>
              <w:t>ECE</w:t>
            </w:r>
            <w:r w:rsidRPr="00870799">
              <w:t>/</w:t>
            </w:r>
            <w:r>
              <w:t>TRANS</w:t>
            </w:r>
            <w:r w:rsidRPr="00870799">
              <w:t>/</w:t>
            </w:r>
            <w:r>
              <w:t>WP</w:t>
            </w:r>
            <w:r w:rsidRPr="00870799">
              <w:t>.15/</w:t>
            </w:r>
            <w:r>
              <w:t>AC</w:t>
            </w:r>
            <w:r w:rsidRPr="00870799">
              <w:t xml:space="preserve">.2/2016/48 </w:t>
            </w:r>
            <w:r>
              <w:t>и</w:t>
            </w:r>
            <w:r w:rsidRPr="00870799">
              <w:t xml:space="preserve"> </w:t>
            </w:r>
            <w:r>
              <w:t>неофициальный</w:t>
            </w:r>
            <w:r w:rsidRPr="00870799">
              <w:t xml:space="preserve"> </w:t>
            </w:r>
            <w:r>
              <w:t>документ</w:t>
            </w:r>
            <w:r w:rsidRPr="00870799">
              <w:t xml:space="preserve"> </w:t>
            </w:r>
            <w:r w:rsidRPr="00D2078A">
              <w:t>INF</w:t>
            </w:r>
            <w:r w:rsidRPr="00870799">
              <w:t>.30 (</w:t>
            </w:r>
            <w:r>
              <w:t>двадцать девятая сессия</w:t>
            </w:r>
            <w:r w:rsidRPr="00870799">
              <w:t>)</w:t>
            </w:r>
          </w:p>
          <w:p w:rsidR="001B0857" w:rsidRPr="003A76C3" w:rsidRDefault="003A76C3" w:rsidP="00B40667">
            <w:pPr>
              <w:pStyle w:val="SingleTxtGR"/>
              <w:ind w:left="3969"/>
              <w:rPr>
                <w:lang w:val="en-US"/>
              </w:rPr>
            </w:pPr>
            <w:r w:rsidRPr="003A76C3">
              <w:rPr>
                <w:lang w:val="en-US"/>
              </w:rPr>
              <w:t xml:space="preserve">ECE/TRANS/WP.15/AC.2/60, </w:t>
            </w:r>
            <w:r>
              <w:t>пункты</w:t>
            </w:r>
            <w:r w:rsidRPr="003A76C3">
              <w:rPr>
                <w:lang w:val="en-US"/>
              </w:rPr>
              <w:t xml:space="preserve"> 8</w:t>
            </w:r>
            <w:r w:rsidR="00610E92">
              <w:rPr>
                <w:lang w:val="en-US"/>
              </w:rPr>
              <w:t>–</w:t>
            </w:r>
            <w:r w:rsidRPr="003A76C3">
              <w:rPr>
                <w:lang w:val="en-US"/>
              </w:rPr>
              <w:t>9</w:t>
            </w:r>
          </w:p>
        </w:tc>
      </w:tr>
    </w:tbl>
    <w:p w:rsidR="00590939" w:rsidRPr="00590939" w:rsidRDefault="00590939" w:rsidP="00590939">
      <w:pPr>
        <w:pStyle w:val="HChGR"/>
      </w:pPr>
      <w:r w:rsidRPr="00590939">
        <w:rPr>
          <w:lang w:val="en-GB"/>
        </w:rPr>
        <w:lastRenderedPageBreak/>
        <w:tab/>
      </w:r>
      <w:r w:rsidRPr="00590939">
        <w:rPr>
          <w:lang w:val="en-GB"/>
        </w:rPr>
        <w:tab/>
      </w:r>
      <w:r w:rsidRPr="00590939">
        <w:t>Введение</w:t>
      </w:r>
    </w:p>
    <w:p w:rsidR="00590939" w:rsidRPr="00590939" w:rsidRDefault="00590939" w:rsidP="00590939">
      <w:pPr>
        <w:pStyle w:val="SingleTxtGR"/>
      </w:pPr>
      <w:r w:rsidRPr="00590939">
        <w:t>1.</w:t>
      </w:r>
      <w:r w:rsidRPr="00590939">
        <w:tab/>
        <w:t xml:space="preserve">По просьбе делегаций Нидерландов и Бельгии Административный </w:t>
      </w:r>
      <w:r w:rsidR="00E72B22">
        <w:br/>
      </w:r>
      <w:r w:rsidRPr="00590939">
        <w:t xml:space="preserve">комитет ВОПОГ предоставил отступление для судов внутреннего плавания </w:t>
      </w:r>
      <w:r w:rsidR="00E72B22">
        <w:br/>
      </w:r>
      <w:r w:rsidRPr="00590939">
        <w:t>«</w:t>
      </w:r>
      <w:r w:rsidRPr="00590939">
        <w:rPr>
          <w:lang w:val="en-GB"/>
        </w:rPr>
        <w:t>Chemgas</w:t>
      </w:r>
      <w:r w:rsidRPr="00590939">
        <w:t xml:space="preserve"> 851» (</w:t>
      </w:r>
      <w:r w:rsidRPr="00590939">
        <w:rPr>
          <w:lang w:val="en-GB"/>
        </w:rPr>
        <w:t>Sirocco</w:t>
      </w:r>
      <w:r w:rsidRPr="00590939">
        <w:t>) и «</w:t>
      </w:r>
      <w:r w:rsidRPr="00590939">
        <w:rPr>
          <w:lang w:val="en-GB"/>
        </w:rPr>
        <w:t>Donau</w:t>
      </w:r>
      <w:r w:rsidRPr="00590939">
        <w:t xml:space="preserve">» в отношении использования огнетушащего состава в виде сухого аэрозоля (неофициальный документ </w:t>
      </w:r>
      <w:r w:rsidRPr="00590939">
        <w:rPr>
          <w:lang w:val="en-GB"/>
        </w:rPr>
        <w:t>INF</w:t>
      </w:r>
      <w:r w:rsidRPr="00590939">
        <w:t xml:space="preserve">.3 двадцать восьмой сессии и </w:t>
      </w:r>
      <w:r w:rsidRPr="00590939">
        <w:rPr>
          <w:lang w:val="en-GB"/>
        </w:rPr>
        <w:t>ECE</w:t>
      </w:r>
      <w:r w:rsidRPr="00590939">
        <w:t>/</w:t>
      </w:r>
      <w:r w:rsidRPr="00590939">
        <w:rPr>
          <w:lang w:val="en-GB"/>
        </w:rPr>
        <w:t>TRANS</w:t>
      </w:r>
      <w:r w:rsidRPr="00590939">
        <w:t>/</w:t>
      </w:r>
      <w:r w:rsidRPr="00590939">
        <w:rPr>
          <w:lang w:val="en-GB"/>
        </w:rPr>
        <w:t>WP</w:t>
      </w:r>
      <w:r w:rsidRPr="00590939">
        <w:t>.15/</w:t>
      </w:r>
      <w:r w:rsidRPr="00590939">
        <w:rPr>
          <w:lang w:val="en-GB"/>
        </w:rPr>
        <w:t>AC</w:t>
      </w:r>
      <w:r w:rsidRPr="00590939">
        <w:t xml:space="preserve">.2/2016/48). К этим заявкам прилагались соответствующая техническая информация и свидетельства, гарантирующие качество данного типа огнетушащего состава (неофициальный документ </w:t>
      </w:r>
      <w:r w:rsidRPr="00590939">
        <w:rPr>
          <w:lang w:val="en-GB"/>
        </w:rPr>
        <w:t>INF</w:t>
      </w:r>
      <w:r w:rsidRPr="00590939">
        <w:t xml:space="preserve">.3 двадцать восьмой сессии и неофициальный документ </w:t>
      </w:r>
      <w:r w:rsidRPr="00590939">
        <w:rPr>
          <w:lang w:val="en-GB"/>
        </w:rPr>
        <w:t>INF</w:t>
      </w:r>
      <w:r w:rsidRPr="00590939">
        <w:t>.30 двадцать девятой сессии).</w:t>
      </w:r>
    </w:p>
    <w:p w:rsidR="00590939" w:rsidRPr="00590939" w:rsidRDefault="00590939" w:rsidP="00590939">
      <w:pPr>
        <w:pStyle w:val="SingleTxtGR"/>
      </w:pPr>
      <w:r w:rsidRPr="00590939">
        <w:t>2.</w:t>
      </w:r>
      <w:r w:rsidRPr="00590939">
        <w:tab/>
        <w:t xml:space="preserve">После предоставления второго отступления </w:t>
      </w:r>
      <w:r w:rsidRPr="00590939">
        <w:rPr>
          <w:bCs/>
        </w:rPr>
        <w:t xml:space="preserve">Комитет по вопросам </w:t>
      </w:r>
      <w:r w:rsidR="00A51A51" w:rsidRPr="00A51A51">
        <w:rPr>
          <w:bCs/>
        </w:rPr>
        <w:br/>
      </w:r>
      <w:r w:rsidRPr="00590939">
        <w:rPr>
          <w:bCs/>
        </w:rPr>
        <w:t>безопасности ВОПОГ</w:t>
      </w:r>
      <w:r w:rsidRPr="00590939">
        <w:t xml:space="preserve"> просил делегации Бельгии и Нидерландов предложить поправки к ВОПОГ, с тем чтобы разрешить в рамках Правил, прилагаемых</w:t>
      </w:r>
      <w:r w:rsidRPr="00590939">
        <w:rPr>
          <w:b/>
        </w:rPr>
        <w:t xml:space="preserve"> </w:t>
      </w:r>
      <w:r w:rsidRPr="00590939">
        <w:t xml:space="preserve">к ВОПОГ, </w:t>
      </w:r>
      <w:r w:rsidRPr="00590939">
        <w:rPr>
          <w:bCs/>
        </w:rPr>
        <w:t>на постоянной основе использование о</w:t>
      </w:r>
      <w:r w:rsidRPr="00590939">
        <w:t>гнетушащих составов</w:t>
      </w:r>
      <w:r w:rsidRPr="00590939">
        <w:rPr>
          <w:bCs/>
        </w:rPr>
        <w:t xml:space="preserve"> в виде сухого аэрозоля на постоянной основе</w:t>
      </w:r>
      <w:r w:rsidRPr="00590939">
        <w:t xml:space="preserve"> (ECE/TRANS/WP.15/AC.2/60, пунк</w:t>
      </w:r>
      <w:r w:rsidR="00A51A51">
        <w:t>-</w:t>
      </w:r>
      <w:r w:rsidR="00A51A51">
        <w:br/>
      </w:r>
      <w:r w:rsidRPr="00590939">
        <w:t>ты</w:t>
      </w:r>
      <w:r w:rsidR="00A51A51">
        <w:rPr>
          <w:lang w:val="en-US"/>
        </w:rPr>
        <w:t> </w:t>
      </w:r>
      <w:r w:rsidRPr="00590939">
        <w:t>8</w:t>
      </w:r>
      <w:r w:rsidR="00A51A51" w:rsidRPr="00A51A51">
        <w:t>–</w:t>
      </w:r>
      <w:r w:rsidRPr="00590939">
        <w:t>9).</w:t>
      </w:r>
    </w:p>
    <w:p w:rsidR="00590939" w:rsidRPr="00590939" w:rsidRDefault="00590939" w:rsidP="00590939">
      <w:pPr>
        <w:pStyle w:val="HChGR"/>
      </w:pPr>
      <w:r w:rsidRPr="00590939">
        <w:tab/>
      </w:r>
      <w:r w:rsidRPr="00590939">
        <w:tab/>
        <w:t>Предлагаемые поправки</w:t>
      </w:r>
    </w:p>
    <w:p w:rsidR="00590939" w:rsidRPr="00590939" w:rsidRDefault="00590939" w:rsidP="00590939">
      <w:pPr>
        <w:pStyle w:val="SingleTxtGR"/>
      </w:pPr>
      <w:r w:rsidRPr="00590939">
        <w:t>3.</w:t>
      </w:r>
      <w:r w:rsidRPr="00590939">
        <w:tab/>
        <w:t>Поскольку огнетушащий состав в виде сухого аэрозоля может использоваться для тушения пожаров многих классов, делегации Бельгии и Нидерландов хотели бы предложить поправки к пунктам 9.1.0.40.2.1 и 9.3.</w:t>
      </w:r>
      <w:r w:rsidRPr="00590939">
        <w:rPr>
          <w:lang w:val="en-GB"/>
        </w:rPr>
        <w:t>X</w:t>
      </w:r>
      <w:r w:rsidRPr="00590939">
        <w:t>.40.2.1 Правил, прилагаемых</w:t>
      </w:r>
      <w:r w:rsidRPr="00590939">
        <w:rPr>
          <w:b/>
        </w:rPr>
        <w:t xml:space="preserve"> </w:t>
      </w:r>
      <w:r w:rsidRPr="00590939">
        <w:t xml:space="preserve">к ВОПОГ, с тем чтобы разрешить </w:t>
      </w:r>
      <w:r w:rsidRPr="00590939">
        <w:rPr>
          <w:bCs/>
        </w:rPr>
        <w:t>использование этих типов о</w:t>
      </w:r>
      <w:r w:rsidRPr="00590939">
        <w:t>гнетушащих составов</w:t>
      </w:r>
      <w:r w:rsidRPr="00590939">
        <w:rPr>
          <w:bCs/>
        </w:rPr>
        <w:t xml:space="preserve"> на постоянной основе на борту </w:t>
      </w:r>
      <w:r w:rsidRPr="00590939">
        <w:t>судов внутреннего плавания, перевозящих опасные грузы:</w:t>
      </w:r>
    </w:p>
    <w:p w:rsidR="00590939" w:rsidRPr="00590939" w:rsidRDefault="00590939" w:rsidP="00590939">
      <w:pPr>
        <w:pStyle w:val="SingleTxtGR"/>
      </w:pPr>
      <w:r w:rsidRPr="00590939">
        <w:t xml:space="preserve">«9.1.0.40.2.1, после </w:t>
      </w:r>
      <w:r w:rsidRPr="00590939">
        <w:rPr>
          <w:lang w:val="en-US"/>
        </w:rPr>
        <w:t>d</w:t>
      </w:r>
      <w:r w:rsidRPr="00590939">
        <w:t xml:space="preserve">), добавить: </w:t>
      </w:r>
      <w:r w:rsidRPr="00590939">
        <w:rPr>
          <w:lang w:val="en-US"/>
        </w:rPr>
        <w:t>e</w:t>
      </w:r>
      <w:r w:rsidRPr="00590939">
        <w:t>) сухой аэрозоль (система, соответствующая Директиве 2014/90/</w:t>
      </w:r>
      <w:r w:rsidRPr="00590939">
        <w:rPr>
          <w:lang w:val="en-US"/>
        </w:rPr>
        <w:t>EU</w:t>
      </w:r>
      <w:r w:rsidRPr="00590939">
        <w:t xml:space="preserve"> по морскому оборудованию</w:t>
      </w:r>
      <w:r w:rsidRPr="00A51A51">
        <w:footnoteReference w:customMarkFollows="1" w:id="3"/>
        <w:t>*</w:t>
      </w:r>
      <w:r w:rsidRPr="00590939">
        <w:t>)»</w:t>
      </w:r>
    </w:p>
    <w:p w:rsidR="00590939" w:rsidRPr="00590939" w:rsidRDefault="00590939" w:rsidP="00590939">
      <w:pPr>
        <w:pStyle w:val="SingleTxtGR"/>
      </w:pPr>
      <w:r w:rsidRPr="00590939">
        <w:t>и</w:t>
      </w:r>
    </w:p>
    <w:p w:rsidR="00590939" w:rsidRPr="00590939" w:rsidRDefault="00590939" w:rsidP="00590939">
      <w:pPr>
        <w:pStyle w:val="SingleTxtGR"/>
      </w:pPr>
      <w:r w:rsidRPr="00590939">
        <w:t>«9.3.</w:t>
      </w:r>
      <w:r w:rsidRPr="00590939">
        <w:rPr>
          <w:lang w:val="en-GB"/>
        </w:rPr>
        <w:t>X</w:t>
      </w:r>
      <w:r w:rsidRPr="00590939">
        <w:t xml:space="preserve">.40.2.1, после </w:t>
      </w:r>
      <w:r w:rsidRPr="00590939">
        <w:rPr>
          <w:lang w:val="en-US"/>
        </w:rPr>
        <w:t>d</w:t>
      </w:r>
      <w:r w:rsidRPr="00590939">
        <w:t xml:space="preserve">), добавить: </w:t>
      </w:r>
      <w:r w:rsidRPr="00590939">
        <w:rPr>
          <w:lang w:val="en-US"/>
        </w:rPr>
        <w:t>e</w:t>
      </w:r>
      <w:r w:rsidRPr="00590939">
        <w:t>) сухой аэрозоль (система, соответствующая Директиве 2014/90/</w:t>
      </w:r>
      <w:r w:rsidRPr="00590939">
        <w:rPr>
          <w:lang w:val="en-US"/>
        </w:rPr>
        <w:t>EU</w:t>
      </w:r>
      <w:r w:rsidRPr="00590939">
        <w:t xml:space="preserve"> по морскому оборудованию</w:t>
      </w:r>
      <w:r w:rsidRPr="00A51A51">
        <w:t>*</w:t>
      </w:r>
      <w:r w:rsidRPr="00590939">
        <w:t>)».</w:t>
      </w:r>
    </w:p>
    <w:p w:rsidR="00590939" w:rsidRPr="00A51A51" w:rsidRDefault="00590939" w:rsidP="00590939">
      <w:pPr>
        <w:pStyle w:val="HChGR"/>
      </w:pPr>
      <w:r w:rsidRPr="00590939">
        <w:tab/>
      </w:r>
      <w:r w:rsidRPr="00590939">
        <w:tab/>
        <w:t>Заключение</w:t>
      </w:r>
    </w:p>
    <w:p w:rsidR="001B0857" w:rsidRPr="00590939" w:rsidRDefault="00590939" w:rsidP="00590939">
      <w:pPr>
        <w:pStyle w:val="SingleTxtGR"/>
      </w:pPr>
      <w:r w:rsidRPr="00590939">
        <w:t xml:space="preserve">4. </w:t>
      </w:r>
      <w:r w:rsidRPr="00590939">
        <w:tab/>
        <w:t xml:space="preserve">К </w:t>
      </w:r>
      <w:r w:rsidRPr="00590939">
        <w:rPr>
          <w:bCs/>
        </w:rPr>
        <w:t>Комитету по вопросам безопасности обращается просьба</w:t>
      </w:r>
      <w:r w:rsidRPr="00590939">
        <w:t xml:space="preserve"> рассмотреть предложения, содержащиеся в пункте 3 выше, и принять меры, которые он сочтет надлежащими.</w:t>
      </w:r>
    </w:p>
    <w:p w:rsidR="001B0857" w:rsidRPr="00590939" w:rsidRDefault="00590939" w:rsidP="0059093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B0857" w:rsidRPr="00590939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857" w:rsidRDefault="001B0857" w:rsidP="00B471C5">
      <w:r>
        <w:separator/>
      </w:r>
    </w:p>
  </w:endnote>
  <w:endnote w:type="continuationSeparator" w:id="0">
    <w:p w:rsidR="001B0857" w:rsidRDefault="001B085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DE2E5E" w:rsidRDefault="007005EE" w:rsidP="007005EE">
    <w:pPr>
      <w:pStyle w:val="Footer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01084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DE2E5E">
      <w:rPr>
        <w:lang w:val="ru-RU"/>
      </w:rPr>
      <w:t>19273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DE2E5E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DE2E5E">
            <w:t>19273</w:t>
          </w:r>
          <w:r w:rsidRPr="001C3ABC">
            <w:rPr>
              <w:lang w:val="en-US"/>
            </w:rPr>
            <w:t xml:space="preserve"> (R)</w:t>
          </w:r>
          <w:r w:rsidR="00DE2E5E">
            <w:t xml:space="preserve">  101116  101116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DE2E5E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2/2017/1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2017/1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DE2E5E" w:rsidRDefault="00DE2E5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E2E5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E2E5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E2E5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E2E5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E2E5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DE2E5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E2E5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DE2E5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DE2E5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857" w:rsidRPr="009141DC" w:rsidRDefault="001B085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B0857" w:rsidRPr="00D1261C" w:rsidRDefault="001B085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B0857" w:rsidRPr="003E49BF" w:rsidRDefault="001B0857" w:rsidP="001B0857">
      <w:pPr>
        <w:pStyle w:val="FootnoteText"/>
        <w:widowControl w:val="0"/>
        <w:rPr>
          <w:lang w:val="ru-RU"/>
        </w:rPr>
      </w:pPr>
      <w:r>
        <w:tab/>
      </w:r>
      <w:r w:rsidRPr="00610E92">
        <w:rPr>
          <w:rStyle w:val="FootnoteReference"/>
          <w:sz w:val="20"/>
          <w:vertAlign w:val="baseline"/>
          <w:lang w:val="ru-RU"/>
        </w:rPr>
        <w:t>*</w:t>
      </w:r>
      <w:r w:rsidRPr="003E49BF">
        <w:rPr>
          <w:b/>
          <w:lang w:val="ru-RU"/>
        </w:rPr>
        <w:t xml:space="preserve"> </w:t>
      </w:r>
      <w:r w:rsidRPr="003E49BF">
        <w:rPr>
          <w:lang w:val="ru-RU"/>
        </w:rPr>
        <w:tab/>
      </w:r>
      <w:r>
        <w:rPr>
          <w:lang w:val="ru-RU"/>
        </w:rPr>
        <w:t>Р</w:t>
      </w:r>
      <w:r w:rsidRPr="00B35A79">
        <w:rPr>
          <w:lang w:val="ru-RU"/>
        </w:rPr>
        <w:t>аспространено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на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немецком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языке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Центральной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комиссией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судоходства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по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Рейну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под</w:t>
      </w:r>
      <w:r>
        <w:rPr>
          <w:lang w:val="en-US"/>
        </w:rPr>
        <w:t> </w:t>
      </w:r>
      <w:r w:rsidRPr="00B35A79">
        <w:rPr>
          <w:lang w:val="ru-RU"/>
        </w:rPr>
        <w:t>условным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обозначением</w:t>
      </w:r>
      <w:r w:rsidRPr="003E49BF">
        <w:rPr>
          <w:lang w:val="ru-RU"/>
        </w:rPr>
        <w:t xml:space="preserve"> </w:t>
      </w:r>
      <w:r w:rsidRPr="00834E2C">
        <w:t>CCNR</w:t>
      </w:r>
      <w:r w:rsidRPr="003E49BF">
        <w:rPr>
          <w:lang w:val="ru-RU"/>
        </w:rPr>
        <w:t>-</w:t>
      </w:r>
      <w:r w:rsidRPr="00834E2C">
        <w:t>ZKR</w:t>
      </w:r>
      <w:r w:rsidRPr="003E49BF">
        <w:rPr>
          <w:lang w:val="ru-RU"/>
        </w:rPr>
        <w:t>/</w:t>
      </w:r>
      <w:r w:rsidRPr="00834E2C">
        <w:t>ADN</w:t>
      </w:r>
      <w:r w:rsidRPr="003E49BF">
        <w:rPr>
          <w:lang w:val="ru-RU"/>
        </w:rPr>
        <w:t>/</w:t>
      </w:r>
      <w:r w:rsidRPr="00834E2C">
        <w:t>WP</w:t>
      </w:r>
      <w:r w:rsidRPr="003E49BF">
        <w:rPr>
          <w:lang w:val="ru-RU"/>
        </w:rPr>
        <w:t>.15/</w:t>
      </w:r>
      <w:r w:rsidRPr="00834E2C">
        <w:t>AC</w:t>
      </w:r>
      <w:r w:rsidRPr="003E49BF">
        <w:rPr>
          <w:lang w:val="ru-RU"/>
        </w:rPr>
        <w:t>.2/2017/9</w:t>
      </w:r>
      <w:r w:rsidRPr="003E49BF">
        <w:rPr>
          <w:noProof/>
          <w:lang w:val="ru-RU"/>
        </w:rPr>
        <w:t>.</w:t>
      </w:r>
    </w:p>
  </w:footnote>
  <w:footnote w:id="2">
    <w:p w:rsidR="001B0857" w:rsidRPr="00DE2E5E" w:rsidRDefault="001B0857" w:rsidP="00610E92">
      <w:pPr>
        <w:pStyle w:val="FootnoteText"/>
        <w:widowControl w:val="0"/>
        <w:rPr>
          <w:lang w:val="ru-RU"/>
        </w:rPr>
      </w:pPr>
      <w:r w:rsidRPr="003E49BF">
        <w:rPr>
          <w:lang w:val="ru-RU"/>
        </w:rPr>
        <w:tab/>
      </w:r>
      <w:r w:rsidRPr="00610E92">
        <w:rPr>
          <w:rStyle w:val="FootnoteReference"/>
          <w:sz w:val="20"/>
          <w:vertAlign w:val="baseline"/>
          <w:lang w:val="ru-RU"/>
        </w:rPr>
        <w:t>**</w:t>
      </w:r>
      <w:r w:rsidRPr="00E6226D">
        <w:rPr>
          <w:lang w:val="ru-RU"/>
        </w:rPr>
        <w:t xml:space="preserve"> </w:t>
      </w:r>
      <w:r w:rsidRPr="00E6226D">
        <w:rPr>
          <w:lang w:val="ru-RU"/>
        </w:rPr>
        <w:tab/>
      </w:r>
      <w:r w:rsidRPr="0087334B">
        <w:rPr>
          <w:lang w:val="ru-RU"/>
        </w:rPr>
        <w:t xml:space="preserve">В соответствии с программой работы Комитета по внутреннему транспорту </w:t>
      </w:r>
      <w:r w:rsidR="00DE2E5E">
        <w:rPr>
          <w:lang w:val="ru-RU"/>
        </w:rPr>
        <w:t>на</w:t>
      </w:r>
      <w:r w:rsidRPr="00DE2E5E">
        <w:rPr>
          <w:lang w:val="ru-RU"/>
        </w:rPr>
        <w:t xml:space="preserve"> </w:t>
      </w:r>
      <w:r w:rsidR="00DE2E5E">
        <w:rPr>
          <w:lang w:val="ru-RU"/>
        </w:rPr>
        <w:br/>
      </w:r>
      <w:r w:rsidRPr="00DE2E5E">
        <w:rPr>
          <w:lang w:val="ru-RU"/>
        </w:rPr>
        <w:t>2016–2017 годы (</w:t>
      </w:r>
      <w:r w:rsidRPr="0087334B">
        <w:rPr>
          <w:lang w:val="en-US"/>
        </w:rPr>
        <w:t>ECE</w:t>
      </w:r>
      <w:r w:rsidRPr="00DE2E5E">
        <w:rPr>
          <w:lang w:val="ru-RU"/>
        </w:rPr>
        <w:t>/</w:t>
      </w:r>
      <w:r w:rsidRPr="0087334B">
        <w:rPr>
          <w:lang w:val="en-US"/>
        </w:rPr>
        <w:t>TRANS</w:t>
      </w:r>
      <w:r w:rsidRPr="00DE2E5E">
        <w:rPr>
          <w:lang w:val="ru-RU"/>
        </w:rPr>
        <w:t>/2016/28/</w:t>
      </w:r>
      <w:r w:rsidRPr="0087334B">
        <w:rPr>
          <w:lang w:val="en-US"/>
        </w:rPr>
        <w:t>Add</w:t>
      </w:r>
      <w:r w:rsidRPr="00DE2E5E">
        <w:rPr>
          <w:lang w:val="ru-RU"/>
        </w:rPr>
        <w:t>.1 (9.3)).</w:t>
      </w:r>
    </w:p>
  </w:footnote>
  <w:footnote w:id="3">
    <w:p w:rsidR="00590939" w:rsidRPr="00E70DFE" w:rsidRDefault="00590939" w:rsidP="00A51A51">
      <w:pPr>
        <w:pStyle w:val="FootnoteText"/>
        <w:rPr>
          <w:b/>
          <w:lang w:val="ru-RU"/>
        </w:rPr>
      </w:pPr>
      <w:r>
        <w:tab/>
      </w:r>
      <w:r w:rsidRPr="00E70DFE">
        <w:rPr>
          <w:rStyle w:val="FootnoteReference"/>
          <w:sz w:val="20"/>
          <w:vertAlign w:val="baseline"/>
          <w:lang w:val="ru-RU"/>
        </w:rPr>
        <w:t xml:space="preserve">* </w:t>
      </w:r>
      <w:r w:rsidRPr="00404214">
        <w:rPr>
          <w:rStyle w:val="FootnoteReference"/>
          <w:sz w:val="20"/>
          <w:lang w:val="ru-RU"/>
        </w:rPr>
        <w:tab/>
      </w:r>
      <w:r w:rsidRPr="00E70DFE">
        <w:rPr>
          <w:i/>
          <w:lang w:val="ru-RU"/>
        </w:rPr>
        <w:t>Директива</w:t>
      </w:r>
      <w:r w:rsidRPr="00E70DFE">
        <w:rPr>
          <w:rStyle w:val="FootnoteReference"/>
          <w:i/>
          <w:sz w:val="20"/>
          <w:vertAlign w:val="baseline"/>
          <w:lang w:val="ru-RU"/>
        </w:rPr>
        <w:t xml:space="preserve"> 2014/90/</w:t>
      </w:r>
      <w:r w:rsidRPr="00E70DFE">
        <w:rPr>
          <w:rStyle w:val="FootnoteReference"/>
          <w:i/>
          <w:sz w:val="20"/>
          <w:vertAlign w:val="baseline"/>
        </w:rPr>
        <w:t>EU</w:t>
      </w:r>
      <w:r w:rsidRPr="00E70DFE">
        <w:rPr>
          <w:rStyle w:val="FootnoteReference"/>
          <w:i/>
          <w:sz w:val="20"/>
          <w:vertAlign w:val="baseline"/>
          <w:lang w:val="ru-RU"/>
        </w:rPr>
        <w:t xml:space="preserve"> </w:t>
      </w:r>
      <w:r w:rsidRPr="00E70DFE">
        <w:rPr>
          <w:i/>
          <w:spacing w:val="-3"/>
          <w:lang w:val="ru-RU"/>
        </w:rPr>
        <w:t xml:space="preserve">Европейского </w:t>
      </w:r>
      <w:r w:rsidR="00E70DFE" w:rsidRPr="00E70DFE">
        <w:rPr>
          <w:i/>
          <w:spacing w:val="-3"/>
          <w:lang w:val="ru-RU"/>
        </w:rPr>
        <w:t>парламента</w:t>
      </w:r>
      <w:r w:rsidRPr="00E70DFE">
        <w:rPr>
          <w:i/>
          <w:spacing w:val="-3"/>
          <w:lang w:val="ru-RU"/>
        </w:rPr>
        <w:t xml:space="preserve"> и Совета от 23 июля 2014 года</w:t>
      </w:r>
      <w:r w:rsidRPr="00E70DFE">
        <w:rPr>
          <w:rStyle w:val="FootnoteReference"/>
          <w:i/>
          <w:sz w:val="20"/>
          <w:vertAlign w:val="baseline"/>
          <w:lang w:val="ru-RU"/>
        </w:rPr>
        <w:t xml:space="preserve"> </w:t>
      </w:r>
      <w:r w:rsidRPr="00E70DFE">
        <w:rPr>
          <w:i/>
          <w:lang w:val="ru-RU"/>
        </w:rPr>
        <w:t>по</w:t>
      </w:r>
      <w:r w:rsidR="00EE7C28">
        <w:rPr>
          <w:i/>
          <w:lang w:val="ru-RU"/>
        </w:rPr>
        <w:t> </w:t>
      </w:r>
      <w:r w:rsidRPr="00E70DFE">
        <w:rPr>
          <w:i/>
          <w:lang w:val="ru-RU"/>
        </w:rPr>
        <w:t>морскому оборудованию,</w:t>
      </w:r>
      <w:r w:rsidRPr="00E70DFE">
        <w:rPr>
          <w:rStyle w:val="FootnoteReference"/>
          <w:i/>
          <w:sz w:val="20"/>
          <w:vertAlign w:val="baseline"/>
          <w:lang w:val="ru-RU"/>
        </w:rPr>
        <w:t xml:space="preserve"> </w:t>
      </w:r>
      <w:r w:rsidRPr="00E70DFE">
        <w:rPr>
          <w:i/>
          <w:lang w:val="ru-RU"/>
        </w:rPr>
        <w:t>отменяющая</w:t>
      </w:r>
      <w:r w:rsidRPr="00E70DFE">
        <w:rPr>
          <w:rStyle w:val="FootnoteReference"/>
          <w:i/>
          <w:sz w:val="20"/>
          <w:vertAlign w:val="baseline"/>
          <w:lang w:val="ru-RU"/>
        </w:rPr>
        <w:t xml:space="preserve"> </w:t>
      </w:r>
      <w:r w:rsidRPr="00E70DFE">
        <w:rPr>
          <w:i/>
          <w:lang w:val="ru-RU"/>
        </w:rPr>
        <w:t>Директиву</w:t>
      </w:r>
      <w:r w:rsidRPr="00E70DFE">
        <w:rPr>
          <w:rStyle w:val="FootnoteReference"/>
          <w:i/>
          <w:sz w:val="20"/>
          <w:vertAlign w:val="baseline"/>
          <w:lang w:val="ru-RU"/>
        </w:rPr>
        <w:t xml:space="preserve"> 96/98/</w:t>
      </w:r>
      <w:r w:rsidRPr="00E70DFE">
        <w:rPr>
          <w:rStyle w:val="FootnoteReference"/>
          <w:i/>
          <w:sz w:val="20"/>
          <w:vertAlign w:val="baseline"/>
        </w:rPr>
        <w:t>EC</w:t>
      </w:r>
      <w:r w:rsidRPr="00E70DFE">
        <w:rPr>
          <w:i/>
          <w:lang w:val="ru-RU"/>
        </w:rPr>
        <w:t xml:space="preserve"> </w:t>
      </w:r>
      <w:r w:rsidR="00E70DFE" w:rsidRPr="00E70DFE">
        <w:rPr>
          <w:i/>
          <w:lang w:val="ru-RU"/>
        </w:rPr>
        <w:t>Совета</w:t>
      </w:r>
      <w:r w:rsidRPr="00E70DFE">
        <w:rPr>
          <w:i/>
          <w:lang w:val="ru-RU"/>
        </w:rPr>
        <w:t xml:space="preserve"> (</w:t>
      </w:r>
      <w:r w:rsidRPr="00E70DFE">
        <w:rPr>
          <w:i/>
        </w:rPr>
        <w:t>Official</w:t>
      </w:r>
      <w:r w:rsidRPr="00E70DFE">
        <w:rPr>
          <w:i/>
          <w:lang w:val="ru-RU"/>
        </w:rPr>
        <w:t xml:space="preserve"> </w:t>
      </w:r>
      <w:r w:rsidRPr="00E70DFE">
        <w:rPr>
          <w:i/>
        </w:rPr>
        <w:t>Journal</w:t>
      </w:r>
      <w:r w:rsidRPr="00E70DFE">
        <w:rPr>
          <w:i/>
          <w:lang w:val="ru-RU"/>
        </w:rPr>
        <w:t xml:space="preserve"> </w:t>
      </w:r>
      <w:r w:rsidRPr="00E70DFE">
        <w:rPr>
          <w:i/>
        </w:rPr>
        <w:t>of</w:t>
      </w:r>
      <w:r w:rsidR="00E70DFE" w:rsidRPr="00E70DFE">
        <w:rPr>
          <w:i/>
          <w:lang w:val="ru-RU"/>
        </w:rPr>
        <w:t> </w:t>
      </w:r>
      <w:r w:rsidRPr="00E70DFE">
        <w:rPr>
          <w:i/>
        </w:rPr>
        <w:t>the</w:t>
      </w:r>
      <w:r w:rsidRPr="00E70DFE">
        <w:rPr>
          <w:i/>
          <w:lang w:val="ru-RU"/>
        </w:rPr>
        <w:t xml:space="preserve"> </w:t>
      </w:r>
      <w:r w:rsidRPr="00E70DFE">
        <w:rPr>
          <w:i/>
        </w:rPr>
        <w:t>European</w:t>
      </w:r>
      <w:r w:rsidRPr="00E70DFE">
        <w:rPr>
          <w:i/>
          <w:lang w:val="ru-RU"/>
        </w:rPr>
        <w:t xml:space="preserve"> </w:t>
      </w:r>
      <w:r w:rsidRPr="00E70DFE">
        <w:rPr>
          <w:i/>
        </w:rPr>
        <w:t>Union</w:t>
      </w:r>
      <w:r w:rsidRPr="00E70DFE">
        <w:rPr>
          <w:i/>
          <w:lang w:val="ru-RU"/>
        </w:rPr>
        <w:t xml:space="preserve"> </w:t>
      </w:r>
      <w:r w:rsidRPr="00E70DFE">
        <w:rPr>
          <w:i/>
        </w:rPr>
        <w:t>No</w:t>
      </w:r>
      <w:r w:rsidRPr="00E70DFE">
        <w:rPr>
          <w:i/>
          <w:lang w:val="ru-RU"/>
        </w:rPr>
        <w:t xml:space="preserve">. </w:t>
      </w:r>
      <w:r w:rsidRPr="00E70DFE">
        <w:rPr>
          <w:i/>
        </w:rPr>
        <w:t>L 257 of 28 August 2014, p. 146</w:t>
      </w:r>
      <w:r w:rsidRPr="00E70DFE">
        <w:rPr>
          <w:i/>
          <w:lang w:val="ru-RU"/>
        </w:rPr>
        <w:t>-185).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DE2E5E">
      <w:t>TRANS/WP.15/AC.2/2017/16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57"/>
    <w:rsid w:val="000450D1"/>
    <w:rsid w:val="000B1FD5"/>
    <w:rsid w:val="000F2A4F"/>
    <w:rsid w:val="001B0857"/>
    <w:rsid w:val="00203F84"/>
    <w:rsid w:val="00216A79"/>
    <w:rsid w:val="00275188"/>
    <w:rsid w:val="0028687D"/>
    <w:rsid w:val="002B091C"/>
    <w:rsid w:val="002B3D40"/>
    <w:rsid w:val="002D0CCB"/>
    <w:rsid w:val="00345C79"/>
    <w:rsid w:val="00366A39"/>
    <w:rsid w:val="003A76C3"/>
    <w:rsid w:val="0048005C"/>
    <w:rsid w:val="004D639B"/>
    <w:rsid w:val="004E242B"/>
    <w:rsid w:val="00544379"/>
    <w:rsid w:val="00566944"/>
    <w:rsid w:val="00590939"/>
    <w:rsid w:val="005A5B05"/>
    <w:rsid w:val="005D56BF"/>
    <w:rsid w:val="00610E92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1A51"/>
    <w:rsid w:val="00A55C56"/>
    <w:rsid w:val="00A658DB"/>
    <w:rsid w:val="00A75A11"/>
    <w:rsid w:val="00A9606E"/>
    <w:rsid w:val="00AD7EAD"/>
    <w:rsid w:val="00B35A32"/>
    <w:rsid w:val="00B40667"/>
    <w:rsid w:val="00B432C6"/>
    <w:rsid w:val="00B471C5"/>
    <w:rsid w:val="00B6474A"/>
    <w:rsid w:val="00BC126D"/>
    <w:rsid w:val="00BE1742"/>
    <w:rsid w:val="00D1261C"/>
    <w:rsid w:val="00D26030"/>
    <w:rsid w:val="00D75DCE"/>
    <w:rsid w:val="00DD35AC"/>
    <w:rsid w:val="00DD479F"/>
    <w:rsid w:val="00DE2E5E"/>
    <w:rsid w:val="00E01084"/>
    <w:rsid w:val="00E15E48"/>
    <w:rsid w:val="00E70DFE"/>
    <w:rsid w:val="00E72B22"/>
    <w:rsid w:val="00EB0723"/>
    <w:rsid w:val="00EB2957"/>
    <w:rsid w:val="00EE6F37"/>
    <w:rsid w:val="00EE7C28"/>
    <w:rsid w:val="00F1599F"/>
    <w:rsid w:val="00F31EF2"/>
    <w:rsid w:val="00FD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83043FE-E583-4E09-97D5-5876B935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rsid w:val="001B0857"/>
    <w:pPr>
      <w:suppressAutoHyphens/>
      <w:spacing w:after="120"/>
      <w:ind w:left="1134" w:right="1134"/>
      <w:jc w:val="both"/>
    </w:pPr>
    <w:rPr>
      <w:rFonts w:eastAsia="SimSun"/>
      <w:spacing w:val="0"/>
      <w:w w:val="100"/>
      <w:kern w:val="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3E489-1B34-4949-9180-C4D8972D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Lucille</cp:lastModifiedBy>
  <cp:revision>2</cp:revision>
  <cp:lastPrinted>2016-11-10T11:55:00Z</cp:lastPrinted>
  <dcterms:created xsi:type="dcterms:W3CDTF">2016-11-24T10:01:00Z</dcterms:created>
  <dcterms:modified xsi:type="dcterms:W3CDTF">2016-11-24T10:01:00Z</dcterms:modified>
</cp:coreProperties>
</file>