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676C31">
        <w:trPr>
          <w:cantSplit/>
          <w:trHeight w:hRule="exact" w:val="851"/>
        </w:trPr>
        <w:tc>
          <w:tcPr>
            <w:tcW w:w="1276" w:type="dxa"/>
            <w:tcBorders>
              <w:bottom w:val="single" w:sz="4" w:space="0" w:color="auto"/>
            </w:tcBorders>
            <w:vAlign w:val="bottom"/>
          </w:tcPr>
          <w:p w:rsidR="00717266" w:rsidRPr="00C04C54" w:rsidRDefault="00717266" w:rsidP="002E6158">
            <w:pPr>
              <w:spacing w:after="80"/>
              <w:rPr>
                <w:b/>
                <w:sz w:val="28"/>
                <w:szCs w:val="28"/>
              </w:rPr>
            </w:pPr>
          </w:p>
        </w:tc>
        <w:tc>
          <w:tcPr>
            <w:tcW w:w="2268" w:type="dxa"/>
            <w:tcBorders>
              <w:bottom w:val="single" w:sz="4" w:space="0" w:color="auto"/>
            </w:tcBorders>
            <w:vAlign w:val="bottom"/>
          </w:tcPr>
          <w:p w:rsidR="00717266" w:rsidRPr="00B97172" w:rsidRDefault="006E37E6" w:rsidP="00676C31">
            <w:pPr>
              <w:spacing w:after="80" w:line="300" w:lineRule="exact"/>
              <w:rPr>
                <w:b/>
                <w:sz w:val="24"/>
                <w:szCs w:val="24"/>
              </w:rPr>
            </w:pPr>
            <w:r>
              <w:rPr>
                <w:sz w:val="28"/>
                <w:szCs w:val="28"/>
              </w:rPr>
              <w:t>Nations Unies</w:t>
            </w:r>
          </w:p>
        </w:tc>
        <w:tc>
          <w:tcPr>
            <w:tcW w:w="6095" w:type="dxa"/>
            <w:gridSpan w:val="2"/>
            <w:tcBorders>
              <w:bottom w:val="single" w:sz="4" w:space="0" w:color="auto"/>
            </w:tcBorders>
            <w:vAlign w:val="bottom"/>
          </w:tcPr>
          <w:p w:rsidR="00717266" w:rsidRPr="00D47EEA" w:rsidRDefault="001A5D77" w:rsidP="00DA1F61">
            <w:pPr>
              <w:suppressAutoHyphens w:val="0"/>
              <w:spacing w:after="20"/>
              <w:jc w:val="right"/>
            </w:pPr>
            <w:r w:rsidRPr="001A5D77">
              <w:rPr>
                <w:sz w:val="40"/>
              </w:rPr>
              <w:t>ECE</w:t>
            </w:r>
            <w:r w:rsidR="008041D0">
              <w:t>/TRANS/WP.15/AC.2/201</w:t>
            </w:r>
            <w:r w:rsidR="0027472B">
              <w:t>7</w:t>
            </w:r>
            <w:r w:rsidR="008041D0">
              <w:t>/</w:t>
            </w:r>
            <w:r w:rsidR="00DA1F61">
              <w:t>40</w:t>
            </w:r>
          </w:p>
        </w:tc>
      </w:tr>
      <w:tr w:rsidR="00717266" w:rsidRPr="006E37E6" w:rsidTr="00676C31">
        <w:trPr>
          <w:cantSplit/>
          <w:trHeight w:hRule="exact" w:val="2835"/>
        </w:trPr>
        <w:tc>
          <w:tcPr>
            <w:tcW w:w="1276" w:type="dxa"/>
            <w:tcBorders>
              <w:top w:val="single" w:sz="4" w:space="0" w:color="auto"/>
              <w:bottom w:val="single" w:sz="12" w:space="0" w:color="auto"/>
            </w:tcBorders>
          </w:tcPr>
          <w:p w:rsidR="00717266" w:rsidRDefault="00717266" w:rsidP="00676C31">
            <w:pPr>
              <w:spacing w:before="120"/>
            </w:pPr>
            <w:r>
              <w:rPr>
                <w:noProof/>
                <w:lang w:eastAsia="en-GB"/>
              </w:rPr>
              <w:drawing>
                <wp:inline distT="0" distB="0" distL="0" distR="0" wp14:anchorId="04FAED45" wp14:editId="296D23B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6E37E6" w:rsidP="006E37E6">
            <w:pPr>
              <w:spacing w:before="120" w:line="420" w:lineRule="exact"/>
              <w:rPr>
                <w:sz w:val="40"/>
                <w:szCs w:val="40"/>
              </w:rPr>
            </w:pPr>
            <w:r>
              <w:rPr>
                <w:b/>
                <w:sz w:val="40"/>
                <w:szCs w:val="40"/>
              </w:rPr>
              <w:t>Conseil économique et social</w:t>
            </w:r>
          </w:p>
        </w:tc>
        <w:tc>
          <w:tcPr>
            <w:tcW w:w="2835" w:type="dxa"/>
            <w:tcBorders>
              <w:top w:val="single" w:sz="4" w:space="0" w:color="auto"/>
              <w:bottom w:val="single" w:sz="12" w:space="0" w:color="auto"/>
            </w:tcBorders>
          </w:tcPr>
          <w:p w:rsidR="00A74B87" w:rsidRPr="00650142" w:rsidRDefault="00A74B87" w:rsidP="00A74B87">
            <w:pPr>
              <w:spacing w:before="240" w:line="240" w:lineRule="exact"/>
              <w:rPr>
                <w:lang w:val="fr-FR"/>
              </w:rPr>
            </w:pPr>
            <w:r w:rsidRPr="00650142">
              <w:rPr>
                <w:lang w:val="fr-FR"/>
              </w:rPr>
              <w:t>Distr. générale</w:t>
            </w:r>
          </w:p>
          <w:p w:rsidR="00A74B87" w:rsidRPr="00650142" w:rsidRDefault="006D4218" w:rsidP="00A74B87">
            <w:pPr>
              <w:spacing w:line="240" w:lineRule="exact"/>
              <w:rPr>
                <w:lang w:val="fr-FR"/>
              </w:rPr>
            </w:pPr>
            <w:r>
              <w:rPr>
                <w:lang w:val="fr-FR"/>
              </w:rPr>
              <w:t>9 juin</w:t>
            </w:r>
            <w:bookmarkStart w:id="0" w:name="_GoBack"/>
            <w:bookmarkEnd w:id="0"/>
            <w:r w:rsidR="00A74B87" w:rsidRPr="005F2418">
              <w:rPr>
                <w:lang w:val="fr-FR"/>
              </w:rPr>
              <w:t xml:space="preserve"> 2017</w:t>
            </w:r>
          </w:p>
          <w:p w:rsidR="00A74B87" w:rsidRPr="00650142" w:rsidRDefault="00A74B87" w:rsidP="00A74B87">
            <w:pPr>
              <w:spacing w:line="240" w:lineRule="exact"/>
              <w:rPr>
                <w:lang w:val="fr-FR"/>
              </w:rPr>
            </w:pPr>
          </w:p>
          <w:p w:rsidR="001A5D77" w:rsidRPr="006E37E6" w:rsidRDefault="00A74B87" w:rsidP="00A74B87">
            <w:pPr>
              <w:suppressAutoHyphens w:val="0"/>
              <w:rPr>
                <w:lang w:val="fr-CH"/>
              </w:rPr>
            </w:pPr>
            <w:r>
              <w:rPr>
                <w:lang w:val="fr-FR"/>
              </w:rPr>
              <w:t>Original: français</w:t>
            </w:r>
          </w:p>
        </w:tc>
      </w:tr>
    </w:tbl>
    <w:p w:rsidR="00D32431" w:rsidRPr="00650142" w:rsidRDefault="00D32431" w:rsidP="00D32431">
      <w:pPr>
        <w:spacing w:before="120"/>
        <w:rPr>
          <w:b/>
          <w:sz w:val="28"/>
          <w:szCs w:val="28"/>
          <w:lang w:val="fr-FR"/>
        </w:rPr>
      </w:pPr>
      <w:r w:rsidRPr="00650142">
        <w:rPr>
          <w:b/>
          <w:sz w:val="28"/>
          <w:szCs w:val="28"/>
          <w:lang w:val="fr-FR"/>
        </w:rPr>
        <w:t>Commission économique pour l’Europe</w:t>
      </w:r>
    </w:p>
    <w:p w:rsidR="00D32431" w:rsidRPr="00650142" w:rsidRDefault="00D32431" w:rsidP="00D32431">
      <w:pPr>
        <w:spacing w:before="120"/>
        <w:rPr>
          <w:sz w:val="28"/>
          <w:szCs w:val="28"/>
          <w:lang w:val="fr-FR"/>
        </w:rPr>
      </w:pPr>
      <w:r w:rsidRPr="00650142">
        <w:rPr>
          <w:sz w:val="28"/>
          <w:szCs w:val="28"/>
          <w:lang w:val="fr-FR"/>
        </w:rPr>
        <w:t>Comité des transports intérieurs</w:t>
      </w:r>
    </w:p>
    <w:p w:rsidR="00D32431" w:rsidRPr="00650142" w:rsidRDefault="00D32431" w:rsidP="00D32431">
      <w:pPr>
        <w:spacing w:before="120"/>
        <w:rPr>
          <w:b/>
          <w:sz w:val="24"/>
          <w:szCs w:val="24"/>
          <w:lang w:val="fr-FR"/>
        </w:rPr>
      </w:pPr>
      <w:r w:rsidRPr="00650142">
        <w:rPr>
          <w:b/>
          <w:sz w:val="24"/>
          <w:szCs w:val="24"/>
          <w:lang w:val="fr-FR"/>
        </w:rPr>
        <w:t>Groupe de travail des transports de marchandises dangereuses</w:t>
      </w:r>
    </w:p>
    <w:p w:rsidR="00D32431" w:rsidRPr="00650142" w:rsidRDefault="00D32431" w:rsidP="00D32431">
      <w:pPr>
        <w:spacing w:before="120"/>
        <w:rPr>
          <w:b/>
          <w:lang w:val="fr-FR"/>
        </w:rPr>
      </w:pPr>
      <w:r w:rsidRPr="00650142">
        <w:rPr>
          <w:b/>
          <w:lang w:val="fr-FR"/>
        </w:rPr>
        <w:t>Réunion commune d’experts sur le Règlement annexé</w:t>
      </w:r>
      <w:r w:rsidRPr="00650142">
        <w:rPr>
          <w:b/>
          <w:lang w:val="fr-FR"/>
        </w:rPr>
        <w:br/>
        <w:t>à l’Accord européen relatif au transport international</w:t>
      </w:r>
      <w:r w:rsidRPr="00650142">
        <w:rPr>
          <w:b/>
          <w:lang w:val="fr-FR"/>
        </w:rPr>
        <w:br/>
        <w:t xml:space="preserve">des marchandises </w:t>
      </w:r>
      <w:r w:rsidRPr="00650142">
        <w:rPr>
          <w:b/>
          <w:bCs/>
          <w:iCs/>
          <w:lang w:val="fr-FR"/>
        </w:rPr>
        <w:t>dangereuses par voies de navigation</w:t>
      </w:r>
      <w:r w:rsidRPr="00650142">
        <w:rPr>
          <w:b/>
          <w:bCs/>
          <w:iCs/>
          <w:lang w:val="fr-FR"/>
        </w:rPr>
        <w:br/>
        <w:t xml:space="preserve">intérieures (ADN) </w:t>
      </w:r>
      <w:r w:rsidRPr="00650142">
        <w:rPr>
          <w:b/>
          <w:bCs/>
          <w:lang w:val="fr-FR"/>
        </w:rPr>
        <w:t>(Comité de sécurité de l’ADN)</w:t>
      </w:r>
    </w:p>
    <w:p w:rsidR="00D32431" w:rsidRPr="008C0F7F" w:rsidRDefault="00D32431" w:rsidP="00D32431">
      <w:pPr>
        <w:spacing w:before="120"/>
        <w:rPr>
          <w:b/>
          <w:lang w:val="fr-CH"/>
        </w:rPr>
      </w:pPr>
      <w:r w:rsidRPr="008C0F7F">
        <w:rPr>
          <w:b/>
          <w:lang w:val="fr-CH"/>
        </w:rPr>
        <w:t>Trente-et-unième session</w:t>
      </w:r>
    </w:p>
    <w:p w:rsidR="00D32431" w:rsidRPr="008C0F7F" w:rsidRDefault="00D32431" w:rsidP="00D32431">
      <w:pPr>
        <w:rPr>
          <w:lang w:val="fr-CH"/>
        </w:rPr>
      </w:pPr>
      <w:r w:rsidRPr="008C0F7F">
        <w:rPr>
          <w:lang w:val="fr-CH"/>
        </w:rPr>
        <w:t>Genève, 28-31 août 2017</w:t>
      </w:r>
    </w:p>
    <w:p w:rsidR="00D32431" w:rsidRPr="008C0F7F" w:rsidRDefault="00D32431" w:rsidP="00D32431">
      <w:pPr>
        <w:rPr>
          <w:lang w:val="fr-CH"/>
        </w:rPr>
      </w:pPr>
      <w:r w:rsidRPr="008C0F7F">
        <w:rPr>
          <w:lang w:val="fr-CH"/>
        </w:rPr>
        <w:t>Point </w:t>
      </w:r>
      <w:r>
        <w:rPr>
          <w:lang w:val="fr-CH"/>
        </w:rPr>
        <w:t>4 b</w:t>
      </w:r>
      <w:r w:rsidRPr="008C0F7F">
        <w:rPr>
          <w:lang w:val="fr-CH"/>
        </w:rPr>
        <w:t>) de l’ordre du jour provisoire</w:t>
      </w:r>
    </w:p>
    <w:p w:rsidR="00D32431" w:rsidRDefault="00D32431" w:rsidP="00D32431">
      <w:pPr>
        <w:rPr>
          <w:b/>
          <w:lang w:val="fr-FR"/>
        </w:rPr>
      </w:pPr>
      <w:r w:rsidRPr="00D32431">
        <w:rPr>
          <w:b/>
          <w:lang w:val="fr-FR"/>
        </w:rPr>
        <w:t>Propositions d’amendement</w:t>
      </w:r>
      <w:r w:rsidR="00BE636B">
        <w:rPr>
          <w:b/>
          <w:lang w:val="fr-FR"/>
        </w:rPr>
        <w:t>s au Règlement annexé à l’ADN:</w:t>
      </w:r>
      <w:r w:rsidR="00BE636B">
        <w:rPr>
          <w:b/>
          <w:lang w:val="fr-FR"/>
        </w:rPr>
        <w:br/>
        <w:t>a</w:t>
      </w:r>
      <w:r w:rsidRPr="00D32431">
        <w:rPr>
          <w:b/>
          <w:lang w:val="fr-FR"/>
        </w:rPr>
        <w:t>utres propositions:</w:t>
      </w:r>
    </w:p>
    <w:p w:rsidR="00E23406" w:rsidRPr="00AB2C5F" w:rsidRDefault="00572632" w:rsidP="00D32431">
      <w:pPr>
        <w:pStyle w:val="HChG"/>
        <w:rPr>
          <w:lang w:val="fr-FR"/>
        </w:rPr>
      </w:pPr>
      <w:r w:rsidRPr="00A74B87">
        <w:rPr>
          <w:lang w:val="fr-CH"/>
        </w:rPr>
        <w:tab/>
      </w:r>
      <w:r w:rsidR="00E23406">
        <w:rPr>
          <w:lang w:val="fr-FR"/>
        </w:rPr>
        <w:tab/>
      </w:r>
      <w:r w:rsidR="00E23406" w:rsidRPr="00A74B87">
        <w:rPr>
          <w:lang w:val="fr-CH"/>
        </w:rPr>
        <w:t>Matériaux</w:t>
      </w:r>
      <w:r w:rsidR="00E23406" w:rsidRPr="00AB2C5F">
        <w:rPr>
          <w:lang w:val="fr-FR"/>
        </w:rPr>
        <w:t xml:space="preserve"> de construction</w:t>
      </w:r>
    </w:p>
    <w:p w:rsidR="00E23406" w:rsidRPr="00AB2C5F" w:rsidRDefault="00E23406" w:rsidP="00E23406">
      <w:pPr>
        <w:pStyle w:val="H1G"/>
        <w:rPr>
          <w:snapToGrid w:val="0"/>
          <w:sz w:val="16"/>
          <w:vertAlign w:val="superscript"/>
          <w:lang w:val="fr-FR"/>
        </w:rPr>
      </w:pPr>
      <w:r>
        <w:rPr>
          <w:snapToGrid w:val="0"/>
          <w:lang w:val="fr-FR"/>
        </w:rPr>
        <w:tab/>
      </w:r>
      <w:r>
        <w:rPr>
          <w:snapToGrid w:val="0"/>
          <w:lang w:val="fr-FR"/>
        </w:rPr>
        <w:tab/>
      </w:r>
      <w:r w:rsidRPr="00AB2C5F">
        <w:rPr>
          <w:snapToGrid w:val="0"/>
          <w:lang w:val="fr-FR"/>
        </w:rPr>
        <w:t>Transmis conjointement par l'Union européenne de la navigation fluviale (UENF), par la European River Sea Transport Union (ERSTU) et par l'Organisation européenne des bateliers (OEB)</w:t>
      </w:r>
      <w:r w:rsidRPr="00E23406">
        <w:rPr>
          <w:b w:val="0"/>
          <w:sz w:val="20"/>
          <w:lang w:val="fr-FR"/>
        </w:rPr>
        <w:t xml:space="preserve"> </w:t>
      </w:r>
      <w:r w:rsidRPr="00D658B2">
        <w:rPr>
          <w:b w:val="0"/>
          <w:sz w:val="20"/>
          <w:lang w:val="fr-FR"/>
        </w:rPr>
        <w:t>*</w:t>
      </w:r>
      <w:r w:rsidRPr="006F7EAE">
        <w:rPr>
          <w:b w:val="0"/>
          <w:sz w:val="20"/>
          <w:vertAlign w:val="superscript"/>
          <w:lang w:val="fr-FR"/>
        </w:rPr>
        <w:t>,</w:t>
      </w:r>
      <w:r w:rsidRPr="00D658B2">
        <w:rPr>
          <w:rStyle w:val="FootnoteReference"/>
          <w:b w:val="0"/>
          <w:sz w:val="20"/>
          <w:vertAlign w:val="baseline"/>
          <w:lang w:val="fr-FR"/>
        </w:rPr>
        <w:footnoteReference w:customMarkFollows="1" w:id="1"/>
        <w:t>**</w:t>
      </w:r>
    </w:p>
    <w:p w:rsidR="00E23406" w:rsidRPr="00AB2C5F" w:rsidRDefault="00E23406" w:rsidP="00E23406">
      <w:pPr>
        <w:pStyle w:val="HChG"/>
        <w:rPr>
          <w:rFonts w:eastAsia="Calibri"/>
          <w:lang w:val="fr-FR"/>
        </w:rPr>
      </w:pPr>
      <w:r>
        <w:rPr>
          <w:rFonts w:eastAsia="Calibri"/>
          <w:lang w:val="fr-FR"/>
        </w:rPr>
        <w:tab/>
      </w:r>
      <w:r>
        <w:rPr>
          <w:rFonts w:eastAsia="Calibri"/>
          <w:lang w:val="fr-FR"/>
        </w:rPr>
        <w:tab/>
      </w:r>
      <w:r w:rsidRPr="00AB2C5F">
        <w:rPr>
          <w:rFonts w:eastAsia="Calibri"/>
          <w:lang w:val="fr-FR"/>
        </w:rPr>
        <w:t>Introduction</w:t>
      </w:r>
    </w:p>
    <w:p w:rsidR="00D658B2" w:rsidRPr="00AB2C5F" w:rsidRDefault="00BE636B" w:rsidP="00D658B2">
      <w:pPr>
        <w:tabs>
          <w:tab w:val="left" w:pos="567"/>
          <w:tab w:val="left" w:pos="1701"/>
          <w:tab w:val="left" w:pos="2552"/>
          <w:tab w:val="left" w:pos="3119"/>
          <w:tab w:val="left" w:pos="3686"/>
        </w:tabs>
        <w:ind w:left="1134" w:right="567"/>
        <w:jc w:val="both"/>
        <w:rPr>
          <w:lang w:val="fr-FR"/>
        </w:rPr>
      </w:pPr>
      <w:r>
        <w:rPr>
          <w:lang w:val="fr-FR"/>
        </w:rPr>
        <w:t>1.</w:t>
      </w:r>
      <w:r>
        <w:rPr>
          <w:lang w:val="fr-FR"/>
        </w:rPr>
        <w:tab/>
      </w:r>
      <w:r w:rsidR="00D658B2" w:rsidRPr="00AB2C5F">
        <w:rPr>
          <w:lang w:val="fr-FR"/>
        </w:rPr>
        <w:t xml:space="preserve">Le Comité de sécurité de l'ADN a examiné une nouvelle fois au cours de sa </w:t>
      </w:r>
      <w:r>
        <w:rPr>
          <w:lang w:val="fr-FR"/>
        </w:rPr>
        <w:t>vingt septième</w:t>
      </w:r>
      <w:r w:rsidR="00D658B2" w:rsidRPr="00AB2C5F">
        <w:rPr>
          <w:lang w:val="fr-FR"/>
        </w:rPr>
        <w:t xml:space="preserve"> session la demande de la profession d'actualiser les dispositions relatives à l'utilisation de matériaux de construction admissibles et de les présenter sous une autre forme. Les comptes rendus des réunions contiennent les observations suivantes :</w:t>
      </w:r>
    </w:p>
    <w:p w:rsidR="00D658B2" w:rsidRPr="00AB2C5F" w:rsidRDefault="00D658B2" w:rsidP="00D658B2">
      <w:pPr>
        <w:pStyle w:val="H1G"/>
        <w:rPr>
          <w:lang w:val="fr-FR"/>
        </w:rPr>
      </w:pPr>
      <w:r>
        <w:rPr>
          <w:lang w:val="fr-FR"/>
        </w:rPr>
        <w:tab/>
      </w:r>
      <w:r>
        <w:rPr>
          <w:lang w:val="fr-FR"/>
        </w:rPr>
        <w:tab/>
      </w:r>
      <w:r w:rsidR="00BE636B">
        <w:rPr>
          <w:lang w:val="fr-FR"/>
        </w:rPr>
        <w:t>vingt septième</w:t>
      </w:r>
      <w:r w:rsidRPr="00AB2C5F">
        <w:rPr>
          <w:lang w:val="fr-FR"/>
        </w:rPr>
        <w:t xml:space="preserve"> session</w:t>
      </w:r>
      <w:r w:rsidR="00BE636B">
        <w:rPr>
          <w:lang w:val="fr-FR"/>
        </w:rPr>
        <w:t xml:space="preserve"> (ECE/TRANS/WP.15/AC.2/56)</w:t>
      </w:r>
    </w:p>
    <w:p w:rsidR="00D658B2" w:rsidRPr="00AB2C5F" w:rsidRDefault="00BE636B" w:rsidP="00D658B2">
      <w:pPr>
        <w:pStyle w:val="H23G"/>
        <w:spacing w:before="120" w:line="240" w:lineRule="atLeast"/>
        <w:ind w:right="567" w:firstLine="0"/>
        <w:rPr>
          <w:rFonts w:eastAsiaTheme="minorEastAsia"/>
          <w:lang w:val="fr-FR"/>
        </w:rPr>
      </w:pPr>
      <w:r>
        <w:rPr>
          <w:rFonts w:eastAsiaTheme="minorEastAsia"/>
          <w:lang w:val="fr-FR"/>
        </w:rPr>
        <w:t>«</w:t>
      </w:r>
      <w:r w:rsidR="00D658B2" w:rsidRPr="00AB2C5F">
        <w:rPr>
          <w:rFonts w:eastAsiaTheme="minorEastAsia"/>
          <w:lang w:val="fr-FR"/>
        </w:rPr>
        <w:t>16.</w:t>
      </w:r>
      <w:r w:rsidR="00D658B2" w:rsidRPr="00AB2C5F">
        <w:rPr>
          <w:rFonts w:eastAsiaTheme="minorEastAsia"/>
          <w:lang w:val="fr-FR"/>
        </w:rPr>
        <w:tab/>
        <w:t>Matériaux de construction</w:t>
      </w:r>
    </w:p>
    <w:p w:rsidR="00D658B2" w:rsidRPr="00AB2C5F" w:rsidRDefault="00D658B2" w:rsidP="00D658B2">
      <w:pPr>
        <w:pStyle w:val="SingleTxtG"/>
        <w:rPr>
          <w:lang w:val="fr-FR"/>
        </w:rPr>
      </w:pPr>
      <w:r w:rsidRPr="00AB2C5F">
        <w:rPr>
          <w:i/>
          <w:lang w:val="fr-FR"/>
        </w:rPr>
        <w:t>Document :</w:t>
      </w:r>
      <w:r w:rsidRPr="00AB2C5F">
        <w:rPr>
          <w:lang w:val="fr-FR"/>
        </w:rPr>
        <w:tab/>
        <w:t>ECE/TRANS/WP.15/AC.2/2015/19 et Corr.1 (UENF, ERSTU, OEB)</w:t>
      </w:r>
    </w:p>
    <w:p w:rsidR="00D658B2" w:rsidRPr="00A74B87" w:rsidRDefault="00D658B2" w:rsidP="00D658B2">
      <w:pPr>
        <w:pStyle w:val="SingleTxtG"/>
        <w:rPr>
          <w:lang w:val="fr-CH"/>
        </w:rPr>
      </w:pPr>
      <w:r w:rsidRPr="00A74B87">
        <w:rPr>
          <w:lang w:val="fr-CH"/>
        </w:rPr>
        <w:lastRenderedPageBreak/>
        <w:t>59.</w:t>
      </w:r>
      <w:r w:rsidRPr="00A74B87">
        <w:rPr>
          <w:lang w:val="fr-CH"/>
        </w:rPr>
        <w:tab/>
        <w:t>Plusieurs délégations ont appuyé la proposition de prévoir des dispositions pour tenir compte de l'utilisation croissante de matériaux modernes sur les bateaux, mais souhaitaient une présentation plus conviviale des dispositions proposées par exemple sous forme de tableau. Une nouvelle proposition sera soumise à la prochaine session.</w:t>
      </w:r>
      <w:r w:rsidR="00BE636B">
        <w:rPr>
          <w:lang w:val="fr-FR"/>
        </w:rPr>
        <w:t>»</w:t>
      </w:r>
      <w:r w:rsidR="00BE636B" w:rsidRPr="00A74B87">
        <w:rPr>
          <w:lang w:val="fr-CH"/>
        </w:rPr>
        <w:t>.</w:t>
      </w:r>
    </w:p>
    <w:p w:rsidR="0018383C" w:rsidRPr="00AB2C5F" w:rsidRDefault="0018383C" w:rsidP="0018383C">
      <w:pPr>
        <w:pStyle w:val="H1G"/>
        <w:rPr>
          <w:lang w:val="fr-FR"/>
        </w:rPr>
      </w:pPr>
      <w:r>
        <w:rPr>
          <w:lang w:val="fr-FR"/>
        </w:rPr>
        <w:tab/>
      </w:r>
      <w:r>
        <w:rPr>
          <w:lang w:val="fr-FR"/>
        </w:rPr>
        <w:tab/>
      </w:r>
      <w:r w:rsidR="00BE636B">
        <w:rPr>
          <w:lang w:val="fr-FR"/>
        </w:rPr>
        <w:t>vingt huitième</w:t>
      </w:r>
      <w:r w:rsidRPr="00AB2C5F">
        <w:rPr>
          <w:lang w:val="fr-FR"/>
        </w:rPr>
        <w:t xml:space="preserve"> session</w:t>
      </w:r>
      <w:r w:rsidR="00BE636B">
        <w:rPr>
          <w:lang w:val="fr-FR"/>
        </w:rPr>
        <w:t xml:space="preserve"> (ECE/TRANS/WP.15/AC.2/58)</w:t>
      </w:r>
    </w:p>
    <w:p w:rsidR="0018383C" w:rsidRPr="00AB2C5F" w:rsidRDefault="00BE636B" w:rsidP="0018383C">
      <w:pPr>
        <w:pStyle w:val="H23G"/>
        <w:spacing w:before="120" w:line="240" w:lineRule="atLeast"/>
        <w:ind w:right="567" w:firstLine="0"/>
        <w:rPr>
          <w:lang w:val="fr-FR"/>
        </w:rPr>
      </w:pPr>
      <w:bookmarkStart w:id="1" w:name="_Toc442372135"/>
      <w:r>
        <w:rPr>
          <w:lang w:val="fr-FR"/>
        </w:rPr>
        <w:t>«</w:t>
      </w:r>
      <w:r w:rsidR="0018383C" w:rsidRPr="00AB2C5F">
        <w:rPr>
          <w:lang w:val="fr-FR"/>
        </w:rPr>
        <w:t>16.</w:t>
      </w:r>
      <w:r w:rsidR="0018383C" w:rsidRPr="00AB2C5F">
        <w:rPr>
          <w:lang w:val="fr-FR"/>
        </w:rPr>
        <w:tab/>
      </w:r>
      <w:bookmarkEnd w:id="1"/>
      <w:r w:rsidR="0018383C" w:rsidRPr="00AB2C5F">
        <w:rPr>
          <w:lang w:val="fr-FR"/>
        </w:rPr>
        <w:t>Matériaux de construction</w:t>
      </w:r>
    </w:p>
    <w:p w:rsidR="0018383C" w:rsidRPr="00AB2C5F" w:rsidRDefault="0018383C" w:rsidP="0018383C">
      <w:pPr>
        <w:pStyle w:val="SingleTxtG"/>
        <w:tabs>
          <w:tab w:val="left" w:pos="3402"/>
        </w:tabs>
        <w:spacing w:before="60"/>
        <w:ind w:right="567"/>
        <w:jc w:val="left"/>
        <w:rPr>
          <w:iCs/>
          <w:lang w:val="fr-FR"/>
        </w:rPr>
      </w:pPr>
      <w:r w:rsidRPr="00AB2C5F">
        <w:rPr>
          <w:i/>
          <w:iCs/>
          <w:lang w:val="fr-FR"/>
        </w:rPr>
        <w:t>Document :</w:t>
      </w:r>
      <w:r w:rsidRPr="00AB2C5F">
        <w:rPr>
          <w:i/>
          <w:iCs/>
          <w:lang w:val="fr-FR"/>
        </w:rPr>
        <w:tab/>
      </w:r>
      <w:r w:rsidRPr="00AB2C5F">
        <w:rPr>
          <w:i/>
          <w:iCs/>
          <w:lang w:val="fr-FR"/>
        </w:rPr>
        <w:tab/>
      </w:r>
      <w:r w:rsidRPr="00AB2C5F">
        <w:rPr>
          <w:iCs/>
          <w:lang w:val="fr-FR"/>
        </w:rPr>
        <w:t>ECE/TRANS/WP.15/AC.2/2016/22 (UENF, ERSTU et OEB)</w:t>
      </w:r>
    </w:p>
    <w:p w:rsidR="0018383C" w:rsidRPr="00AB2C5F" w:rsidRDefault="0018383C" w:rsidP="0018383C">
      <w:pPr>
        <w:pStyle w:val="SingleTxtG"/>
        <w:tabs>
          <w:tab w:val="left" w:pos="3402"/>
        </w:tabs>
        <w:spacing w:after="0"/>
        <w:ind w:right="567"/>
        <w:rPr>
          <w:iCs/>
          <w:lang w:val="fr-FR"/>
        </w:rPr>
      </w:pPr>
      <w:r w:rsidRPr="00AB2C5F">
        <w:rPr>
          <w:i/>
          <w:iCs/>
          <w:lang w:val="fr-FR"/>
        </w:rPr>
        <w:t>Document informel :</w:t>
      </w:r>
      <w:r w:rsidRPr="00AB2C5F">
        <w:rPr>
          <w:i/>
          <w:iCs/>
          <w:lang w:val="fr-FR"/>
        </w:rPr>
        <w:tab/>
      </w:r>
      <w:r w:rsidRPr="00AB2C5F">
        <w:rPr>
          <w:iCs/>
          <w:lang w:val="fr-FR"/>
        </w:rPr>
        <w:t>INF.19 (UENF, ERSTU et OEB)</w:t>
      </w:r>
    </w:p>
    <w:p w:rsidR="0018383C" w:rsidRPr="00AB2C5F" w:rsidRDefault="0018383C" w:rsidP="0018383C">
      <w:pPr>
        <w:pStyle w:val="SingleTxtG"/>
        <w:spacing w:after="0"/>
        <w:ind w:right="567"/>
        <w:rPr>
          <w:lang w:val="fr-FR"/>
        </w:rPr>
      </w:pPr>
    </w:p>
    <w:p w:rsidR="0018383C" w:rsidRPr="00AB2C5F" w:rsidRDefault="0018383C" w:rsidP="0018383C">
      <w:pPr>
        <w:pStyle w:val="SingleTxtG"/>
        <w:rPr>
          <w:lang w:val="fr-FR"/>
        </w:rPr>
      </w:pPr>
      <w:r w:rsidRPr="00AB2C5F">
        <w:rPr>
          <w:lang w:val="fr-FR"/>
        </w:rPr>
        <w:t>51.</w:t>
      </w:r>
      <w:r w:rsidRPr="00AB2C5F">
        <w:rPr>
          <w:lang w:val="fr-FR"/>
        </w:rPr>
        <w:tab/>
        <w:t>Le Comité de sécurité a accepté en principe de présenter sous forme de tableau les différents cas où le bois, les alliages d'aluminium, le plastique ou le caoutchouc peuvent être utilisés, mais a estimé que certains ajouts suggérés concernaient les équipements mobiles et relevaient plutôt de la partie 7 du Règlement plutôt que de la partie 9.</w:t>
      </w:r>
    </w:p>
    <w:p w:rsidR="0018383C" w:rsidRPr="00AB2C5F" w:rsidRDefault="0018383C" w:rsidP="0018383C">
      <w:pPr>
        <w:pStyle w:val="SingleTxtG"/>
        <w:rPr>
          <w:lang w:val="fr-FR"/>
        </w:rPr>
      </w:pPr>
      <w:r w:rsidRPr="00AB2C5F">
        <w:rPr>
          <w:lang w:val="fr-FR"/>
        </w:rPr>
        <w:t>52.</w:t>
      </w:r>
      <w:r w:rsidRPr="00AB2C5F">
        <w:rPr>
          <w:lang w:val="fr-FR"/>
        </w:rPr>
        <w:tab/>
        <w:t>Les auteurs de la proposition ont été invités à préparer une nouvelle proposition qui couvrirait les deux parties comme il convient en tenant compte des commentaires formulés.</w:t>
      </w:r>
      <w:r w:rsidR="00BE636B">
        <w:rPr>
          <w:lang w:val="fr-FR"/>
        </w:rPr>
        <w:t>».</w:t>
      </w:r>
    </w:p>
    <w:p w:rsidR="0018383C" w:rsidRPr="00AB2C5F" w:rsidRDefault="0018383C" w:rsidP="0018383C">
      <w:pPr>
        <w:pStyle w:val="H1G"/>
        <w:rPr>
          <w:lang w:val="fr-FR"/>
        </w:rPr>
      </w:pPr>
      <w:r>
        <w:rPr>
          <w:lang w:val="fr-FR"/>
        </w:rPr>
        <w:tab/>
      </w:r>
      <w:r>
        <w:rPr>
          <w:lang w:val="fr-FR"/>
        </w:rPr>
        <w:tab/>
      </w:r>
      <w:r w:rsidR="00BE636B">
        <w:rPr>
          <w:lang w:val="fr-FR"/>
        </w:rPr>
        <w:t>vingt neuvième</w:t>
      </w:r>
      <w:r w:rsidRPr="00AB2C5F">
        <w:rPr>
          <w:lang w:val="fr-FR"/>
        </w:rPr>
        <w:t xml:space="preserve"> session</w:t>
      </w:r>
      <w:r w:rsidR="00BE636B">
        <w:rPr>
          <w:lang w:val="fr-FR"/>
        </w:rPr>
        <w:t xml:space="preserve"> (ECE/TRANS/WP.15/AC.2/60)</w:t>
      </w:r>
    </w:p>
    <w:p w:rsidR="0018383C" w:rsidRPr="00AB2C5F" w:rsidRDefault="0018383C" w:rsidP="0018383C">
      <w:pPr>
        <w:pStyle w:val="H23G"/>
        <w:rPr>
          <w:lang w:val="fr-FR"/>
        </w:rPr>
      </w:pPr>
      <w:r>
        <w:rPr>
          <w:lang w:val="fr-FR"/>
        </w:rPr>
        <w:tab/>
      </w:r>
      <w:r>
        <w:rPr>
          <w:lang w:val="fr-FR"/>
        </w:rPr>
        <w:tab/>
      </w:r>
      <w:r w:rsidR="00BE636B">
        <w:rPr>
          <w:lang w:val="fr-FR"/>
        </w:rPr>
        <w:t>«</w:t>
      </w:r>
      <w:r w:rsidRPr="00AB2C5F">
        <w:rPr>
          <w:lang w:val="fr-FR"/>
        </w:rPr>
        <w:t>5.</w:t>
      </w:r>
      <w:r w:rsidRPr="00AB2C5F">
        <w:rPr>
          <w:lang w:val="fr-FR"/>
        </w:rPr>
        <w:tab/>
      </w:r>
      <w:r w:rsidRPr="00A74B87">
        <w:rPr>
          <w:lang w:val="fr-CH"/>
        </w:rPr>
        <w:t>Matériaux</w:t>
      </w:r>
      <w:r w:rsidRPr="00AB2C5F">
        <w:rPr>
          <w:lang w:val="fr-FR"/>
        </w:rPr>
        <w:t xml:space="preserve"> de construction</w:t>
      </w:r>
    </w:p>
    <w:p w:rsidR="0018383C" w:rsidRPr="00AB2C5F" w:rsidRDefault="0018383C" w:rsidP="0018383C">
      <w:pPr>
        <w:pStyle w:val="SingleTxtG"/>
        <w:tabs>
          <w:tab w:val="left" w:pos="3402"/>
        </w:tabs>
        <w:spacing w:before="60"/>
        <w:ind w:right="567"/>
        <w:rPr>
          <w:iCs/>
          <w:lang w:val="fr-FR"/>
        </w:rPr>
      </w:pPr>
      <w:r w:rsidRPr="00AB2C5F">
        <w:rPr>
          <w:i/>
          <w:iCs/>
          <w:lang w:val="fr-FR"/>
        </w:rPr>
        <w:t>Document :</w:t>
      </w:r>
      <w:r w:rsidRPr="00AB2C5F">
        <w:rPr>
          <w:i/>
          <w:iCs/>
          <w:lang w:val="fr-FR"/>
        </w:rPr>
        <w:tab/>
      </w:r>
      <w:r w:rsidRPr="00AB2C5F">
        <w:rPr>
          <w:i/>
          <w:iCs/>
          <w:lang w:val="fr-FR"/>
        </w:rPr>
        <w:tab/>
      </w:r>
      <w:r w:rsidRPr="00AB2C5F">
        <w:rPr>
          <w:iCs/>
          <w:lang w:val="fr-FR"/>
        </w:rPr>
        <w:t>ECE/TRANS/WP.15/AC.2/2016/41 (UENF, ERSTU et OEB)</w:t>
      </w:r>
    </w:p>
    <w:p w:rsidR="0018383C" w:rsidRPr="00AB2C5F" w:rsidRDefault="0018383C" w:rsidP="0018383C">
      <w:pPr>
        <w:pStyle w:val="SingleTxtG"/>
        <w:rPr>
          <w:lang w:val="fr-FR"/>
        </w:rPr>
      </w:pPr>
      <w:r w:rsidRPr="00AB2C5F">
        <w:rPr>
          <w:lang w:val="fr-FR"/>
        </w:rPr>
        <w:t>33.</w:t>
      </w:r>
      <w:r w:rsidRPr="00AB2C5F">
        <w:rPr>
          <w:lang w:val="fr-FR"/>
        </w:rPr>
        <w:tab/>
        <w:t>Le Comité de sécurité était favorable en général aux propositions mais les auteurs ont été invités à soumettre un nouveau document à la prochaine session pour tenir compte de divers commentaires.</w:t>
      </w:r>
      <w:r w:rsidR="00BE636B">
        <w:rPr>
          <w:lang w:val="fr-FR"/>
        </w:rPr>
        <w:t>».</w:t>
      </w:r>
    </w:p>
    <w:p w:rsidR="0018383C" w:rsidRPr="00AB2C5F" w:rsidRDefault="0018383C" w:rsidP="0018383C">
      <w:pPr>
        <w:pStyle w:val="H1G"/>
        <w:rPr>
          <w:lang w:val="fr-FR"/>
        </w:rPr>
      </w:pPr>
      <w:r>
        <w:rPr>
          <w:lang w:val="fr-FR"/>
        </w:rPr>
        <w:tab/>
      </w:r>
      <w:r>
        <w:rPr>
          <w:lang w:val="fr-FR"/>
        </w:rPr>
        <w:tab/>
      </w:r>
      <w:r w:rsidR="00BE636B">
        <w:rPr>
          <w:lang w:val="fr-FR"/>
        </w:rPr>
        <w:t>Trentième</w:t>
      </w:r>
      <w:r w:rsidRPr="00AB2C5F">
        <w:rPr>
          <w:lang w:val="fr-FR"/>
        </w:rPr>
        <w:t xml:space="preserve"> session</w:t>
      </w:r>
      <w:r w:rsidR="00BE636B">
        <w:rPr>
          <w:lang w:val="fr-FR"/>
        </w:rPr>
        <w:t xml:space="preserve"> (ECE/TRANS/WP.15/AC.2/62)</w:t>
      </w:r>
    </w:p>
    <w:p w:rsidR="0018383C" w:rsidRPr="00AB2C5F" w:rsidRDefault="0018383C" w:rsidP="0018383C">
      <w:pPr>
        <w:pStyle w:val="H23G"/>
        <w:rPr>
          <w:lang w:val="fr-FR"/>
        </w:rPr>
      </w:pPr>
      <w:r>
        <w:rPr>
          <w:lang w:val="fr-FR"/>
        </w:rPr>
        <w:tab/>
      </w:r>
      <w:r>
        <w:rPr>
          <w:lang w:val="fr-FR"/>
        </w:rPr>
        <w:tab/>
      </w:r>
      <w:r w:rsidR="00BE636B">
        <w:rPr>
          <w:lang w:val="fr-FR"/>
        </w:rPr>
        <w:t>«</w:t>
      </w:r>
      <w:r w:rsidRPr="00AB2C5F">
        <w:rPr>
          <w:lang w:val="fr-FR"/>
        </w:rPr>
        <w:t>10.</w:t>
      </w:r>
      <w:r w:rsidRPr="00AB2C5F">
        <w:rPr>
          <w:lang w:val="fr-FR"/>
        </w:rPr>
        <w:tab/>
        <w:t>Matériaux de construction</w:t>
      </w:r>
    </w:p>
    <w:p w:rsidR="0018383C" w:rsidRPr="00AB2C5F" w:rsidRDefault="0018383C" w:rsidP="0018383C">
      <w:pPr>
        <w:pStyle w:val="SingleTxtG"/>
        <w:keepNext/>
        <w:keepLines/>
        <w:spacing w:before="60" w:after="0"/>
        <w:ind w:right="567"/>
        <w:rPr>
          <w:iCs/>
          <w:lang w:val="fr-FR"/>
        </w:rPr>
      </w:pPr>
      <w:r w:rsidRPr="00AB2C5F">
        <w:rPr>
          <w:i/>
          <w:iCs/>
          <w:lang w:val="fr-FR"/>
        </w:rPr>
        <w:t>Document informel :</w:t>
      </w:r>
      <w:r w:rsidRPr="00AB2C5F">
        <w:rPr>
          <w:i/>
          <w:iCs/>
          <w:lang w:val="fr-FR"/>
        </w:rPr>
        <w:tab/>
      </w:r>
      <w:r>
        <w:rPr>
          <w:i/>
          <w:iCs/>
          <w:lang w:val="fr-FR"/>
        </w:rPr>
        <w:tab/>
      </w:r>
      <w:r w:rsidRPr="00AB2C5F">
        <w:rPr>
          <w:iCs/>
          <w:lang w:val="fr-FR"/>
        </w:rPr>
        <w:t>INF.24 (UENF, ERSTU et OEB)</w:t>
      </w:r>
    </w:p>
    <w:p w:rsidR="0018383C" w:rsidRPr="00AB2C5F" w:rsidRDefault="0018383C" w:rsidP="0018383C">
      <w:pPr>
        <w:pStyle w:val="SingleTxtG"/>
        <w:keepNext/>
        <w:keepLines/>
        <w:spacing w:before="120"/>
        <w:ind w:right="567"/>
        <w:rPr>
          <w:lang w:val="fr-FR"/>
        </w:rPr>
      </w:pPr>
      <w:r w:rsidRPr="00AB2C5F">
        <w:rPr>
          <w:lang w:val="fr-FR"/>
        </w:rPr>
        <w:t>67.</w:t>
      </w:r>
      <w:r w:rsidRPr="00AB2C5F">
        <w:rPr>
          <w:lang w:val="fr-FR"/>
        </w:rPr>
        <w:tab/>
        <w:t>Le Comité de sécurité a invité les délégations intéressées à adresser leurs commentaires au représentant de l'UENF d'ici deux mois afin qu'une proposition officielle puisse être préparée pour la prochaine session.</w:t>
      </w:r>
      <w:r w:rsidR="00BE636B">
        <w:rPr>
          <w:lang w:val="fr-FR"/>
        </w:rPr>
        <w:t>».</w:t>
      </w:r>
    </w:p>
    <w:p w:rsidR="004F4A88" w:rsidRPr="00AB2C5F" w:rsidRDefault="004F4A88" w:rsidP="004F4A88">
      <w:pPr>
        <w:pStyle w:val="H1G"/>
        <w:rPr>
          <w:rFonts w:eastAsia="Calibri"/>
          <w:lang w:val="fr-FR"/>
        </w:rPr>
      </w:pPr>
      <w:r>
        <w:rPr>
          <w:rFonts w:eastAsia="Calibri"/>
          <w:lang w:val="fr-FR"/>
        </w:rPr>
        <w:tab/>
      </w:r>
      <w:r>
        <w:rPr>
          <w:rFonts w:eastAsia="Calibri"/>
          <w:lang w:val="fr-FR"/>
        </w:rPr>
        <w:tab/>
      </w:r>
      <w:r w:rsidRPr="00AB2C5F">
        <w:rPr>
          <w:rFonts w:eastAsia="Calibri"/>
          <w:lang w:val="fr-FR"/>
        </w:rPr>
        <w:t>Propositions</w:t>
      </w:r>
    </w:p>
    <w:p w:rsidR="004F4A88" w:rsidRPr="00AB2C5F" w:rsidRDefault="00BE636B" w:rsidP="004F4A88">
      <w:pPr>
        <w:pStyle w:val="SingleTxtG"/>
        <w:rPr>
          <w:lang w:val="fr-FR"/>
        </w:rPr>
      </w:pPr>
      <w:r>
        <w:rPr>
          <w:lang w:val="fr-FR"/>
        </w:rPr>
        <w:t>2.</w:t>
      </w:r>
      <w:r>
        <w:rPr>
          <w:lang w:val="fr-FR"/>
        </w:rPr>
        <w:tab/>
      </w:r>
      <w:r w:rsidR="004F4A88" w:rsidRPr="00AB2C5F">
        <w:rPr>
          <w:lang w:val="fr-FR"/>
        </w:rPr>
        <w:t xml:space="preserve">La profession de la navigation n'a pas reçu d'observations sur ce thème au terme de la </w:t>
      </w:r>
      <w:r>
        <w:rPr>
          <w:lang w:val="fr-FR"/>
        </w:rPr>
        <w:t>trentième</w:t>
      </w:r>
      <w:r w:rsidR="004F4A88" w:rsidRPr="00AB2C5F">
        <w:rPr>
          <w:lang w:val="fr-FR"/>
        </w:rPr>
        <w:t xml:space="preserve"> session du Comité de sécurité. L'UENF, l'OEB et l'ERSTU soumettent par conséquent les </w:t>
      </w:r>
      <w:r w:rsidR="00B56D57">
        <w:rPr>
          <w:lang w:val="fr-FR"/>
        </w:rPr>
        <w:t xml:space="preserve">propositions </w:t>
      </w:r>
      <w:r>
        <w:rPr>
          <w:lang w:val="fr-FR"/>
        </w:rPr>
        <w:t>qui suivent</w:t>
      </w:r>
      <w:r w:rsidR="00B56D57">
        <w:rPr>
          <w:lang w:val="fr-FR"/>
        </w:rPr>
        <w:t>:</w:t>
      </w:r>
    </w:p>
    <w:p w:rsidR="004F4A88" w:rsidRPr="00AB2C5F" w:rsidRDefault="00BE636B" w:rsidP="004F4A88">
      <w:pPr>
        <w:pStyle w:val="SingleTxtG"/>
        <w:rPr>
          <w:lang w:val="fr-FR"/>
        </w:rPr>
      </w:pPr>
      <w:r>
        <w:rPr>
          <w:lang w:val="fr-FR"/>
        </w:rPr>
        <w:t>3.</w:t>
      </w:r>
      <w:r>
        <w:rPr>
          <w:lang w:val="fr-FR"/>
        </w:rPr>
        <w:tab/>
      </w:r>
      <w:r w:rsidR="004F4A88" w:rsidRPr="00AB2C5F">
        <w:rPr>
          <w:lang w:val="fr-FR"/>
        </w:rPr>
        <w:t>Par analogie au 9.3.1.0.1 est inséré en tant qu</w:t>
      </w:r>
      <w:r w:rsidR="00B56D57">
        <w:rPr>
          <w:lang w:val="fr-FR"/>
        </w:rPr>
        <w:t>e nouvelle sous-section 7.1.2.3</w:t>
      </w:r>
      <w:r w:rsidR="004F4A88" w:rsidRPr="00AB2C5F">
        <w:rPr>
          <w:lang w:val="fr-FR"/>
        </w:rPr>
        <w:t>:</w:t>
      </w:r>
    </w:p>
    <w:p w:rsidR="00B56D57" w:rsidRPr="00AB2C5F" w:rsidRDefault="00B56D57" w:rsidP="00B56D57">
      <w:pPr>
        <w:pStyle w:val="SingleTxtG"/>
        <w:ind w:left="1701"/>
        <w:rPr>
          <w:lang w:val="fr-FR"/>
        </w:rPr>
      </w:pPr>
      <w:r>
        <w:rPr>
          <w:lang w:val="fr-FR"/>
        </w:rPr>
        <w:t>«</w:t>
      </w:r>
      <w:r w:rsidRPr="00AB2C5F">
        <w:rPr>
          <w:lang w:val="fr-FR"/>
        </w:rPr>
        <w:t>Dans la zone de cargaison ne peuvent être utilisés que les équipements mobiles réalisés avec des matériaux non susceptibles d'être attaqués par la cargaison ni de provoquer de décomposition de celle-ci, ni de former avec celle-ci de combi</w:t>
      </w:r>
      <w:r>
        <w:rPr>
          <w:lang w:val="fr-FR"/>
        </w:rPr>
        <w:t>naisons nocives ou dangereuses.</w:t>
      </w:r>
      <w:r w:rsidRPr="00AB2C5F">
        <w:rPr>
          <w:lang w:val="fr-FR"/>
        </w:rPr>
        <w:t>».</w:t>
      </w:r>
    </w:p>
    <w:p w:rsidR="00B56D57" w:rsidRDefault="00B56D57">
      <w:pPr>
        <w:suppressAutoHyphens w:val="0"/>
        <w:spacing w:after="200" w:line="276" w:lineRule="auto"/>
        <w:rPr>
          <w:rFonts w:eastAsia="SimSun"/>
          <w:lang w:val="fr-FR" w:eastAsia="zh-CN"/>
        </w:rPr>
      </w:pPr>
      <w:r>
        <w:rPr>
          <w:lang w:val="fr-FR"/>
        </w:rPr>
        <w:br w:type="page"/>
      </w:r>
    </w:p>
    <w:p w:rsidR="00B56D57" w:rsidRPr="00AB2C5F" w:rsidRDefault="00BE636B" w:rsidP="00B56D57">
      <w:pPr>
        <w:pStyle w:val="SingleTxtG"/>
        <w:rPr>
          <w:lang w:val="fr-FR"/>
        </w:rPr>
      </w:pPr>
      <w:r>
        <w:rPr>
          <w:lang w:val="fr-FR"/>
        </w:rPr>
        <w:lastRenderedPageBreak/>
        <w:t>4.</w:t>
      </w:r>
      <w:r>
        <w:rPr>
          <w:lang w:val="fr-FR"/>
        </w:rPr>
        <w:tab/>
      </w:r>
      <w:r w:rsidR="00B56D57" w:rsidRPr="00AB2C5F">
        <w:rPr>
          <w:lang w:val="fr-FR"/>
        </w:rPr>
        <w:t>Par analogie au 9.3.1.0.1 est inséré en tant que nouvelle sous-section 7.2.2.3 :</w:t>
      </w:r>
    </w:p>
    <w:p w:rsidR="00B56D57" w:rsidRPr="00AB2C5F" w:rsidRDefault="00B56D57" w:rsidP="00B56D57">
      <w:pPr>
        <w:pStyle w:val="SingleTxtG"/>
        <w:ind w:left="1701"/>
        <w:rPr>
          <w:lang w:val="fr-FR"/>
        </w:rPr>
      </w:pPr>
      <w:r>
        <w:rPr>
          <w:lang w:val="fr-FR"/>
        </w:rPr>
        <w:t>«</w:t>
      </w:r>
      <w:r w:rsidRPr="00AB2C5F">
        <w:rPr>
          <w:lang w:val="fr-FR"/>
        </w:rPr>
        <w:t>Dans la zone de cargaison ne peuvent être utilisés que les équipements mobiles réalisés avec des matériaux non susceptibles d'être attaqués par la cargaison ni de provoquer de décomposition de celle-ci, ni de former avec celle-ci de combi</w:t>
      </w:r>
      <w:r>
        <w:rPr>
          <w:lang w:val="fr-FR"/>
        </w:rPr>
        <w:t>naisons nocives ou dangereuses.</w:t>
      </w:r>
      <w:r w:rsidRPr="00AB2C5F">
        <w:rPr>
          <w:lang w:val="fr-FR"/>
        </w:rPr>
        <w:t>».</w:t>
      </w:r>
    </w:p>
    <w:p w:rsidR="00B56D57" w:rsidRPr="00AB2C5F" w:rsidRDefault="00BE636B" w:rsidP="00B56D57">
      <w:pPr>
        <w:pStyle w:val="SingleTxtG"/>
        <w:rPr>
          <w:lang w:val="fr-FR"/>
        </w:rPr>
      </w:pPr>
      <w:r>
        <w:rPr>
          <w:lang w:val="fr-FR"/>
        </w:rPr>
        <w:t>5.</w:t>
      </w:r>
      <w:r>
        <w:rPr>
          <w:lang w:val="fr-FR"/>
        </w:rPr>
        <w:tab/>
      </w:r>
      <w:r w:rsidR="00B56D57" w:rsidRPr="00AB2C5F">
        <w:rPr>
          <w:lang w:val="fr-FR"/>
        </w:rPr>
        <w:t>Le 9.3.x.0.5 était libel</w:t>
      </w:r>
      <w:r w:rsidR="00B56D57">
        <w:rPr>
          <w:lang w:val="fr-FR"/>
        </w:rPr>
        <w:t>lé comme suit</w:t>
      </w:r>
      <w:r w:rsidR="00B56D57" w:rsidRPr="00AB2C5F">
        <w:rPr>
          <w:lang w:val="fr-FR"/>
        </w:rPr>
        <w:t>:</w:t>
      </w:r>
    </w:p>
    <w:p w:rsidR="00B56D57" w:rsidRPr="00AB2C5F" w:rsidRDefault="00B56D57" w:rsidP="00B56D57">
      <w:pPr>
        <w:pStyle w:val="SingleTxtG"/>
        <w:ind w:left="1701"/>
        <w:rPr>
          <w:lang w:val="fr-FR"/>
        </w:rPr>
      </w:pPr>
      <w:r>
        <w:rPr>
          <w:lang w:val="fr-FR"/>
        </w:rPr>
        <w:t>«</w:t>
      </w:r>
      <w:r w:rsidRPr="00AB2C5F">
        <w:rPr>
          <w:lang w:val="fr-FR"/>
        </w:rPr>
        <w:t>L'emploi de matières plastiques pour les canots n'est autorisé que si le matériau</w:t>
      </w:r>
      <w:r>
        <w:rPr>
          <w:lang w:val="fr-FR"/>
        </w:rPr>
        <w:t xml:space="preserve"> est difficilement inflammable.</w:t>
      </w:r>
      <w:r w:rsidRPr="00AB2C5F">
        <w:rPr>
          <w:lang w:val="fr-FR"/>
        </w:rPr>
        <w:t>».</w:t>
      </w:r>
    </w:p>
    <w:p w:rsidR="00B56D57" w:rsidRPr="00AB2C5F" w:rsidRDefault="00BE636B" w:rsidP="00B56D57">
      <w:pPr>
        <w:pStyle w:val="SingleTxtG"/>
        <w:rPr>
          <w:lang w:val="fr-FR"/>
        </w:rPr>
      </w:pPr>
      <w:r>
        <w:rPr>
          <w:lang w:val="fr-FR"/>
        </w:rPr>
        <w:t>Il est proposé de le modifier comme suit:</w:t>
      </w:r>
    </w:p>
    <w:p w:rsidR="00B56D57" w:rsidRPr="00AB2C5F" w:rsidRDefault="00B56D57" w:rsidP="00B56D57">
      <w:pPr>
        <w:pStyle w:val="SingleTxtG"/>
        <w:ind w:left="1701"/>
        <w:rPr>
          <w:lang w:val="fr-FR"/>
        </w:rPr>
      </w:pPr>
      <w:r>
        <w:rPr>
          <w:lang w:val="fr-FR"/>
        </w:rPr>
        <w:t>„«</w:t>
      </w:r>
      <w:r w:rsidRPr="00AB2C5F">
        <w:rPr>
          <w:lang w:val="fr-FR"/>
        </w:rPr>
        <w:t xml:space="preserve">L'emploi de matières plastiques pour les canots </w:t>
      </w:r>
      <w:r w:rsidRPr="00AB2C5F">
        <w:rPr>
          <w:u w:val="single"/>
          <w:lang w:val="fr-FR"/>
        </w:rPr>
        <w:t>dans la zone de cargaison</w:t>
      </w:r>
      <w:r w:rsidRPr="00AB2C5F">
        <w:rPr>
          <w:lang w:val="fr-FR"/>
        </w:rPr>
        <w:t xml:space="preserve"> n'est autorisé que si le matériau est difficilement inflammable.</w:t>
      </w:r>
    </w:p>
    <w:p w:rsidR="00B56D57" w:rsidRPr="00B56D57" w:rsidRDefault="00B56D57" w:rsidP="00B56D57">
      <w:pPr>
        <w:pStyle w:val="SingleTxtG"/>
        <w:ind w:left="1701"/>
        <w:rPr>
          <w:u w:val="single"/>
          <w:lang w:val="fr-FR"/>
        </w:rPr>
      </w:pPr>
      <w:r w:rsidRPr="00B56D57">
        <w:rPr>
          <w:u w:val="single"/>
          <w:lang w:val="fr-FR"/>
        </w:rPr>
        <w:t>L'emploi d'alliages d'aluminium ou des matières plastiques pour les voies de passage (passerelles) dans la zone de cargaison n'est autorisé que si le matériau est difficilement inflammable et électriquement conducteur. »</w:t>
      </w:r>
    </w:p>
    <w:p w:rsidR="00B56D57" w:rsidRPr="00AB2C5F" w:rsidRDefault="00A50206" w:rsidP="00B56D57">
      <w:pPr>
        <w:pStyle w:val="SingleTxtG"/>
        <w:rPr>
          <w:lang w:val="fr-FR"/>
        </w:rPr>
      </w:pPr>
      <w:r>
        <w:rPr>
          <w:lang w:val="fr-FR"/>
        </w:rPr>
        <w:t>6.</w:t>
      </w:r>
      <w:r>
        <w:rPr>
          <w:lang w:val="fr-FR"/>
        </w:rPr>
        <w:tab/>
      </w:r>
      <w:r w:rsidR="00B56D57" w:rsidRPr="00AB2C5F">
        <w:rPr>
          <w:lang w:val="fr-FR"/>
        </w:rPr>
        <w:t xml:space="preserve">La teneur des sous-sections 9.3.x.0.3 est </w:t>
      </w:r>
      <w:r>
        <w:rPr>
          <w:lang w:val="fr-FR"/>
        </w:rPr>
        <w:t>présentée sous forme de tableau, voir annexe</w:t>
      </w:r>
      <w:r w:rsidR="00B56D57" w:rsidRPr="00AB2C5F">
        <w:rPr>
          <w:lang w:val="fr-FR"/>
        </w:rPr>
        <w:t>:</w:t>
      </w:r>
    </w:p>
    <w:p w:rsidR="00B56D57" w:rsidRPr="00AB2C5F" w:rsidRDefault="00A50206" w:rsidP="00B56D57">
      <w:pPr>
        <w:pStyle w:val="SingleTxtG"/>
        <w:rPr>
          <w:lang w:val="fr-FR"/>
        </w:rPr>
      </w:pPr>
      <w:r>
        <w:rPr>
          <w:lang w:val="fr-FR"/>
        </w:rPr>
        <w:t>7.</w:t>
      </w:r>
      <w:r>
        <w:rPr>
          <w:lang w:val="fr-FR"/>
        </w:rPr>
        <w:tab/>
      </w:r>
      <w:r w:rsidR="00B56D57" w:rsidRPr="00AB2C5F">
        <w:rPr>
          <w:lang w:val="fr-FR"/>
        </w:rPr>
        <w:t>Par rapport aux versions antérieures du tableau ont été apportées entre temps les modifications suivantes :</w:t>
      </w:r>
    </w:p>
    <w:p w:rsidR="00B56D57" w:rsidRPr="00AB2C5F" w:rsidRDefault="00B56D57" w:rsidP="00B56D57">
      <w:pPr>
        <w:pStyle w:val="SingleTxtG"/>
        <w:ind w:firstLine="567"/>
        <w:rPr>
          <w:lang w:val="fr-FR"/>
        </w:rPr>
      </w:pPr>
      <w:r w:rsidRPr="00AB2C5F">
        <w:rPr>
          <w:lang w:val="fr-FR"/>
        </w:rPr>
        <w:t>-</w:t>
      </w:r>
      <w:r w:rsidRPr="00AB2C5F">
        <w:rPr>
          <w:lang w:val="fr-FR"/>
        </w:rPr>
        <w:tab/>
        <w:t xml:space="preserve">à la ligne Echelles extérieures et passages (passerelles), une note de bas de </w:t>
      </w:r>
      <w:r>
        <w:rPr>
          <w:lang w:val="fr-FR"/>
        </w:rPr>
        <w:tab/>
      </w:r>
      <w:r w:rsidRPr="00AB2C5F">
        <w:rPr>
          <w:lang w:val="fr-FR"/>
        </w:rPr>
        <w:t>page renvoie à la sous-section 9.3.x.0.5.</w:t>
      </w:r>
    </w:p>
    <w:p w:rsidR="00B56D57" w:rsidRPr="00AB2C5F" w:rsidRDefault="00B56D57" w:rsidP="00B56D57">
      <w:pPr>
        <w:pStyle w:val="SingleTxtG"/>
        <w:ind w:firstLine="567"/>
        <w:rPr>
          <w:lang w:val="fr-FR"/>
        </w:rPr>
      </w:pPr>
      <w:r w:rsidRPr="00AB2C5F">
        <w:rPr>
          <w:lang w:val="fr-FR"/>
        </w:rPr>
        <w:t>-</w:t>
      </w:r>
      <w:r w:rsidRPr="00AB2C5F">
        <w:rPr>
          <w:lang w:val="fr-FR"/>
        </w:rPr>
        <w:tab/>
        <w:t xml:space="preserve">une nouvelle ligne a été insérée pour les extincteurs portatifs </w:t>
      </w:r>
      <w:r w:rsidRPr="00AB2C5F">
        <w:rPr>
          <w:u w:val="single"/>
          <w:lang w:val="fr-FR"/>
        </w:rPr>
        <w:t xml:space="preserve">en matière </w:t>
      </w:r>
      <w:r w:rsidRPr="00B56D57">
        <w:rPr>
          <w:lang w:val="fr-FR"/>
        </w:rPr>
        <w:tab/>
      </w:r>
      <w:r w:rsidRPr="00AB2C5F">
        <w:rPr>
          <w:u w:val="single"/>
          <w:lang w:val="fr-FR"/>
        </w:rPr>
        <w:t>plastique</w:t>
      </w:r>
      <w:r w:rsidRPr="00AB2C5F">
        <w:rPr>
          <w:lang w:val="fr-FR"/>
        </w:rPr>
        <w:t>.</w:t>
      </w:r>
    </w:p>
    <w:p w:rsidR="00B56D57" w:rsidRPr="00AB2C5F" w:rsidRDefault="00B56D57" w:rsidP="00B56D57">
      <w:pPr>
        <w:pStyle w:val="SingleTxtG"/>
        <w:ind w:firstLine="567"/>
        <w:rPr>
          <w:lang w:val="fr-FR"/>
        </w:rPr>
      </w:pPr>
      <w:r w:rsidRPr="00AB2C5F">
        <w:rPr>
          <w:lang w:val="fr-FR"/>
        </w:rPr>
        <w:t>-</w:t>
      </w:r>
      <w:r w:rsidRPr="00AB2C5F">
        <w:rPr>
          <w:lang w:val="fr-FR"/>
        </w:rPr>
        <w:tab/>
        <w:t xml:space="preserve">à la ligne </w:t>
      </w:r>
      <w:r w:rsidRPr="00AB2C5F">
        <w:rPr>
          <w:u w:val="single"/>
          <w:lang w:val="fr-FR"/>
        </w:rPr>
        <w:t>couverture</w:t>
      </w:r>
      <w:r w:rsidRPr="00AB2C5F">
        <w:rPr>
          <w:lang w:val="fr-FR"/>
        </w:rPr>
        <w:t xml:space="preserve"> de protection de moteurs et de pompes était utilisé </w:t>
      </w:r>
      <w:r>
        <w:rPr>
          <w:lang w:val="fr-FR"/>
        </w:rPr>
        <w:tab/>
      </w:r>
      <w:r w:rsidRPr="00AB2C5F">
        <w:rPr>
          <w:lang w:val="fr-FR"/>
        </w:rPr>
        <w:t xml:space="preserve">jusque là </w:t>
      </w:r>
      <w:r w:rsidRPr="00AB2C5F">
        <w:rPr>
          <w:i/>
          <w:lang w:val="fr-FR"/>
        </w:rPr>
        <w:t>habillage</w:t>
      </w:r>
      <w:r w:rsidRPr="00AB2C5F">
        <w:rPr>
          <w:lang w:val="fr-FR"/>
        </w:rPr>
        <w:t xml:space="preserve"> de protection.</w:t>
      </w:r>
    </w:p>
    <w:p w:rsidR="00B56D57" w:rsidRPr="00AB2C5F" w:rsidRDefault="00B56D57" w:rsidP="00B56D57">
      <w:pPr>
        <w:pStyle w:val="SingleTxtG"/>
        <w:ind w:left="1701"/>
        <w:rPr>
          <w:lang w:val="fr-FR"/>
        </w:rPr>
      </w:pPr>
      <w:r w:rsidRPr="00AB2C5F">
        <w:rPr>
          <w:lang w:val="fr-FR"/>
        </w:rPr>
        <w:t>-</w:t>
      </w:r>
      <w:r w:rsidRPr="00AB2C5F">
        <w:rPr>
          <w:lang w:val="fr-FR"/>
        </w:rPr>
        <w:tab/>
        <w:t>Les caisses, armoires ou conteneurs placés sur le pont pour le stockage de pièces d'équipements mobiles peuvent aussi être réalisés en bois ; le « X » manquait jusqu'ici dans la colonne Bois.</w:t>
      </w:r>
    </w:p>
    <w:p w:rsidR="00B56D57" w:rsidRPr="00AB2C5F" w:rsidRDefault="00B56D57" w:rsidP="00B56D57">
      <w:pPr>
        <w:pStyle w:val="SingleTxtG"/>
        <w:rPr>
          <w:lang w:val="fr-FR"/>
        </w:rPr>
      </w:pPr>
    </w:p>
    <w:p w:rsidR="00AE2D4C" w:rsidRDefault="00AE2D4C" w:rsidP="004F4A88">
      <w:pPr>
        <w:tabs>
          <w:tab w:val="left" w:pos="567"/>
          <w:tab w:val="left" w:pos="1985"/>
          <w:tab w:val="left" w:pos="2552"/>
          <w:tab w:val="left" w:pos="3119"/>
          <w:tab w:val="left" w:pos="3686"/>
        </w:tabs>
        <w:ind w:left="1134" w:right="567"/>
        <w:jc w:val="both"/>
        <w:rPr>
          <w:lang w:val="fr-FR"/>
        </w:rPr>
        <w:sectPr w:rsidR="00AE2D4C" w:rsidSect="001E6BB6">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pPr>
    </w:p>
    <w:p w:rsidR="00A50206" w:rsidRDefault="00A50206" w:rsidP="00A50206">
      <w:pPr>
        <w:pStyle w:val="HChG"/>
        <w:rPr>
          <w:b w:val="0"/>
          <w:lang w:val="fr-FR"/>
        </w:rPr>
      </w:pPr>
      <w:r>
        <w:rPr>
          <w:lang w:val="fr-FR"/>
        </w:rPr>
        <w:lastRenderedPageBreak/>
        <w:t>Annexe</w:t>
      </w:r>
    </w:p>
    <w:p w:rsidR="00AE2D4C" w:rsidRPr="00AE2D4C" w:rsidRDefault="00AE2D4C" w:rsidP="00AE2D4C">
      <w:pPr>
        <w:pStyle w:val="SingleTxtG"/>
        <w:rPr>
          <w:b/>
          <w:lang w:val="fr-FR"/>
        </w:rPr>
      </w:pPr>
      <w:r w:rsidRPr="00AE2D4C">
        <w:rPr>
          <w:b/>
          <w:lang w:val="fr-FR"/>
        </w:rPr>
        <w:t>9.3.1.0.3 , 9.3.2.0.3, 9.3.3.0.3</w:t>
      </w:r>
    </w:p>
    <w:p w:rsidR="00AE2D4C" w:rsidRPr="00AB2C5F" w:rsidRDefault="00AE2D4C" w:rsidP="00A50206">
      <w:pPr>
        <w:pStyle w:val="SingleTxtG"/>
        <w:spacing w:after="0"/>
        <w:rPr>
          <w:lang w:val="fr-FR"/>
        </w:rPr>
      </w:pPr>
      <w:r w:rsidRPr="00AB2C5F">
        <w:rPr>
          <w:lang w:val="fr-FR"/>
        </w:rPr>
        <w:t>L'emploi du bois, des alliages d'aluminium, des matières plastiques ou des caoutchoucs dans la zone de cargaison n'est autorisé que suivant le tableau ci-après (</w:t>
      </w:r>
      <w:r w:rsidRPr="00AB2C5F">
        <w:rPr>
          <w:i/>
          <w:lang w:val="fr-FR"/>
        </w:rPr>
        <w:t>X signifie autorisé</w:t>
      </w:r>
      <w:r w:rsidRPr="00AB2C5F">
        <w:rPr>
          <w:lang w:val="fr-FR"/>
        </w:rPr>
        <w:t>) :</w:t>
      </w:r>
    </w:p>
    <w:tbl>
      <w:tblPr>
        <w:tblW w:w="12348" w:type="dxa"/>
        <w:tblInd w:w="55" w:type="dxa"/>
        <w:tblCellMar>
          <w:left w:w="70" w:type="dxa"/>
          <w:right w:w="70" w:type="dxa"/>
        </w:tblCellMar>
        <w:tblLook w:val="04A0" w:firstRow="1" w:lastRow="0" w:firstColumn="1" w:lastColumn="0" w:noHBand="0" w:noVBand="1"/>
      </w:tblPr>
      <w:tblGrid>
        <w:gridCol w:w="5115"/>
        <w:gridCol w:w="1988"/>
        <w:gridCol w:w="1984"/>
        <w:gridCol w:w="1843"/>
        <w:gridCol w:w="1418"/>
      </w:tblGrid>
      <w:tr w:rsidR="00AE2D4C" w:rsidRPr="00AB2C5F" w:rsidTr="00AE2D4C">
        <w:trPr>
          <w:trHeight w:val="227"/>
        </w:trPr>
        <w:tc>
          <w:tcPr>
            <w:tcW w:w="511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E2D4C" w:rsidRPr="00AB2C5F" w:rsidRDefault="00AE2D4C" w:rsidP="00B8792F">
            <w:pPr>
              <w:rPr>
                <w:i/>
                <w:lang w:val="fr-FR"/>
              </w:rPr>
            </w:pPr>
          </w:p>
        </w:tc>
        <w:tc>
          <w:tcPr>
            <w:tcW w:w="1988" w:type="dxa"/>
            <w:tcBorders>
              <w:top w:val="single" w:sz="4" w:space="0" w:color="auto"/>
              <w:left w:val="nil"/>
              <w:bottom w:val="single" w:sz="8" w:space="0" w:color="auto"/>
              <w:right w:val="single" w:sz="8" w:space="0" w:color="auto"/>
            </w:tcBorders>
            <w:shd w:val="clear" w:color="auto" w:fill="auto"/>
            <w:noWrap/>
            <w:vAlign w:val="bottom"/>
            <w:hideMark/>
          </w:tcPr>
          <w:p w:rsidR="00AE2D4C" w:rsidRPr="00AB2C5F" w:rsidRDefault="00AE2D4C" w:rsidP="00B8792F">
            <w:pPr>
              <w:jc w:val="center"/>
              <w:rPr>
                <w:i/>
                <w:lang w:val="fr-FR"/>
              </w:rPr>
            </w:pPr>
            <w:r w:rsidRPr="00AB2C5F">
              <w:rPr>
                <w:i/>
                <w:lang w:val="fr-FR"/>
              </w:rPr>
              <w:t>Bois</w:t>
            </w:r>
          </w:p>
        </w:tc>
        <w:tc>
          <w:tcPr>
            <w:tcW w:w="1984" w:type="dxa"/>
            <w:tcBorders>
              <w:top w:val="single" w:sz="4" w:space="0" w:color="auto"/>
              <w:left w:val="nil"/>
              <w:bottom w:val="single" w:sz="8" w:space="0" w:color="auto"/>
              <w:right w:val="single" w:sz="8" w:space="0" w:color="auto"/>
            </w:tcBorders>
            <w:shd w:val="clear" w:color="auto" w:fill="auto"/>
            <w:noWrap/>
            <w:vAlign w:val="bottom"/>
            <w:hideMark/>
          </w:tcPr>
          <w:p w:rsidR="00AE2D4C" w:rsidRPr="00AB2C5F" w:rsidRDefault="00AE2D4C" w:rsidP="00B8792F">
            <w:pPr>
              <w:jc w:val="center"/>
              <w:rPr>
                <w:i/>
                <w:lang w:val="fr-FR"/>
              </w:rPr>
            </w:pPr>
            <w:r w:rsidRPr="00AB2C5F">
              <w:rPr>
                <w:i/>
                <w:lang w:val="fr-FR"/>
              </w:rPr>
              <w:t>Alliages d’aluminium</w:t>
            </w:r>
          </w:p>
        </w:tc>
        <w:tc>
          <w:tcPr>
            <w:tcW w:w="1843" w:type="dxa"/>
            <w:tcBorders>
              <w:top w:val="single" w:sz="4" w:space="0" w:color="auto"/>
              <w:left w:val="nil"/>
              <w:bottom w:val="single" w:sz="8" w:space="0" w:color="auto"/>
              <w:right w:val="single" w:sz="8" w:space="0" w:color="auto"/>
            </w:tcBorders>
            <w:shd w:val="clear" w:color="auto" w:fill="auto"/>
            <w:noWrap/>
            <w:vAlign w:val="bottom"/>
            <w:hideMark/>
          </w:tcPr>
          <w:p w:rsidR="00AE2D4C" w:rsidRPr="00AB2C5F" w:rsidRDefault="00AE2D4C" w:rsidP="00B8792F">
            <w:pPr>
              <w:jc w:val="center"/>
              <w:rPr>
                <w:i/>
                <w:lang w:val="fr-FR"/>
              </w:rPr>
            </w:pPr>
            <w:r w:rsidRPr="00AB2C5F">
              <w:rPr>
                <w:i/>
                <w:lang w:val="fr-FR"/>
              </w:rPr>
              <w:t>Matière plastique</w:t>
            </w: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rsidR="00AE2D4C" w:rsidRPr="00AB2C5F" w:rsidRDefault="00AE2D4C" w:rsidP="00B8792F">
            <w:pPr>
              <w:jc w:val="center"/>
              <w:rPr>
                <w:i/>
                <w:lang w:val="fr-FR"/>
              </w:rPr>
            </w:pPr>
            <w:r w:rsidRPr="00AB2C5F">
              <w:rPr>
                <w:i/>
                <w:lang w:val="fr-FR"/>
              </w:rPr>
              <w:t>Caoutchouc</w:t>
            </w:r>
          </w:p>
        </w:tc>
      </w:tr>
      <w:tr w:rsidR="00AE2D4C" w:rsidRPr="00AB2C5F" w:rsidTr="00AE2D4C">
        <w:trPr>
          <w:trHeight w:val="227"/>
        </w:trPr>
        <w:tc>
          <w:tcPr>
            <w:tcW w:w="5115" w:type="dxa"/>
            <w:tcBorders>
              <w:top w:val="nil"/>
              <w:left w:val="single" w:sz="8" w:space="0" w:color="auto"/>
              <w:bottom w:val="single" w:sz="4" w:space="0" w:color="auto"/>
              <w:right w:val="single" w:sz="8" w:space="0" w:color="auto"/>
            </w:tcBorders>
            <w:shd w:val="clear" w:color="auto" w:fill="auto"/>
            <w:vAlign w:val="bottom"/>
            <w:hideMark/>
          </w:tcPr>
          <w:p w:rsidR="00AE2D4C" w:rsidRPr="00AB2C5F" w:rsidRDefault="00AE2D4C" w:rsidP="00B8792F">
            <w:pPr>
              <w:rPr>
                <w:lang w:val="fr-FR"/>
              </w:rPr>
            </w:pPr>
            <w:r w:rsidRPr="00AB2C5F">
              <w:rPr>
                <w:lang w:val="fr-FR"/>
              </w:rPr>
              <w:t>Passerelles</w:t>
            </w:r>
          </w:p>
        </w:tc>
        <w:tc>
          <w:tcPr>
            <w:tcW w:w="198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984"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843"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41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r>
      <w:tr w:rsidR="00AE2D4C" w:rsidRPr="00AB2C5F" w:rsidTr="00AE2D4C">
        <w:trPr>
          <w:trHeight w:val="227"/>
        </w:trPr>
        <w:tc>
          <w:tcPr>
            <w:tcW w:w="5115" w:type="dxa"/>
            <w:tcBorders>
              <w:top w:val="nil"/>
              <w:left w:val="single" w:sz="8" w:space="0" w:color="auto"/>
              <w:bottom w:val="single" w:sz="4" w:space="0" w:color="auto"/>
              <w:right w:val="single" w:sz="8" w:space="0" w:color="auto"/>
            </w:tcBorders>
            <w:shd w:val="clear" w:color="auto" w:fill="auto"/>
            <w:vAlign w:val="bottom"/>
            <w:hideMark/>
          </w:tcPr>
          <w:p w:rsidR="00AE2D4C" w:rsidRPr="00AB2C5F" w:rsidRDefault="00AE2D4C" w:rsidP="00B8792F">
            <w:pPr>
              <w:rPr>
                <w:lang w:val="fr-FR"/>
              </w:rPr>
            </w:pPr>
            <w:r w:rsidRPr="00AB2C5F">
              <w:rPr>
                <w:lang w:val="fr-FR"/>
              </w:rPr>
              <w:t>Échelles extérieures et passages (passerelles)</w:t>
            </w:r>
          </w:p>
        </w:tc>
        <w:tc>
          <w:tcPr>
            <w:tcW w:w="198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c>
          <w:tcPr>
            <w:tcW w:w="1984"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843"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41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r>
      <w:tr w:rsidR="00AE2D4C" w:rsidRPr="00AB2C5F" w:rsidTr="00AE2D4C">
        <w:trPr>
          <w:trHeight w:val="227"/>
        </w:trPr>
        <w:tc>
          <w:tcPr>
            <w:tcW w:w="5115" w:type="dxa"/>
            <w:tcBorders>
              <w:top w:val="nil"/>
              <w:left w:val="single" w:sz="8" w:space="0" w:color="auto"/>
              <w:bottom w:val="single" w:sz="4" w:space="0" w:color="auto"/>
              <w:right w:val="single" w:sz="8" w:space="0" w:color="auto"/>
            </w:tcBorders>
            <w:shd w:val="clear" w:color="auto" w:fill="auto"/>
            <w:vAlign w:val="bottom"/>
            <w:hideMark/>
          </w:tcPr>
          <w:p w:rsidR="00AE2D4C" w:rsidRPr="00AB2C5F" w:rsidRDefault="00AE2D4C" w:rsidP="00B8792F">
            <w:pPr>
              <w:rPr>
                <w:lang w:val="fr-FR"/>
              </w:rPr>
            </w:pPr>
            <w:r w:rsidRPr="00AB2C5F">
              <w:rPr>
                <w:lang w:val="fr-FR"/>
              </w:rPr>
              <w:t>Calage de citernes à cargaison indépendantes de la coque et calage d'installations et équipements</w:t>
            </w:r>
          </w:p>
        </w:tc>
        <w:tc>
          <w:tcPr>
            <w:tcW w:w="198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984"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c>
          <w:tcPr>
            <w:tcW w:w="1843"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41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r>
      <w:tr w:rsidR="00AE2D4C" w:rsidRPr="00AB2C5F" w:rsidTr="00AE2D4C">
        <w:trPr>
          <w:trHeight w:val="227"/>
        </w:trPr>
        <w:tc>
          <w:tcPr>
            <w:tcW w:w="5115" w:type="dxa"/>
            <w:tcBorders>
              <w:top w:val="nil"/>
              <w:left w:val="single" w:sz="8" w:space="0" w:color="auto"/>
              <w:bottom w:val="single" w:sz="4" w:space="0" w:color="auto"/>
              <w:right w:val="single" w:sz="8" w:space="0" w:color="auto"/>
            </w:tcBorders>
            <w:shd w:val="clear" w:color="auto" w:fill="auto"/>
            <w:vAlign w:val="bottom"/>
            <w:hideMark/>
          </w:tcPr>
          <w:p w:rsidR="00AE2D4C" w:rsidRPr="00AB2C5F" w:rsidRDefault="00AE2D4C" w:rsidP="00B8792F">
            <w:pPr>
              <w:rPr>
                <w:lang w:val="fr-FR"/>
              </w:rPr>
            </w:pPr>
            <w:r w:rsidRPr="00AB2C5F">
              <w:rPr>
                <w:lang w:val="fr-FR"/>
              </w:rPr>
              <w:t>Mâts, hampes de drapeau et mâtures similaires</w:t>
            </w:r>
          </w:p>
        </w:tc>
        <w:tc>
          <w:tcPr>
            <w:tcW w:w="198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984"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843"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41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r>
      <w:tr w:rsidR="00AE2D4C" w:rsidRPr="00AB2C5F" w:rsidTr="00AE2D4C">
        <w:trPr>
          <w:trHeight w:val="227"/>
        </w:trPr>
        <w:tc>
          <w:tcPr>
            <w:tcW w:w="5115" w:type="dxa"/>
            <w:tcBorders>
              <w:top w:val="nil"/>
              <w:left w:val="single" w:sz="8" w:space="0" w:color="auto"/>
              <w:bottom w:val="single" w:sz="4" w:space="0" w:color="auto"/>
              <w:right w:val="single" w:sz="8" w:space="0" w:color="auto"/>
            </w:tcBorders>
            <w:shd w:val="clear" w:color="auto" w:fill="auto"/>
            <w:vAlign w:val="bottom"/>
            <w:hideMark/>
          </w:tcPr>
          <w:p w:rsidR="00AE2D4C" w:rsidRPr="00AB2C5F" w:rsidRDefault="00AE2D4C" w:rsidP="00B8792F">
            <w:pPr>
              <w:rPr>
                <w:lang w:val="fr-FR"/>
              </w:rPr>
            </w:pPr>
            <w:r w:rsidRPr="00AB2C5F">
              <w:rPr>
                <w:lang w:val="fr-FR"/>
              </w:rPr>
              <w:t>Parties de machines</w:t>
            </w:r>
          </w:p>
        </w:tc>
        <w:tc>
          <w:tcPr>
            <w:tcW w:w="198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c>
          <w:tcPr>
            <w:tcW w:w="1984"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843"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41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r>
      <w:tr w:rsidR="00AE2D4C" w:rsidRPr="00AB2C5F" w:rsidTr="00AE2D4C">
        <w:trPr>
          <w:trHeight w:val="227"/>
        </w:trPr>
        <w:tc>
          <w:tcPr>
            <w:tcW w:w="5115" w:type="dxa"/>
            <w:tcBorders>
              <w:top w:val="nil"/>
              <w:left w:val="single" w:sz="8" w:space="0" w:color="auto"/>
              <w:bottom w:val="single" w:sz="4" w:space="0" w:color="auto"/>
              <w:right w:val="single" w:sz="8" w:space="0" w:color="auto"/>
            </w:tcBorders>
            <w:shd w:val="clear" w:color="auto" w:fill="auto"/>
            <w:vAlign w:val="bottom"/>
            <w:hideMark/>
          </w:tcPr>
          <w:p w:rsidR="00AE2D4C" w:rsidRPr="00AB2C5F" w:rsidRDefault="00AE2D4C" w:rsidP="00B8792F">
            <w:pPr>
              <w:rPr>
                <w:lang w:val="fr-FR"/>
              </w:rPr>
            </w:pPr>
            <w:r w:rsidRPr="00AB2C5F">
              <w:rPr>
                <w:lang w:val="fr-FR"/>
              </w:rPr>
              <w:t>Couvertures de protection de moteurs et de pompes</w:t>
            </w:r>
          </w:p>
        </w:tc>
        <w:tc>
          <w:tcPr>
            <w:tcW w:w="198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c>
          <w:tcPr>
            <w:tcW w:w="1984"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c>
          <w:tcPr>
            <w:tcW w:w="1843"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41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r>
      <w:tr w:rsidR="00AE2D4C" w:rsidRPr="00AB2C5F" w:rsidTr="00AE2D4C">
        <w:trPr>
          <w:trHeight w:val="227"/>
        </w:trPr>
        <w:tc>
          <w:tcPr>
            <w:tcW w:w="5115" w:type="dxa"/>
            <w:tcBorders>
              <w:top w:val="nil"/>
              <w:left w:val="single" w:sz="8" w:space="0" w:color="auto"/>
              <w:bottom w:val="single" w:sz="4" w:space="0" w:color="auto"/>
              <w:right w:val="single" w:sz="8" w:space="0" w:color="auto"/>
            </w:tcBorders>
            <w:shd w:val="clear" w:color="auto" w:fill="auto"/>
            <w:vAlign w:val="bottom"/>
            <w:hideMark/>
          </w:tcPr>
          <w:p w:rsidR="00AE2D4C" w:rsidRPr="00AB2C5F" w:rsidRDefault="00AE2D4C" w:rsidP="00B8792F">
            <w:pPr>
              <w:rPr>
                <w:lang w:val="fr-FR"/>
              </w:rPr>
            </w:pPr>
            <w:r w:rsidRPr="00AB2C5F">
              <w:rPr>
                <w:lang w:val="fr-FR"/>
              </w:rPr>
              <w:t>Parties de l'installation électrique, y compris isolations, joints d’étanchéité, etc.</w:t>
            </w:r>
          </w:p>
        </w:tc>
        <w:tc>
          <w:tcPr>
            <w:tcW w:w="198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c>
          <w:tcPr>
            <w:tcW w:w="1984"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843"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41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r>
      <w:tr w:rsidR="00AE2D4C" w:rsidRPr="00AB2C5F" w:rsidTr="00AE2D4C">
        <w:trPr>
          <w:trHeight w:val="227"/>
        </w:trPr>
        <w:tc>
          <w:tcPr>
            <w:tcW w:w="5115" w:type="dxa"/>
            <w:tcBorders>
              <w:top w:val="nil"/>
              <w:left w:val="single" w:sz="8" w:space="0" w:color="auto"/>
              <w:bottom w:val="single" w:sz="4" w:space="0" w:color="auto"/>
              <w:right w:val="single" w:sz="8" w:space="0" w:color="auto"/>
            </w:tcBorders>
            <w:shd w:val="clear" w:color="auto" w:fill="auto"/>
            <w:vAlign w:val="bottom"/>
            <w:hideMark/>
          </w:tcPr>
          <w:p w:rsidR="00AE2D4C" w:rsidRPr="00AB2C5F" w:rsidRDefault="00AE2D4C" w:rsidP="00B8792F">
            <w:pPr>
              <w:rPr>
                <w:lang w:val="fr-FR"/>
              </w:rPr>
            </w:pPr>
            <w:r w:rsidRPr="00AB2C5F">
              <w:rPr>
                <w:lang w:val="fr-FR"/>
              </w:rPr>
              <w:t>Parties de l'installation de chargement et de déchargement, y-compris joints d'étanchéité, etc.</w:t>
            </w:r>
          </w:p>
        </w:tc>
        <w:tc>
          <w:tcPr>
            <w:tcW w:w="198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c>
          <w:tcPr>
            <w:tcW w:w="1984"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843"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41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r>
      <w:tr w:rsidR="00AE2D4C" w:rsidRPr="00AB2C5F" w:rsidTr="00AE2D4C">
        <w:trPr>
          <w:trHeight w:val="227"/>
        </w:trPr>
        <w:tc>
          <w:tcPr>
            <w:tcW w:w="5115" w:type="dxa"/>
            <w:tcBorders>
              <w:top w:val="nil"/>
              <w:left w:val="single" w:sz="8" w:space="0" w:color="auto"/>
              <w:bottom w:val="single" w:sz="4" w:space="0" w:color="auto"/>
              <w:right w:val="single" w:sz="8" w:space="0" w:color="auto"/>
            </w:tcBorders>
            <w:shd w:val="clear" w:color="auto" w:fill="auto"/>
            <w:vAlign w:val="bottom"/>
            <w:hideMark/>
          </w:tcPr>
          <w:p w:rsidR="00AE2D4C" w:rsidRPr="00AB2C5F" w:rsidRDefault="00AE2D4C" w:rsidP="00B8792F">
            <w:pPr>
              <w:rPr>
                <w:lang w:val="fr-FR"/>
              </w:rPr>
            </w:pPr>
            <w:r w:rsidRPr="00AB2C5F">
              <w:rPr>
                <w:lang w:val="fr-FR"/>
              </w:rPr>
              <w:t xml:space="preserve">Caisses, armoires ou conteneurs placés sur le pont pour le stockage de pièces d'équipements mobiles, </w:t>
            </w:r>
          </w:p>
        </w:tc>
        <w:tc>
          <w:tcPr>
            <w:tcW w:w="198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984"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sz w:val="22"/>
                <w:szCs w:val="22"/>
                <w:lang w:val="fr-FR"/>
              </w:rPr>
            </w:pPr>
            <w:r w:rsidRPr="00AB2C5F">
              <w:rPr>
                <w:sz w:val="22"/>
                <w:szCs w:val="22"/>
                <w:lang w:val="fr-FR"/>
              </w:rPr>
              <w:t>X</w:t>
            </w:r>
          </w:p>
        </w:tc>
        <w:tc>
          <w:tcPr>
            <w:tcW w:w="1843"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sz w:val="22"/>
                <w:szCs w:val="22"/>
                <w:lang w:val="fr-FR"/>
              </w:rPr>
            </w:pPr>
            <w:r w:rsidRPr="00AB2C5F">
              <w:rPr>
                <w:sz w:val="22"/>
                <w:szCs w:val="22"/>
                <w:lang w:val="fr-FR"/>
              </w:rPr>
              <w:t>X</w:t>
            </w:r>
          </w:p>
        </w:tc>
        <w:tc>
          <w:tcPr>
            <w:tcW w:w="141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r>
      <w:tr w:rsidR="00AE2D4C" w:rsidRPr="00AB2C5F" w:rsidTr="00AE2D4C">
        <w:trPr>
          <w:trHeight w:val="227"/>
        </w:trPr>
        <w:tc>
          <w:tcPr>
            <w:tcW w:w="5115" w:type="dxa"/>
            <w:tcBorders>
              <w:top w:val="nil"/>
              <w:left w:val="single" w:sz="8" w:space="0" w:color="auto"/>
              <w:bottom w:val="single" w:sz="4" w:space="0" w:color="auto"/>
              <w:right w:val="single" w:sz="8" w:space="0" w:color="auto"/>
            </w:tcBorders>
            <w:shd w:val="clear" w:color="auto" w:fill="auto"/>
            <w:vAlign w:val="bottom"/>
            <w:hideMark/>
          </w:tcPr>
          <w:p w:rsidR="00AE2D4C" w:rsidRPr="00AB2C5F" w:rsidRDefault="00AE2D4C" w:rsidP="00B8792F">
            <w:pPr>
              <w:rPr>
                <w:lang w:val="fr-FR"/>
              </w:rPr>
            </w:pPr>
            <w:r w:rsidRPr="00AB2C5F">
              <w:rPr>
                <w:lang w:val="fr-FR"/>
              </w:rPr>
              <w:t>Supports ou butées de tous types.</w:t>
            </w:r>
          </w:p>
        </w:tc>
        <w:tc>
          <w:tcPr>
            <w:tcW w:w="198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984"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c>
          <w:tcPr>
            <w:tcW w:w="1843"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41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r>
      <w:tr w:rsidR="00AE2D4C" w:rsidRPr="00AB2C5F" w:rsidTr="00AE2D4C">
        <w:trPr>
          <w:trHeight w:val="227"/>
        </w:trPr>
        <w:tc>
          <w:tcPr>
            <w:tcW w:w="5115" w:type="dxa"/>
            <w:tcBorders>
              <w:top w:val="nil"/>
              <w:left w:val="single" w:sz="8" w:space="0" w:color="auto"/>
              <w:bottom w:val="single" w:sz="4" w:space="0" w:color="auto"/>
              <w:right w:val="single" w:sz="8" w:space="0" w:color="auto"/>
            </w:tcBorders>
            <w:shd w:val="clear" w:color="auto" w:fill="auto"/>
            <w:vAlign w:val="bottom"/>
            <w:hideMark/>
          </w:tcPr>
          <w:p w:rsidR="00AE2D4C" w:rsidRPr="00AB2C5F" w:rsidRDefault="00AE2D4C" w:rsidP="00B8792F">
            <w:pPr>
              <w:rPr>
                <w:lang w:val="fr-FR"/>
              </w:rPr>
            </w:pPr>
            <w:r w:rsidRPr="00AB2C5F">
              <w:rPr>
                <w:lang w:val="fr-FR"/>
              </w:rPr>
              <w:t>Ventilateurs, y compris les tuyauteries flexibles pour la ventilation</w:t>
            </w:r>
          </w:p>
        </w:tc>
        <w:tc>
          <w:tcPr>
            <w:tcW w:w="198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c>
          <w:tcPr>
            <w:tcW w:w="1984"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sz w:val="22"/>
                <w:szCs w:val="22"/>
                <w:lang w:val="fr-FR"/>
              </w:rPr>
            </w:pPr>
            <w:r w:rsidRPr="00AB2C5F">
              <w:rPr>
                <w:sz w:val="22"/>
                <w:szCs w:val="22"/>
                <w:lang w:val="fr-FR"/>
              </w:rPr>
              <w:t>X</w:t>
            </w:r>
          </w:p>
        </w:tc>
        <w:tc>
          <w:tcPr>
            <w:tcW w:w="1843"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sz w:val="22"/>
                <w:szCs w:val="22"/>
                <w:lang w:val="fr-FR"/>
              </w:rPr>
            </w:pPr>
            <w:r w:rsidRPr="00AB2C5F">
              <w:rPr>
                <w:sz w:val="22"/>
                <w:szCs w:val="22"/>
                <w:lang w:val="fr-FR"/>
              </w:rPr>
              <w:t>X</w:t>
            </w:r>
          </w:p>
        </w:tc>
        <w:tc>
          <w:tcPr>
            <w:tcW w:w="141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r>
      <w:tr w:rsidR="00AE2D4C" w:rsidRPr="00AB2C5F" w:rsidTr="00AE2D4C">
        <w:trPr>
          <w:trHeight w:val="227"/>
        </w:trPr>
        <w:tc>
          <w:tcPr>
            <w:tcW w:w="5115" w:type="dxa"/>
            <w:tcBorders>
              <w:top w:val="nil"/>
              <w:left w:val="single" w:sz="8" w:space="0" w:color="auto"/>
              <w:bottom w:val="single" w:sz="4" w:space="0" w:color="auto"/>
              <w:right w:val="single" w:sz="8" w:space="0" w:color="auto"/>
            </w:tcBorders>
            <w:shd w:val="clear" w:color="auto" w:fill="auto"/>
            <w:vAlign w:val="bottom"/>
            <w:hideMark/>
          </w:tcPr>
          <w:p w:rsidR="00AE2D4C" w:rsidRPr="00AB2C5F" w:rsidRDefault="00AE2D4C" w:rsidP="00B8792F">
            <w:pPr>
              <w:rPr>
                <w:lang w:val="fr-FR"/>
              </w:rPr>
            </w:pPr>
            <w:r w:rsidRPr="00AB2C5F">
              <w:rPr>
                <w:lang w:val="fr-FR"/>
              </w:rPr>
              <w:t>Extincteurs portatifs</w:t>
            </w:r>
          </w:p>
        </w:tc>
        <w:tc>
          <w:tcPr>
            <w:tcW w:w="198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c>
          <w:tcPr>
            <w:tcW w:w="1984"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sz w:val="22"/>
                <w:szCs w:val="22"/>
                <w:lang w:val="fr-FR"/>
              </w:rPr>
            </w:pPr>
          </w:p>
        </w:tc>
        <w:tc>
          <w:tcPr>
            <w:tcW w:w="1843"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sz w:val="22"/>
                <w:szCs w:val="22"/>
                <w:lang w:val="fr-FR"/>
              </w:rPr>
            </w:pPr>
            <w:r w:rsidRPr="00AB2C5F">
              <w:rPr>
                <w:sz w:val="22"/>
                <w:szCs w:val="22"/>
                <w:lang w:val="fr-FR"/>
              </w:rPr>
              <w:t>X</w:t>
            </w:r>
          </w:p>
        </w:tc>
        <w:tc>
          <w:tcPr>
            <w:tcW w:w="141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r>
      <w:tr w:rsidR="00AE2D4C" w:rsidRPr="00AB2C5F" w:rsidTr="00AE2D4C">
        <w:trPr>
          <w:trHeight w:val="227"/>
        </w:trPr>
        <w:tc>
          <w:tcPr>
            <w:tcW w:w="5115" w:type="dxa"/>
            <w:tcBorders>
              <w:top w:val="nil"/>
              <w:left w:val="single" w:sz="8" w:space="0" w:color="auto"/>
              <w:bottom w:val="single" w:sz="4" w:space="0" w:color="auto"/>
              <w:right w:val="single" w:sz="8" w:space="0" w:color="auto"/>
            </w:tcBorders>
            <w:shd w:val="clear" w:color="auto" w:fill="auto"/>
            <w:vAlign w:val="bottom"/>
            <w:hideMark/>
          </w:tcPr>
          <w:p w:rsidR="00AE2D4C" w:rsidRPr="00AB2C5F" w:rsidRDefault="00AE2D4C" w:rsidP="00B8792F">
            <w:pPr>
              <w:rPr>
                <w:lang w:val="fr-FR"/>
              </w:rPr>
            </w:pPr>
            <w:r w:rsidRPr="00AB2C5F">
              <w:rPr>
                <w:lang w:val="fr-FR"/>
              </w:rPr>
              <w:t xml:space="preserve">Parties de l'installation d'aspersion d'eau et de la douche, et installation pour le rinçage des yeux et du visage </w:t>
            </w:r>
          </w:p>
        </w:tc>
        <w:tc>
          <w:tcPr>
            <w:tcW w:w="198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c>
          <w:tcPr>
            <w:tcW w:w="1984"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sz w:val="22"/>
                <w:szCs w:val="22"/>
                <w:lang w:val="fr-FR"/>
              </w:rPr>
            </w:pPr>
            <w:r w:rsidRPr="00AB2C5F">
              <w:rPr>
                <w:sz w:val="22"/>
                <w:szCs w:val="22"/>
                <w:lang w:val="fr-FR"/>
              </w:rPr>
              <w:t>X</w:t>
            </w:r>
          </w:p>
        </w:tc>
        <w:tc>
          <w:tcPr>
            <w:tcW w:w="1843"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sz w:val="22"/>
                <w:szCs w:val="22"/>
                <w:lang w:val="fr-FR"/>
              </w:rPr>
            </w:pPr>
            <w:r w:rsidRPr="00AB2C5F">
              <w:rPr>
                <w:sz w:val="22"/>
                <w:szCs w:val="22"/>
                <w:lang w:val="fr-FR"/>
              </w:rPr>
              <w:t>X</w:t>
            </w:r>
          </w:p>
        </w:tc>
        <w:tc>
          <w:tcPr>
            <w:tcW w:w="141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r>
      <w:tr w:rsidR="00AE2D4C" w:rsidRPr="00AB2C5F" w:rsidTr="00AE2D4C">
        <w:trPr>
          <w:trHeight w:val="227"/>
        </w:trPr>
        <w:tc>
          <w:tcPr>
            <w:tcW w:w="5115" w:type="dxa"/>
            <w:tcBorders>
              <w:top w:val="nil"/>
              <w:left w:val="single" w:sz="8" w:space="0" w:color="auto"/>
              <w:bottom w:val="single" w:sz="4" w:space="0" w:color="auto"/>
              <w:right w:val="single" w:sz="8" w:space="0" w:color="auto"/>
            </w:tcBorders>
            <w:shd w:val="clear" w:color="auto" w:fill="auto"/>
            <w:vAlign w:val="bottom"/>
            <w:hideMark/>
          </w:tcPr>
          <w:p w:rsidR="00AE2D4C" w:rsidRPr="00AB2C5F" w:rsidRDefault="00AE2D4C" w:rsidP="00B8792F">
            <w:pPr>
              <w:rPr>
                <w:lang w:val="fr-FR"/>
              </w:rPr>
            </w:pPr>
            <w:r w:rsidRPr="00AB2C5F">
              <w:rPr>
                <w:lang w:val="fr-FR"/>
              </w:rPr>
              <w:t>Isolation des citernes à cargaison, des tuyauteries de chargement et de déchargement, des conduites d'évacuation de gaz et des conduites de chauffage</w:t>
            </w:r>
          </w:p>
        </w:tc>
        <w:tc>
          <w:tcPr>
            <w:tcW w:w="198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c>
          <w:tcPr>
            <w:tcW w:w="1984"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843"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41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r>
      <w:tr w:rsidR="00AE2D4C" w:rsidRPr="00AB2C5F" w:rsidTr="00AE2D4C">
        <w:trPr>
          <w:trHeight w:val="227"/>
        </w:trPr>
        <w:tc>
          <w:tcPr>
            <w:tcW w:w="5115" w:type="dxa"/>
            <w:tcBorders>
              <w:top w:val="nil"/>
              <w:left w:val="single" w:sz="8" w:space="0" w:color="auto"/>
              <w:bottom w:val="single" w:sz="4" w:space="0" w:color="auto"/>
              <w:right w:val="single" w:sz="8" w:space="0" w:color="auto"/>
            </w:tcBorders>
            <w:shd w:val="clear" w:color="auto" w:fill="auto"/>
            <w:vAlign w:val="bottom"/>
            <w:hideMark/>
          </w:tcPr>
          <w:p w:rsidR="00AE2D4C" w:rsidRPr="00AB2C5F" w:rsidRDefault="00AE2D4C" w:rsidP="00B8792F">
            <w:pPr>
              <w:rPr>
                <w:lang w:val="fr-FR"/>
              </w:rPr>
            </w:pPr>
            <w:r w:rsidRPr="00AB2C5F">
              <w:rPr>
                <w:lang w:val="fr-FR"/>
              </w:rPr>
              <w:t>Revêtement des citernes à cargaison et des tuyauteries de chargement et de déchargement</w:t>
            </w:r>
          </w:p>
        </w:tc>
        <w:tc>
          <w:tcPr>
            <w:tcW w:w="198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c>
          <w:tcPr>
            <w:tcW w:w="1984"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sz w:val="22"/>
                <w:szCs w:val="22"/>
                <w:lang w:val="fr-FR"/>
              </w:rPr>
            </w:pPr>
            <w:r w:rsidRPr="00AB2C5F">
              <w:rPr>
                <w:sz w:val="22"/>
                <w:szCs w:val="22"/>
                <w:lang w:val="fr-FR"/>
              </w:rPr>
              <w:t>X</w:t>
            </w:r>
          </w:p>
        </w:tc>
        <w:tc>
          <w:tcPr>
            <w:tcW w:w="1843"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418" w:type="dxa"/>
            <w:tcBorders>
              <w:top w:val="nil"/>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r>
      <w:tr w:rsidR="00AE2D4C" w:rsidRPr="00AB2C5F" w:rsidTr="00AE2D4C">
        <w:trPr>
          <w:trHeight w:val="227"/>
        </w:trPr>
        <w:tc>
          <w:tcPr>
            <w:tcW w:w="5115"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AE2D4C" w:rsidRPr="00AB2C5F" w:rsidRDefault="00AE2D4C" w:rsidP="00B8792F">
            <w:pPr>
              <w:rPr>
                <w:lang w:val="fr-FR"/>
              </w:rPr>
            </w:pPr>
            <w:r w:rsidRPr="00AB2C5F">
              <w:rPr>
                <w:lang w:val="fr-FR"/>
              </w:rPr>
              <w:t>Copies photo-optiques de l'intégralité du certificat d'agrément selon 8.1.2.6 ou 8.1.2.7 ainsi que du certificat de bateau, du certificat de jaugeage et de l'attestation d'appartenance à la navigation du Rhin</w:t>
            </w:r>
          </w:p>
        </w:tc>
        <w:tc>
          <w:tcPr>
            <w:tcW w:w="1988" w:type="dxa"/>
            <w:tcBorders>
              <w:top w:val="single" w:sz="4" w:space="0" w:color="auto"/>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p>
        </w:tc>
        <w:tc>
          <w:tcPr>
            <w:tcW w:w="1984" w:type="dxa"/>
            <w:tcBorders>
              <w:top w:val="single" w:sz="4" w:space="0" w:color="auto"/>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sz w:val="22"/>
                <w:szCs w:val="22"/>
                <w:lang w:val="fr-FR"/>
              </w:rPr>
            </w:pPr>
            <w:r w:rsidRPr="00AB2C5F">
              <w:rPr>
                <w:sz w:val="22"/>
                <w:szCs w:val="22"/>
                <w:lang w:val="fr-FR"/>
              </w:rPr>
              <w:t>X</w:t>
            </w: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rsidR="00AE2D4C" w:rsidRPr="00AB2C5F" w:rsidRDefault="00AE2D4C" w:rsidP="00B8792F">
            <w:pPr>
              <w:jc w:val="center"/>
              <w:rPr>
                <w:lang w:val="fr-FR"/>
              </w:rPr>
            </w:pPr>
            <w:r w:rsidRPr="00AB2C5F">
              <w:rPr>
                <w:lang w:val="fr-FR"/>
              </w:rPr>
              <w:t>X</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E2D4C" w:rsidRPr="00AB2C5F" w:rsidRDefault="00AE2D4C" w:rsidP="00B8792F">
            <w:pPr>
              <w:jc w:val="center"/>
              <w:rPr>
                <w:lang w:val="fr-FR"/>
              </w:rPr>
            </w:pPr>
          </w:p>
        </w:tc>
      </w:tr>
    </w:tbl>
    <w:p w:rsidR="00AE2D4C" w:rsidRPr="00AB2C5F" w:rsidRDefault="00AE2D4C" w:rsidP="00A50206">
      <w:pPr>
        <w:widowControl w:val="0"/>
        <w:tabs>
          <w:tab w:val="left" w:pos="-142"/>
          <w:tab w:val="left" w:pos="1418"/>
        </w:tabs>
        <w:overflowPunct w:val="0"/>
        <w:autoSpaceDE w:val="0"/>
        <w:autoSpaceDN w:val="0"/>
        <w:adjustRightInd w:val="0"/>
        <w:spacing w:line="240" w:lineRule="exact"/>
        <w:jc w:val="both"/>
        <w:textAlignment w:val="baseline"/>
        <w:rPr>
          <w:lang w:val="fr-FR"/>
        </w:rPr>
      </w:pPr>
      <w:r w:rsidRPr="00AB2C5F">
        <w:rPr>
          <w:lang w:val="fr-FR"/>
        </w:rPr>
        <w:t>*) voir : 9.3.x.0.5</w:t>
      </w:r>
    </w:p>
    <w:p w:rsidR="0018383C" w:rsidRPr="00AE2D4C" w:rsidRDefault="00A50206" w:rsidP="00A50206">
      <w:pPr>
        <w:widowControl w:val="0"/>
        <w:tabs>
          <w:tab w:val="left" w:pos="-142"/>
          <w:tab w:val="left" w:pos="1418"/>
        </w:tabs>
        <w:overflowPunct w:val="0"/>
        <w:autoSpaceDE w:val="0"/>
        <w:autoSpaceDN w:val="0"/>
        <w:adjustRightInd w:val="0"/>
        <w:spacing w:line="240" w:lineRule="exact"/>
        <w:jc w:val="both"/>
        <w:textAlignment w:val="baseline"/>
        <w:rPr>
          <w:u w:val="single"/>
          <w:lang w:val="fr-FR"/>
        </w:rPr>
      </w:pPr>
      <w:r w:rsidRPr="00A50206">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3403889</wp:posOffset>
                </wp:positionH>
                <wp:positionV relativeFrom="paragraph">
                  <wp:posOffset>450272</wp:posOffset>
                </wp:positionV>
                <wp:extent cx="1427018" cy="1403985"/>
                <wp:effectExtent l="0" t="0" r="2095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018" cy="1403985"/>
                        </a:xfrm>
                        <a:prstGeom prst="rect">
                          <a:avLst/>
                        </a:prstGeom>
                        <a:solidFill>
                          <a:srgbClr val="FFFFFF"/>
                        </a:solidFill>
                        <a:ln w="9525">
                          <a:solidFill>
                            <a:schemeClr val="bg1"/>
                          </a:solidFill>
                          <a:miter lim="800000"/>
                          <a:headEnd/>
                          <a:tailEnd/>
                        </a:ln>
                      </wps:spPr>
                      <wps:txbx>
                        <w:txbxContent>
                          <w:p w:rsidR="00A50206" w:rsidRDefault="00A50206">
                            <w:r>
                              <w:t>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8pt;margin-top:35.45pt;width:112.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56YKgIAAEYEAAAOAAAAZHJzL2Uyb0RvYy54bWysU9tu2zAMfR+wfxD0vvjSZE2MOEWXLsOA&#10;7gK0+wBZlm1hsqhJSuzs60fJaZp2b8P0IJAidUgekuubsVfkIKyToEuazVJKhOZQS92W9Mfj7t2S&#10;EueZrpkCLUp6FI7ebN6+WQ+mEDl0oGphCYJoVwympJ33pkgSxzvRMzcDIzQaG7A986jaNqktGxC9&#10;V0mepu+TAWxtLHDhHL7eTUa6ifhNI7j/1jROeKJKirn5eNt4V+FONmtWtJaZTvJTGuwfsuiZ1Bj0&#10;DHXHPCN7K/+C6iW34KDxMw59Ak0juYg1YDVZ+qqah44ZEWtBcpw50+T+Hyz/evhuiaxLepVeU6JZ&#10;j016FKMnH2AkeeBnMK5AtweDjn7EZ+xzrNWZe+A/HdGw7Zhuxa21MHSC1ZhfFn4mF18nHBdAquEL&#10;1BiG7T1EoLGxfSAP6SCIjn06nnsTUuEh5Dy/TjOcJo62bJ5erZaLGIMVT9+Ndf6TgJ4EoaQWmx/h&#10;2eHe+ZAOK55cQjQHStY7qVRUbFttlSUHhoOyi+eE/sJNaTKUdLXIFxMDLyDCzIozSNVOHLwK1EuP&#10;A69kX9JlGk4Iw4pA20ddR9kzqSYZM1b6xGOgbiLRj9WIjoHcCuojMmphGmxcRBQ6sL8pGXCoS+p+&#10;7ZkVlKjPGruyyubzsAVRmS+uc1TspaW6tDDNEaqknpJJ3Pq4OZEvc4vd28nI63Mmp1xxWCPdp8UK&#10;23CpR6/n9d/8AQAA//8DAFBLAwQUAAYACAAAACEA4R76SuAAAAAKAQAADwAAAGRycy9kb3ducmV2&#10;LnhtbEyPu07EMBREeyT+wbpIdKxNEAkbcrMCJCgodrUBQevENw/hRxQ72fD3mArK0YxmzhS71Wi2&#10;0OQHZxGuNwIY2capwXYI72/PV3fAfJBWSe0sIXyTh115flbIXLmTPdJShY7FEutzidCHMOac+6Yn&#10;I/3GjWSj17rJyBDl1HE1yVMsN5onQqTcyMHGhV6O9NRT81XNBuHlkdf7Y3Wo289WL6/6w8z7g0G8&#10;vFgf7oEFWsNfGH7xIzqUkal2s1WeaYTbmzR+CQiZ2AKLgSwVGbAaIdkmAnhZ8P8Xyh8AAAD//wMA&#10;UEsBAi0AFAAGAAgAAAAhALaDOJL+AAAA4QEAABMAAAAAAAAAAAAAAAAAAAAAAFtDb250ZW50X1R5&#10;cGVzXS54bWxQSwECLQAUAAYACAAAACEAOP0h/9YAAACUAQAACwAAAAAAAAAAAAAAAAAvAQAAX3Jl&#10;bHMvLnJlbHNQSwECLQAUAAYACAAAACEAeQuemCoCAABGBAAADgAAAAAAAAAAAAAAAAAuAgAAZHJz&#10;L2Uyb0RvYy54bWxQSwECLQAUAAYACAAAACEA4R76SuAAAAAKAQAADwAAAAAAAAAAAAAAAACEBAAA&#10;ZHJzL2Rvd25yZXYueG1sUEsFBgAAAAAEAAQA8wAAAJEFAAAAAA==&#10;" strokecolor="white [3212]">
                <v:textbox style="mso-fit-shape-to-text:t">
                  <w:txbxContent>
                    <w:p w:rsidR="00A50206" w:rsidRDefault="00A50206">
                      <w:r>
                        <w:t>_________________</w:t>
                      </w:r>
                    </w:p>
                  </w:txbxContent>
                </v:textbox>
              </v:shape>
            </w:pict>
          </mc:Fallback>
        </mc:AlternateContent>
      </w:r>
      <w:r w:rsidR="00AE2D4C" w:rsidRPr="00AB2C5F">
        <w:rPr>
          <w:lang w:val="fr-FR"/>
        </w:rPr>
        <w:t>Tous les matériaux utilisés pour les éléments fixes des logements ou de la timonerie, à l'exception des meubles, doivent être difficilement inflammables. Lors d'un incendie, ils ne doivent pas dégager de fumées ou de gaz toxiques en quantités dangereuses.</w:t>
      </w:r>
    </w:p>
    <w:sectPr w:rsidR="0018383C" w:rsidRPr="00AE2D4C" w:rsidSect="00AE2D4C">
      <w:headerReference w:type="even" r:id="rId13"/>
      <w:footerReference w:type="even" r:id="rId14"/>
      <w:headerReference w:type="first" r:id="rId15"/>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C31" w:rsidRPr="00FB1744" w:rsidRDefault="00676C31" w:rsidP="00FB1744">
      <w:pPr>
        <w:pStyle w:val="Footer"/>
      </w:pPr>
    </w:p>
  </w:endnote>
  <w:endnote w:type="continuationSeparator" w:id="0">
    <w:p w:rsidR="00676C31" w:rsidRPr="00FB1744" w:rsidRDefault="00676C3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31" w:rsidRDefault="00676C31" w:rsidP="0099318D">
    <w:pPr>
      <w:pStyle w:val="Footer"/>
      <w:tabs>
        <w:tab w:val="right" w:pos="9598"/>
      </w:tabs>
    </w:pPr>
    <w:r w:rsidRPr="001A5D77">
      <w:rPr>
        <w:b/>
        <w:sz w:val="18"/>
      </w:rPr>
      <w:fldChar w:fldCharType="begin"/>
    </w:r>
    <w:r w:rsidRPr="001A5D77">
      <w:rPr>
        <w:b/>
        <w:sz w:val="18"/>
      </w:rPr>
      <w:instrText xml:space="preserve"> PAGE  \* MERGEFORMAT </w:instrText>
    </w:r>
    <w:r w:rsidRPr="001A5D77">
      <w:rPr>
        <w:b/>
        <w:sz w:val="18"/>
      </w:rPr>
      <w:fldChar w:fldCharType="separate"/>
    </w:r>
    <w:r w:rsidR="006D4218">
      <w:rPr>
        <w:b/>
        <w:noProof/>
        <w:sz w:val="18"/>
      </w:rPr>
      <w:t>2</w:t>
    </w:r>
    <w:r w:rsidRPr="001A5D7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31" w:rsidRPr="001A5D77" w:rsidRDefault="00676C31" w:rsidP="001A5D77">
    <w:pPr>
      <w:pStyle w:val="Footer"/>
      <w:tabs>
        <w:tab w:val="right" w:pos="9598"/>
      </w:tabs>
      <w:rPr>
        <w:b/>
        <w:sz w:val="18"/>
      </w:rPr>
    </w:pPr>
    <w:r>
      <w:tab/>
    </w:r>
    <w:r w:rsidRPr="001A5D77">
      <w:rPr>
        <w:b/>
        <w:sz w:val="18"/>
      </w:rPr>
      <w:fldChar w:fldCharType="begin"/>
    </w:r>
    <w:r w:rsidRPr="001A5D77">
      <w:rPr>
        <w:b/>
        <w:sz w:val="18"/>
      </w:rPr>
      <w:instrText xml:space="preserve"> PAGE  \* MERGEFORMAT </w:instrText>
    </w:r>
    <w:r w:rsidRPr="001A5D77">
      <w:rPr>
        <w:b/>
        <w:sz w:val="18"/>
      </w:rPr>
      <w:fldChar w:fldCharType="separate"/>
    </w:r>
    <w:r w:rsidR="006D4218">
      <w:rPr>
        <w:b/>
        <w:noProof/>
        <w:sz w:val="18"/>
      </w:rPr>
      <w:t>3</w:t>
    </w:r>
    <w:r w:rsidRPr="001A5D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4C" w:rsidRPr="00AE2D4C" w:rsidRDefault="00AE2D4C" w:rsidP="00AE2D4C">
    <w:pPr>
      <w:pStyle w:val="Footer"/>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22738" cy="6119446"/>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738" cy="6119446"/>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E2D4C" w:rsidRDefault="00AE2D4C" w:rsidP="00AE2D4C">
                          <w:pPr>
                            <w:pStyle w:val="Footer"/>
                            <w:tabs>
                              <w:tab w:val="right" w:pos="9598"/>
                            </w:tabs>
                          </w:pPr>
                          <w:r w:rsidRPr="001A5D77">
                            <w:rPr>
                              <w:b/>
                              <w:sz w:val="18"/>
                            </w:rPr>
                            <w:fldChar w:fldCharType="begin"/>
                          </w:r>
                          <w:r w:rsidRPr="001A5D77">
                            <w:rPr>
                              <w:b/>
                              <w:sz w:val="18"/>
                            </w:rPr>
                            <w:instrText xml:space="preserve"> PAGE  \* MERGEFORMAT </w:instrText>
                          </w:r>
                          <w:r w:rsidRPr="001A5D77">
                            <w:rPr>
                              <w:b/>
                              <w:sz w:val="18"/>
                            </w:rPr>
                            <w:fldChar w:fldCharType="separate"/>
                          </w:r>
                          <w:r w:rsidR="006D4218">
                            <w:rPr>
                              <w:b/>
                              <w:noProof/>
                              <w:sz w:val="18"/>
                            </w:rPr>
                            <w:t>4</w:t>
                          </w:r>
                          <w:r w:rsidRPr="001A5D77">
                            <w:rPr>
                              <w:b/>
                              <w:sz w:val="18"/>
                            </w:rPr>
                            <w:fldChar w:fldCharType="end"/>
                          </w:r>
                        </w:p>
                        <w:p w:rsidR="00AE2D4C" w:rsidRDefault="00AE2D4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pt;margin-top:0;width:17.55pt;height:481.8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3a/1AIAADIGAAAOAAAAZHJzL2Uyb0RvYy54bWysVEtPGzEQvlfqf7B8L5sESkvEBqVQqkoI&#10;UKHiPPHa2RW2x7WdZNNf37F3N6GUQ6l68c7a37y+eZyetUaztfShQVvy8cGIM2kFVo1dlvz7/eW7&#10;j5yFCLYCjVaWfCsDP5u9fXO6cVM5wRp1JT0jIzZMN67kdYxuWhRB1NJAOEAnLT0q9AYi/fplUXnY&#10;kHWji8lodFxs0FfOo5Ah0O1F98hn2b5SUsQbpYKMTJecYov59PlcpLOYncJ06cHVjejDgH+IwkBj&#10;yenO1AVEYCvf/GHKNMJjQBUPBJoClWqEzDlQNuPRs2zuanAy50LkBLejKfw/s+J6fetZU5X8kDML&#10;hkp0L9vIPmHLDhM7GxemBLpzBIstXVOVc6bBXaF4DAQpnmA6hUDoxEarvElfypORIhVguyM9eRF0&#10;OZlMPhxSlwh6Oh6PT46OjpPfYq/tfIhfJBqWhJJ7KmqOANZXIXbQAZKcBdRNddlonX9SI8lz7dka&#10;qAUWy3Fv/DeUtmxT8pP3k/cUB1AbKg2RROOImGCXnIFeUn+L6LNni8k+uYZp8nwBoe7sZ6tdU3lc&#10;2SpDagnVZ1uxuHVEr6U54MmdkRVnWpLZJGVkhEb/DZLI0TZ5l7nFexpSGTrmsxS3WiaMtt+kohLn&#10;ArzACQghbRx4yeiEUpThaxR7/D6q1yh3eZBG9ow27pRNY7EjPe+EfSmrxyFk1eH7Rgxd3omC2C7a&#10;3NsZmW4WWG2pkT12iyA4cdlQAa8gxFvwNPnUorTN4g0dSiNVCXuJsxr9z5fuE77k6aSy0iahjvmx&#10;Ak9F1l8tjWpaO4PgB2ExCHZlzpE6c0x70okskoKPehCVR/NAS26evNATWEGRlJy8deJ57PYZLUkh&#10;5/MMouXiIF7ZOyeGeU2Net8+gHf9HEWawGscdgxMn41Th031sDhfRVRNnrU9iz3ftJjytPZLNG2+&#10;p/8ZtV/1s18AAAD//wMAUEsDBBQABgAIAAAAIQCr7jQm4AAAAAgBAAAPAAAAZHJzL2Rvd25yZXYu&#10;eG1sTI/BasMwEETvhf6D2EJvjuwE3Nj1OoRAKT2VqIb2uLEU26kluZaS2H9f9dRcBpZZZt4Um0n3&#10;7KJG11mDkCxiYMrUVnamQag+XqI1MOfJSOqtUQizcrAp7+8KyqW9mr26CN+wEGJcTgit90POuatb&#10;pckt7KBM8I521OTDOTZcjnQN4brnyzhOuabOhIaWBrVrVf0tzhrhJ/v8qpLq/U28zntxandiS8mM&#10;+PgwbZ+BeTX5/2f4ww/oUAamgz0b6ViPEKXrsMUjBA12tFpmwA4IWbp6Al4W/HZA+QsAAP//AwBQ&#10;SwECLQAUAAYACAAAACEAtoM4kv4AAADhAQAAEwAAAAAAAAAAAAAAAAAAAAAAW0NvbnRlbnRfVHlw&#10;ZXNdLnhtbFBLAQItABQABgAIAAAAIQA4/SH/1gAAAJQBAAALAAAAAAAAAAAAAAAAAC8BAABfcmVs&#10;cy8ucmVsc1BLAQItABQABgAIAAAAIQC2u3a/1AIAADIGAAAOAAAAAAAAAAAAAAAAAC4CAABkcnMv&#10;ZTJvRG9jLnhtbFBLAQItABQABgAIAAAAIQCr7jQm4AAAAAgBAAAPAAAAAAAAAAAAAAAAAC4FAABk&#10;cnMvZG93bnJldi54bWxQSwUGAAAAAAQABADzAAAAOwYAAAAA&#10;" fillcolor="white [3212]" stroked="f">
              <v:stroke joinstyle="round"/>
              <v:path arrowok="t"/>
              <v:textbox style="layout-flow:vertical" inset="0,0,0,0">
                <w:txbxContent>
                  <w:p w:rsidR="00AE2D4C" w:rsidRDefault="00AE2D4C" w:rsidP="00AE2D4C">
                    <w:pPr>
                      <w:pStyle w:val="Footer"/>
                      <w:tabs>
                        <w:tab w:val="right" w:pos="9598"/>
                      </w:tabs>
                    </w:pPr>
                    <w:r w:rsidRPr="001A5D77">
                      <w:rPr>
                        <w:b/>
                        <w:sz w:val="18"/>
                      </w:rPr>
                      <w:fldChar w:fldCharType="begin"/>
                    </w:r>
                    <w:r w:rsidRPr="001A5D77">
                      <w:rPr>
                        <w:b/>
                        <w:sz w:val="18"/>
                      </w:rPr>
                      <w:instrText xml:space="preserve"> PAGE  \* MERGEFORMAT </w:instrText>
                    </w:r>
                    <w:r w:rsidRPr="001A5D77">
                      <w:rPr>
                        <w:b/>
                        <w:sz w:val="18"/>
                      </w:rPr>
                      <w:fldChar w:fldCharType="separate"/>
                    </w:r>
                    <w:r w:rsidR="006D4218">
                      <w:rPr>
                        <w:b/>
                        <w:noProof/>
                        <w:sz w:val="18"/>
                      </w:rPr>
                      <w:t>4</w:t>
                    </w:r>
                    <w:r w:rsidRPr="001A5D77">
                      <w:rPr>
                        <w:b/>
                        <w:sz w:val="18"/>
                      </w:rPr>
                      <w:fldChar w:fldCharType="end"/>
                    </w:r>
                  </w:p>
                  <w:p w:rsidR="00AE2D4C" w:rsidRDefault="00AE2D4C"/>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C31" w:rsidRPr="00FB1744" w:rsidRDefault="00676C31" w:rsidP="00FB1744">
      <w:pPr>
        <w:tabs>
          <w:tab w:val="right" w:pos="2155"/>
        </w:tabs>
        <w:spacing w:after="80" w:line="240" w:lineRule="auto"/>
        <w:ind w:left="680"/>
      </w:pPr>
      <w:r>
        <w:rPr>
          <w:u w:val="single"/>
        </w:rPr>
        <w:tab/>
      </w:r>
    </w:p>
  </w:footnote>
  <w:footnote w:type="continuationSeparator" w:id="0">
    <w:p w:rsidR="00676C31" w:rsidRPr="00FB1744" w:rsidRDefault="00676C31" w:rsidP="00FB1744">
      <w:pPr>
        <w:tabs>
          <w:tab w:val="right" w:pos="2155"/>
        </w:tabs>
        <w:spacing w:after="80" w:line="240" w:lineRule="auto"/>
        <w:ind w:left="680"/>
      </w:pPr>
      <w:r>
        <w:rPr>
          <w:u w:val="single"/>
        </w:rPr>
        <w:tab/>
      </w:r>
    </w:p>
  </w:footnote>
  <w:footnote w:id="1">
    <w:p w:rsidR="00E23406" w:rsidRPr="00A74B87" w:rsidRDefault="00E23406" w:rsidP="00E23406">
      <w:pPr>
        <w:pStyle w:val="FootnoteText"/>
        <w:rPr>
          <w:szCs w:val="18"/>
          <w:lang w:val="fr-CH"/>
        </w:rPr>
      </w:pPr>
      <w:r>
        <w:rPr>
          <w:szCs w:val="18"/>
        </w:rPr>
        <w:tab/>
      </w:r>
      <w:r w:rsidRPr="00A74B87">
        <w:rPr>
          <w:sz w:val="20"/>
          <w:lang w:val="fr-CH"/>
        </w:rPr>
        <w:t>*</w:t>
      </w:r>
      <w:r w:rsidRPr="00A74B87">
        <w:rPr>
          <w:szCs w:val="18"/>
          <w:lang w:val="fr-CH"/>
        </w:rPr>
        <w:tab/>
      </w:r>
      <w:r w:rsidRPr="0042348F">
        <w:rPr>
          <w:lang w:val="fr-FR"/>
        </w:rPr>
        <w:t>Diffusé en langue allemande par la Commission centrale pour la navigation du Rhin sous la cote</w:t>
      </w:r>
      <w:r w:rsidR="00D658B2">
        <w:rPr>
          <w:lang w:val="fr-FR"/>
        </w:rPr>
        <w:t xml:space="preserve"> CCNR/ZKR/ADN/WP.15/AC.2/2017/40</w:t>
      </w:r>
      <w:r>
        <w:rPr>
          <w:lang w:val="fr-FR"/>
        </w:rPr>
        <w:t>.</w:t>
      </w:r>
    </w:p>
    <w:p w:rsidR="00E23406" w:rsidRPr="0042348F" w:rsidRDefault="00E23406" w:rsidP="00E23406">
      <w:pPr>
        <w:pStyle w:val="FootnoteText"/>
        <w:rPr>
          <w:lang w:val="fr-CH"/>
        </w:rPr>
      </w:pPr>
      <w:r w:rsidRPr="00A74B87">
        <w:rPr>
          <w:szCs w:val="18"/>
          <w:lang w:val="fr-CH"/>
        </w:rPr>
        <w:tab/>
      </w:r>
      <w:r w:rsidRPr="00A74B87">
        <w:rPr>
          <w:rStyle w:val="FootnoteReference"/>
          <w:sz w:val="20"/>
          <w:vertAlign w:val="baseline"/>
          <w:lang w:val="fr-CH"/>
        </w:rPr>
        <w:t>**</w:t>
      </w:r>
      <w:r w:rsidRPr="00A74B87">
        <w:rPr>
          <w:lang w:val="fr-CH"/>
        </w:rPr>
        <w:tab/>
        <w:t>Conformément</w:t>
      </w:r>
      <w:r w:rsidRPr="0042348F">
        <w:rPr>
          <w:lang w:val="fr-FR"/>
        </w:rPr>
        <w:t xml:space="preserve"> au programme de travail du Comité des transports intérieurs pour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31" w:rsidRPr="001A5D77" w:rsidRDefault="00676C31" w:rsidP="001A5D77">
    <w:pPr>
      <w:pStyle w:val="Header"/>
    </w:pPr>
    <w:r w:rsidRPr="001A5D77">
      <w:t>ECE/TRANS/WP.15/AC.2/201</w:t>
    </w:r>
    <w:r w:rsidR="004A21AE">
      <w:t>7</w:t>
    </w:r>
    <w:r>
      <w:t>/</w:t>
    </w:r>
    <w:r w:rsidR="00D658B2">
      <w:t>40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31" w:rsidRPr="001A5D77" w:rsidRDefault="00676C31" w:rsidP="001A5D77">
    <w:pPr>
      <w:pStyle w:val="Header"/>
      <w:jc w:val="right"/>
    </w:pPr>
    <w:r w:rsidRPr="001A5D77">
      <w:t>ECE/TRANS/WP.15/AC.2/201</w:t>
    </w:r>
    <w:r w:rsidR="00716275">
      <w:t>7</w:t>
    </w:r>
    <w:r>
      <w:t>/</w:t>
    </w:r>
    <w:r w:rsidR="00687B5C">
      <w:t>4</w:t>
    </w:r>
    <w:r w:rsidR="00716275">
      <w: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4C" w:rsidRPr="00AE2D4C" w:rsidRDefault="00AE2D4C" w:rsidP="00AE2D4C">
    <w:r>
      <w:rPr>
        <w:noProof/>
        <w:lang w:eastAsia="en-GB"/>
      </w:rPr>
      <mc:AlternateContent>
        <mc:Choice Requires="wps">
          <w:drawing>
            <wp:anchor distT="0" distB="0" distL="114300" distR="114300" simplePos="0" relativeHeight="251659264" behindDoc="0" locked="0" layoutInCell="1" allowOverlap="1" wp14:anchorId="2817A5C7" wp14:editId="2E3F7905">
              <wp:simplePos x="0" y="0"/>
              <wp:positionH relativeFrom="page">
                <wp:posOffset>9791700</wp:posOffset>
              </wp:positionH>
              <wp:positionV relativeFrom="margin">
                <wp:posOffset>0</wp:posOffset>
              </wp:positionV>
              <wp:extent cx="216877" cy="611944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877" cy="6119446"/>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E2D4C" w:rsidRPr="001A5D77" w:rsidRDefault="00AE2D4C" w:rsidP="00AE2D4C">
                          <w:pPr>
                            <w:pStyle w:val="Header"/>
                          </w:pPr>
                          <w:r w:rsidRPr="001A5D77">
                            <w:t>ECE/TRANS/WP.15/AC.2/201</w:t>
                          </w:r>
                          <w:r>
                            <w:t>7/40</w:t>
                          </w:r>
                        </w:p>
                        <w:p w:rsidR="00AE2D4C" w:rsidRDefault="00AE2D4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817A5C7" id="_x0000_t202" coordsize="21600,21600" o:spt="202" path="m,l,21600r21600,l21600,xe">
              <v:stroke joinstyle="miter"/>
              <v:path gradientshapeok="t" o:connecttype="rect"/>
            </v:shapetype>
            <v:shape id="_x0000_s1027" type="#_x0000_t202" style="position:absolute;margin-left:771pt;margin-top:0;width:17.1pt;height:481.8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J0gIAACsGAAAOAAAAZHJzL2Uyb0RvYy54bWysVFtP2zAUfp+0/2D5faStoIyIFHUwpkkV&#10;oMHE86ljNxGOj2e7bbpfv2MnaRnjYUx7cU7s79y+czm/aBvNNtL5Gk3Bx0cjzqQRWNZmVfDvD9cf&#10;PnLmA5gSNBpZ8J30/GL2/t351uZyghXqUjpGRozPt7bgVQg2zzIvKtmAP0IrDT0qdA0E+nWrrHSw&#10;JeuNziaj0TTboiutQyG9p9ur7pHPkn2lpAi3SnkZmC44xRbS6dK5jGc2O4d85cBWtejDgH+IooHa&#10;kNO9qSsIwNau/sNUUwuHHlU4EthkqFQtZMqBshmPXmRzX4GVKRcix9s9Tf7/mRU3mzvH6rLgE84M&#10;NFSiB9kG9glbNonsbK3PCXRvCRZauqYqp0y9XaB48gTJnmE6BU/oyEarXBO/lCcjRSrAbk969CLo&#10;cjKefjw95UzQ03Q8Pjs+nka/2UHbOh++SGxYFAruqKgpAtgsfOigAyQ686jr8rrWOv3ERpKX2rEN&#10;UAssV+Pe+G8obdi24GcnkxOKA6gNlYZAYmOJGG9WnIFeUX+L4JJng9E+uYY8er4CX3X2k9WuqRyu&#10;TZkglYTysylZ2Fmi19Ac8OiukSVnWpLZKCVkgFr/DZLI0SZ6l6nFexpiGTrmkxR2WkaMNt+kohKn&#10;ArzCCQghTRh4SeiIUpThWxR7/CGqtyh3eZBG8owm7JWb2mBHetoJh1KWT0PIqsP3jei7vCMFoV22&#10;xGsUl1juqIMddhvAW3FdU+UW4MMdOBp56k1aY+GWDqWRyoO9xFmF7udr9xFf8HhSPWmFUKv8WIOj&#10;6uqvhmY07ptBcIOwHASzbi6RWnJMC9KKJJKCC3oQlcPmkbbbPHqhJzCCIik4eevEy9AtMtqOQs7n&#10;CURbxUJYmHsrhkGNHfrQPoKz/QAFGr0bHJYL5C/mqMPGQhicrwOqOg3ZgcWeaNpIaUz77RlX3vP/&#10;hDrs+NkvAAAA//8DAFBLAwQUAAYACAAAACEAB0AtVeEAAAAKAQAADwAAAGRycy9kb3ducmV2Lnht&#10;bEyPwU7DMBBE70j8g7VI3KiTQNM2xKmqSghxQg2R4LiN3TgQr0Pstsnf457KZaXRjGbf5OvRdOyk&#10;BtdaEhDPImCKaitbagRUHy8PS2DOI0nsLCkBk3KwLm5vcsykPdNOnUrfsFBCLkMB2vs+49zVWhl0&#10;M9srCt7BDgZ9kEPD5YDnUG46nkRRyg22FD5o7NVWq/qnPBoBv6vPryqu3t/K12lXfuttucF4EuL+&#10;btw8A/Nq9NcwXPADOhSBaW+PJB3rgp4/JWGMFxDuxZ8v0gTYXsAqfVwAL3L+f0LxBwAA//8DAFBL&#10;AQItABQABgAIAAAAIQC2gziS/gAAAOEBAAATAAAAAAAAAAAAAAAAAAAAAABbQ29udGVudF9UeXBl&#10;c10ueG1sUEsBAi0AFAAGAAgAAAAhADj9If/WAAAAlAEAAAsAAAAAAAAAAAAAAAAALwEAAF9yZWxz&#10;Ly5yZWxzUEsBAi0AFAAGAAgAAAAhAH6Dl4nSAgAAKwYAAA4AAAAAAAAAAAAAAAAALgIAAGRycy9l&#10;Mm9Eb2MueG1sUEsBAi0AFAAGAAgAAAAhAAdALVXhAAAACgEAAA8AAAAAAAAAAAAAAAAALAUAAGRy&#10;cy9kb3ducmV2LnhtbFBLBQYAAAAABAAEAPMAAAA6BgAAAAA=&#10;" fillcolor="white [3212]" stroked="f">
              <v:stroke joinstyle="round"/>
              <v:path arrowok="t"/>
              <v:textbox style="layout-flow:vertical" inset="0,0,0,0">
                <w:txbxContent>
                  <w:p w:rsidR="00AE2D4C" w:rsidRPr="001A5D77" w:rsidRDefault="00AE2D4C" w:rsidP="00AE2D4C">
                    <w:pPr>
                      <w:pStyle w:val="Header"/>
                    </w:pPr>
                    <w:r w:rsidRPr="001A5D77">
                      <w:t>ECE/TRANS/WP.15/AC.2/201</w:t>
                    </w:r>
                    <w:r>
                      <w:t>7/40</w:t>
                    </w:r>
                  </w:p>
                  <w:p w:rsidR="00AE2D4C" w:rsidRDefault="00AE2D4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4C" w:rsidRDefault="00AE2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548C9"/>
    <w:multiLevelType w:val="hybridMultilevel"/>
    <w:tmpl w:val="C9D6C3E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C045214"/>
    <w:multiLevelType w:val="hybridMultilevel"/>
    <w:tmpl w:val="BAEA48BA"/>
    <w:lvl w:ilvl="0" w:tplc="3CB0B10C">
      <w:start w:val="9"/>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5" w15:restartNumberingAfterBreak="0">
    <w:nsid w:val="2DB64AA2"/>
    <w:multiLevelType w:val="hybridMultilevel"/>
    <w:tmpl w:val="E9AACE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644A6"/>
    <w:multiLevelType w:val="hybridMultilevel"/>
    <w:tmpl w:val="E49608FA"/>
    <w:lvl w:ilvl="0" w:tplc="AC5CF1CC">
      <w:start w:val="1"/>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8" w15:restartNumberingAfterBreak="0">
    <w:nsid w:val="35F94728"/>
    <w:multiLevelType w:val="hybridMultilevel"/>
    <w:tmpl w:val="32DEC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C218A7"/>
    <w:multiLevelType w:val="hybridMultilevel"/>
    <w:tmpl w:val="72047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1" w15:restartNumberingAfterBreak="0">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63F47BA"/>
    <w:multiLevelType w:val="hybridMultilevel"/>
    <w:tmpl w:val="5AA864CC"/>
    <w:lvl w:ilvl="0" w:tplc="3DC661FE">
      <w:start w:val="1"/>
      <w:numFmt w:val="upperLetter"/>
      <w:lvlText w:val="%1."/>
      <w:lvlJc w:val="left"/>
      <w:pPr>
        <w:ind w:left="2061" w:hanging="360"/>
      </w:pPr>
      <w:rPr>
        <w:rFonts w:ascii="Times New Roman" w:eastAsia="Times New Roman" w:hAnsi="Times New Roman" w:cs="Times New Roman"/>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5" w15:restartNumberingAfterBreak="0">
    <w:nsid w:val="6B3175C2"/>
    <w:multiLevelType w:val="hybridMultilevel"/>
    <w:tmpl w:val="DF763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E834DB"/>
    <w:multiLevelType w:val="hybridMultilevel"/>
    <w:tmpl w:val="F02EB62E"/>
    <w:lvl w:ilvl="0" w:tplc="DD80091C">
      <w:start w:val="1"/>
      <w:numFmt w:val="upperLetter"/>
      <w:lvlText w:val="%1."/>
      <w:lvlJc w:val="left"/>
      <w:pPr>
        <w:ind w:left="2049" w:hanging="360"/>
      </w:pPr>
      <w:rPr>
        <w:rFonts w:hint="default"/>
      </w:rPr>
    </w:lvl>
    <w:lvl w:ilvl="1" w:tplc="04130019" w:tentative="1">
      <w:start w:val="1"/>
      <w:numFmt w:val="lowerLetter"/>
      <w:lvlText w:val="%2."/>
      <w:lvlJc w:val="left"/>
      <w:pPr>
        <w:ind w:left="2769" w:hanging="360"/>
      </w:pPr>
    </w:lvl>
    <w:lvl w:ilvl="2" w:tplc="0413001B" w:tentative="1">
      <w:start w:val="1"/>
      <w:numFmt w:val="lowerRoman"/>
      <w:lvlText w:val="%3."/>
      <w:lvlJc w:val="right"/>
      <w:pPr>
        <w:ind w:left="3489" w:hanging="180"/>
      </w:pPr>
    </w:lvl>
    <w:lvl w:ilvl="3" w:tplc="0413000F" w:tentative="1">
      <w:start w:val="1"/>
      <w:numFmt w:val="decimal"/>
      <w:lvlText w:val="%4."/>
      <w:lvlJc w:val="left"/>
      <w:pPr>
        <w:ind w:left="4209" w:hanging="360"/>
      </w:pPr>
    </w:lvl>
    <w:lvl w:ilvl="4" w:tplc="04130019" w:tentative="1">
      <w:start w:val="1"/>
      <w:numFmt w:val="lowerLetter"/>
      <w:lvlText w:val="%5."/>
      <w:lvlJc w:val="left"/>
      <w:pPr>
        <w:ind w:left="4929" w:hanging="360"/>
      </w:pPr>
    </w:lvl>
    <w:lvl w:ilvl="5" w:tplc="0413001B" w:tentative="1">
      <w:start w:val="1"/>
      <w:numFmt w:val="lowerRoman"/>
      <w:lvlText w:val="%6."/>
      <w:lvlJc w:val="right"/>
      <w:pPr>
        <w:ind w:left="5649" w:hanging="180"/>
      </w:pPr>
    </w:lvl>
    <w:lvl w:ilvl="6" w:tplc="0413000F" w:tentative="1">
      <w:start w:val="1"/>
      <w:numFmt w:val="decimal"/>
      <w:lvlText w:val="%7."/>
      <w:lvlJc w:val="left"/>
      <w:pPr>
        <w:ind w:left="6369" w:hanging="360"/>
      </w:pPr>
    </w:lvl>
    <w:lvl w:ilvl="7" w:tplc="04130019" w:tentative="1">
      <w:start w:val="1"/>
      <w:numFmt w:val="lowerLetter"/>
      <w:lvlText w:val="%8."/>
      <w:lvlJc w:val="left"/>
      <w:pPr>
        <w:ind w:left="7089" w:hanging="360"/>
      </w:pPr>
    </w:lvl>
    <w:lvl w:ilvl="8" w:tplc="0413001B" w:tentative="1">
      <w:start w:val="1"/>
      <w:numFmt w:val="lowerRoman"/>
      <w:lvlText w:val="%9."/>
      <w:lvlJc w:val="right"/>
      <w:pPr>
        <w:ind w:left="7809" w:hanging="180"/>
      </w:pPr>
    </w:lvl>
  </w:abstractNum>
  <w:abstractNum w:abstractNumId="17" w15:restartNumberingAfterBreak="0">
    <w:nsid w:val="76AD2395"/>
    <w:multiLevelType w:val="hybridMultilevel"/>
    <w:tmpl w:val="962EE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abstractNum w:abstractNumId="20"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num w:numId="1">
    <w:abstractNumId w:val="6"/>
  </w:num>
  <w:num w:numId="2">
    <w:abstractNumId w:val="2"/>
  </w:num>
  <w:num w:numId="3">
    <w:abstractNumId w:val="0"/>
  </w:num>
  <w:num w:numId="4">
    <w:abstractNumId w:val="12"/>
  </w:num>
  <w:num w:numId="5">
    <w:abstractNumId w:val="13"/>
  </w:num>
  <w:num w:numId="6">
    <w:abstractNumId w:val="18"/>
  </w:num>
  <w:num w:numId="7">
    <w:abstractNumId w:val="1"/>
  </w:num>
  <w:num w:numId="8">
    <w:abstractNumId w:val="19"/>
  </w:num>
  <w:num w:numId="9">
    <w:abstractNumId w:val="15"/>
  </w:num>
  <w:num w:numId="10">
    <w:abstractNumId w:val="17"/>
  </w:num>
  <w:num w:numId="11">
    <w:abstractNumId w:val="8"/>
  </w:num>
  <w:num w:numId="12">
    <w:abstractNumId w:val="9"/>
  </w:num>
  <w:num w:numId="13">
    <w:abstractNumId w:val="10"/>
  </w:num>
  <w:num w:numId="14">
    <w:abstractNumId w:val="11"/>
  </w:num>
  <w:num w:numId="15">
    <w:abstractNumId w:val="14"/>
  </w:num>
  <w:num w:numId="16">
    <w:abstractNumId w:val="16"/>
  </w:num>
  <w:num w:numId="17">
    <w:abstractNumId w:val="4"/>
  </w:num>
  <w:num w:numId="18">
    <w:abstractNumId w:val="7"/>
  </w:num>
  <w:num w:numId="19">
    <w:abstractNumId w:val="5"/>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567"/>
  <w:evenAndOddHeaders/>
  <w:characterSpacingControl w:val="doNotCompress"/>
  <w:hdrShapeDefaults>
    <o:shapedefaults v:ext="edit" spidmax="6553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72"/>
    <w:rsid w:val="00046E92"/>
    <w:rsid w:val="0006779F"/>
    <w:rsid w:val="00074AF2"/>
    <w:rsid w:val="0007681F"/>
    <w:rsid w:val="00084FF9"/>
    <w:rsid w:val="000E2B28"/>
    <w:rsid w:val="001170DC"/>
    <w:rsid w:val="00127137"/>
    <w:rsid w:val="001538F8"/>
    <w:rsid w:val="001716B0"/>
    <w:rsid w:val="0018383C"/>
    <w:rsid w:val="001847F6"/>
    <w:rsid w:val="001A5D77"/>
    <w:rsid w:val="001B10F1"/>
    <w:rsid w:val="001E0828"/>
    <w:rsid w:val="001E6BB6"/>
    <w:rsid w:val="00247E2C"/>
    <w:rsid w:val="0025257B"/>
    <w:rsid w:val="00273D6D"/>
    <w:rsid w:val="0027472B"/>
    <w:rsid w:val="00291666"/>
    <w:rsid w:val="002B2F4B"/>
    <w:rsid w:val="002B587F"/>
    <w:rsid w:val="002C3D1C"/>
    <w:rsid w:val="002D6C53"/>
    <w:rsid w:val="002E1F78"/>
    <w:rsid w:val="002E6158"/>
    <w:rsid w:val="002F5595"/>
    <w:rsid w:val="002F5F00"/>
    <w:rsid w:val="00334F6A"/>
    <w:rsid w:val="00336ADA"/>
    <w:rsid w:val="00342AC8"/>
    <w:rsid w:val="00357D54"/>
    <w:rsid w:val="00364BA1"/>
    <w:rsid w:val="00395CFD"/>
    <w:rsid w:val="003960F8"/>
    <w:rsid w:val="003B1001"/>
    <w:rsid w:val="003B4550"/>
    <w:rsid w:val="003D077D"/>
    <w:rsid w:val="003F7E95"/>
    <w:rsid w:val="004345E1"/>
    <w:rsid w:val="00461253"/>
    <w:rsid w:val="00464A86"/>
    <w:rsid w:val="00470FE6"/>
    <w:rsid w:val="004A21AE"/>
    <w:rsid w:val="004E2168"/>
    <w:rsid w:val="004F24B3"/>
    <w:rsid w:val="004F4A88"/>
    <w:rsid w:val="005042C2"/>
    <w:rsid w:val="00510F8F"/>
    <w:rsid w:val="005226BE"/>
    <w:rsid w:val="00530B94"/>
    <w:rsid w:val="00572632"/>
    <w:rsid w:val="005843F6"/>
    <w:rsid w:val="005E769A"/>
    <w:rsid w:val="005F05CF"/>
    <w:rsid w:val="005F1D4F"/>
    <w:rsid w:val="0061403D"/>
    <w:rsid w:val="00671529"/>
    <w:rsid w:val="00676C31"/>
    <w:rsid w:val="00687B5C"/>
    <w:rsid w:val="00694649"/>
    <w:rsid w:val="006A3BE4"/>
    <w:rsid w:val="006A7DCE"/>
    <w:rsid w:val="006A7F9C"/>
    <w:rsid w:val="006C6FD2"/>
    <w:rsid w:val="006D2DA5"/>
    <w:rsid w:val="006D4024"/>
    <w:rsid w:val="006D4218"/>
    <w:rsid w:val="006D5792"/>
    <w:rsid w:val="006E37E6"/>
    <w:rsid w:val="00716275"/>
    <w:rsid w:val="00717266"/>
    <w:rsid w:val="007268F9"/>
    <w:rsid w:val="00784B77"/>
    <w:rsid w:val="0079078E"/>
    <w:rsid w:val="007A3B8A"/>
    <w:rsid w:val="007C52B0"/>
    <w:rsid w:val="007C7DA9"/>
    <w:rsid w:val="007D5D06"/>
    <w:rsid w:val="007E392A"/>
    <w:rsid w:val="008041D0"/>
    <w:rsid w:val="00851F13"/>
    <w:rsid w:val="00853410"/>
    <w:rsid w:val="008633F0"/>
    <w:rsid w:val="00871BA3"/>
    <w:rsid w:val="008B21A4"/>
    <w:rsid w:val="008C0AF4"/>
    <w:rsid w:val="008D5562"/>
    <w:rsid w:val="008E575C"/>
    <w:rsid w:val="009411B4"/>
    <w:rsid w:val="00966670"/>
    <w:rsid w:val="0099318D"/>
    <w:rsid w:val="009C2606"/>
    <w:rsid w:val="009D0139"/>
    <w:rsid w:val="009F5CDC"/>
    <w:rsid w:val="00A22217"/>
    <w:rsid w:val="00A47CC7"/>
    <w:rsid w:val="00A50206"/>
    <w:rsid w:val="00A74B87"/>
    <w:rsid w:val="00A775CF"/>
    <w:rsid w:val="00AA6541"/>
    <w:rsid w:val="00AB3C7E"/>
    <w:rsid w:val="00AE2646"/>
    <w:rsid w:val="00AE2D4C"/>
    <w:rsid w:val="00AF2554"/>
    <w:rsid w:val="00B06045"/>
    <w:rsid w:val="00B30F57"/>
    <w:rsid w:val="00B36538"/>
    <w:rsid w:val="00B56D57"/>
    <w:rsid w:val="00B72FE0"/>
    <w:rsid w:val="00BB589D"/>
    <w:rsid w:val="00BE636B"/>
    <w:rsid w:val="00C04C54"/>
    <w:rsid w:val="00C3554E"/>
    <w:rsid w:val="00C35A27"/>
    <w:rsid w:val="00C54B5C"/>
    <w:rsid w:val="00C70700"/>
    <w:rsid w:val="00C92698"/>
    <w:rsid w:val="00CB6572"/>
    <w:rsid w:val="00CE202D"/>
    <w:rsid w:val="00D32431"/>
    <w:rsid w:val="00D41682"/>
    <w:rsid w:val="00D658B2"/>
    <w:rsid w:val="00D74315"/>
    <w:rsid w:val="00DA1F61"/>
    <w:rsid w:val="00DA43C8"/>
    <w:rsid w:val="00DF2EA0"/>
    <w:rsid w:val="00DF5519"/>
    <w:rsid w:val="00E02C2B"/>
    <w:rsid w:val="00E06A76"/>
    <w:rsid w:val="00E23406"/>
    <w:rsid w:val="00E24141"/>
    <w:rsid w:val="00E4706D"/>
    <w:rsid w:val="00E60370"/>
    <w:rsid w:val="00EA42BD"/>
    <w:rsid w:val="00ED1F24"/>
    <w:rsid w:val="00ED6C48"/>
    <w:rsid w:val="00EE5F0C"/>
    <w:rsid w:val="00F50852"/>
    <w:rsid w:val="00F65F5D"/>
    <w:rsid w:val="00F86A3A"/>
    <w:rsid w:val="00FB1744"/>
    <w:rsid w:val="00FC1414"/>
    <w:rsid w:val="00FC4F92"/>
    <w:rsid w:val="00FF03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EECF46E"/>
  <w15:docId w15:val="{42D76EBB-C70C-46DF-A411-C25F7DF4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table" w:customStyle="1" w:styleId="TableGrid1">
    <w:name w:val="Table Grid1"/>
    <w:basedOn w:val="TableNormal"/>
    <w:next w:val="TableGrid"/>
    <w:rsid w:val="00F508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1403D"/>
    <w:rPr>
      <w:rFonts w:cs="Courier New"/>
    </w:rPr>
  </w:style>
  <w:style w:type="character" w:customStyle="1" w:styleId="PlainTextChar">
    <w:name w:val="Plain Text Char"/>
    <w:basedOn w:val="DefaultParagraphFont"/>
    <w:link w:val="PlainText"/>
    <w:semiHidden/>
    <w:rsid w:val="0061403D"/>
    <w:rPr>
      <w:rFonts w:ascii="Times New Roman" w:eastAsia="Times New Roman" w:hAnsi="Times New Roman" w:cs="Courier New"/>
      <w:sz w:val="20"/>
      <w:szCs w:val="20"/>
      <w:lang w:eastAsia="en-US"/>
    </w:rPr>
  </w:style>
  <w:style w:type="paragraph" w:styleId="NoSpacing">
    <w:name w:val="No Spacing"/>
    <w:basedOn w:val="Normal"/>
    <w:uiPriority w:val="1"/>
    <w:qFormat/>
    <w:rsid w:val="00DA43C8"/>
    <w:pPr>
      <w:suppressAutoHyphens w:val="0"/>
      <w:spacing w:line="240" w:lineRule="auto"/>
    </w:pPr>
    <w:rPr>
      <w:rFonts w:ascii="Calibri" w:eastAsia="Calibri" w:hAnsi="Calibri"/>
      <w:sz w:val="22"/>
      <w:szCs w:val="22"/>
      <w:lang w:val="ru-RU"/>
    </w:rPr>
  </w:style>
  <w:style w:type="paragraph" w:styleId="ListBullet">
    <w:name w:val="List Bullet"/>
    <w:basedOn w:val="Normal"/>
    <w:rsid w:val="00E23406"/>
    <w:pPr>
      <w:numPr>
        <w:numId w:val="21"/>
      </w:numPr>
      <w:suppressAutoHyphens w:val="0"/>
      <w:spacing w:after="200" w:line="276" w:lineRule="auto"/>
      <w:ind w:left="360" w:hanging="360"/>
      <w:contextualSpacing/>
    </w:pPr>
    <w:rPr>
      <w:rFonts w:ascii="Calibri" w:hAnsi="Calibri"/>
      <w:snapToGrid w:val="0"/>
      <w:sz w:val="22"/>
      <w:szCs w:val="22"/>
      <w:lang w:val="nl-NL" w:eastAsia="fr-FR"/>
    </w:rPr>
  </w:style>
  <w:style w:type="character" w:customStyle="1" w:styleId="SingleTxtGChar">
    <w:name w:val="_ Single Txt_G Char"/>
    <w:link w:val="SingleTxtG"/>
    <w:rsid w:val="00D658B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1594">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E42B-79AD-4378-8F98-E9E06844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1508536</vt:lpstr>
    </vt:vector>
  </TitlesOfParts>
  <Company>DCM</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1508536</dc:title>
  <dc:subject>ECE/TRANS/WP.15/AC.2/2015/14</dc:subject>
  <dc:creator>Anni Vi Tirol</dc:creator>
  <dc:description>final</dc:description>
  <cp:lastModifiedBy>Marie-Claude Collet</cp:lastModifiedBy>
  <cp:revision>18</cp:revision>
  <cp:lastPrinted>2017-06-02T13:28:00Z</cp:lastPrinted>
  <dcterms:created xsi:type="dcterms:W3CDTF">2017-06-02T12:34:00Z</dcterms:created>
  <dcterms:modified xsi:type="dcterms:W3CDTF">2017-06-09T06:34:00Z</dcterms:modified>
</cp:coreProperties>
</file>