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02D50" w:rsidRPr="00602D50" w14:paraId="0D71ECFB" w14:textId="77777777" w:rsidTr="007660A3">
        <w:trPr>
          <w:trHeight w:hRule="exact" w:val="851"/>
        </w:trPr>
        <w:tc>
          <w:tcPr>
            <w:tcW w:w="1276" w:type="dxa"/>
            <w:tcBorders>
              <w:bottom w:val="single" w:sz="4" w:space="0" w:color="auto"/>
            </w:tcBorders>
          </w:tcPr>
          <w:p w14:paraId="7A198850" w14:textId="77777777" w:rsidR="00602D50" w:rsidRPr="00602D50" w:rsidRDefault="00602D50" w:rsidP="00F37C29">
            <w:pPr>
              <w:pStyle w:val="Subtitle"/>
            </w:pPr>
          </w:p>
        </w:tc>
        <w:tc>
          <w:tcPr>
            <w:tcW w:w="2268" w:type="dxa"/>
            <w:tcBorders>
              <w:bottom w:val="single" w:sz="4" w:space="0" w:color="auto"/>
            </w:tcBorders>
            <w:vAlign w:val="bottom"/>
          </w:tcPr>
          <w:p w14:paraId="408F4C9D" w14:textId="77777777" w:rsidR="00602D50" w:rsidRPr="00602D50" w:rsidRDefault="00602D50" w:rsidP="00602D50">
            <w:pPr>
              <w:spacing w:after="80" w:line="300" w:lineRule="exact"/>
              <w:rPr>
                <w:sz w:val="28"/>
                <w:lang w:val="fr-CH"/>
              </w:rPr>
            </w:pPr>
            <w:r w:rsidRPr="00602D50">
              <w:rPr>
                <w:sz w:val="28"/>
                <w:lang w:val="fr-CH"/>
              </w:rPr>
              <w:t>Nations Unies</w:t>
            </w:r>
          </w:p>
        </w:tc>
        <w:tc>
          <w:tcPr>
            <w:tcW w:w="6095" w:type="dxa"/>
            <w:gridSpan w:val="2"/>
            <w:tcBorders>
              <w:bottom w:val="single" w:sz="4" w:space="0" w:color="auto"/>
            </w:tcBorders>
            <w:vAlign w:val="bottom"/>
          </w:tcPr>
          <w:p w14:paraId="547AFE12" w14:textId="77777777" w:rsidR="00602D50" w:rsidRPr="00602D50" w:rsidRDefault="00602D50" w:rsidP="00602D50">
            <w:pPr>
              <w:jc w:val="right"/>
              <w:rPr>
                <w:lang w:val="fr-CH"/>
              </w:rPr>
            </w:pPr>
            <w:r w:rsidRPr="00602D50">
              <w:rPr>
                <w:sz w:val="40"/>
                <w:lang w:val="fr-CH"/>
              </w:rPr>
              <w:t>ECE</w:t>
            </w:r>
            <w:r w:rsidRPr="00602D50">
              <w:rPr>
                <w:lang w:val="fr-CH"/>
              </w:rPr>
              <w:t>/TRANS/WP.15/AC.2/6</w:t>
            </w:r>
            <w:r>
              <w:rPr>
                <w:lang w:val="fr-CH"/>
              </w:rPr>
              <w:t>2</w:t>
            </w:r>
          </w:p>
        </w:tc>
      </w:tr>
      <w:tr w:rsidR="00602D50" w:rsidRPr="00EF623D" w14:paraId="646F2A10" w14:textId="77777777" w:rsidTr="007660A3">
        <w:trPr>
          <w:trHeight w:hRule="exact" w:val="2835"/>
        </w:trPr>
        <w:tc>
          <w:tcPr>
            <w:tcW w:w="1276" w:type="dxa"/>
            <w:tcBorders>
              <w:top w:val="single" w:sz="4" w:space="0" w:color="auto"/>
              <w:bottom w:val="single" w:sz="12" w:space="0" w:color="auto"/>
            </w:tcBorders>
          </w:tcPr>
          <w:p w14:paraId="669D16FF" w14:textId="77777777" w:rsidR="00602D50" w:rsidRPr="00602D50" w:rsidRDefault="00D62059" w:rsidP="00602D50">
            <w:pPr>
              <w:spacing w:before="120"/>
              <w:jc w:val="center"/>
            </w:pPr>
            <w:r>
              <w:rPr>
                <w:noProof/>
                <w:lang w:eastAsia="en-GB"/>
              </w:rPr>
              <w:pict w14:anchorId="39E91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5pt;height:47pt;visibility:visible;mso-wrap-style:square">
                  <v:imagedata r:id="rId7" o:title="_unlogo"/>
                </v:shape>
              </w:pict>
            </w:r>
          </w:p>
        </w:tc>
        <w:tc>
          <w:tcPr>
            <w:tcW w:w="5528" w:type="dxa"/>
            <w:gridSpan w:val="2"/>
            <w:tcBorders>
              <w:top w:val="single" w:sz="4" w:space="0" w:color="auto"/>
              <w:bottom w:val="single" w:sz="12" w:space="0" w:color="auto"/>
            </w:tcBorders>
          </w:tcPr>
          <w:p w14:paraId="33882F38" w14:textId="77777777" w:rsidR="00602D50" w:rsidRPr="00602D50" w:rsidRDefault="00602D50" w:rsidP="00602D50">
            <w:pPr>
              <w:spacing w:before="120" w:line="420" w:lineRule="exact"/>
              <w:rPr>
                <w:b/>
                <w:sz w:val="40"/>
                <w:szCs w:val="40"/>
                <w:lang w:val="fr-CH"/>
              </w:rPr>
            </w:pPr>
            <w:r w:rsidRPr="00602D50">
              <w:rPr>
                <w:b/>
                <w:sz w:val="40"/>
                <w:szCs w:val="40"/>
                <w:lang w:val="fr-CH"/>
              </w:rPr>
              <w:t>Conseil économique et social</w:t>
            </w:r>
          </w:p>
        </w:tc>
        <w:tc>
          <w:tcPr>
            <w:tcW w:w="2835" w:type="dxa"/>
            <w:tcBorders>
              <w:top w:val="single" w:sz="4" w:space="0" w:color="auto"/>
              <w:bottom w:val="single" w:sz="12" w:space="0" w:color="auto"/>
            </w:tcBorders>
          </w:tcPr>
          <w:p w14:paraId="0A88577B" w14:textId="77777777" w:rsidR="00602D50" w:rsidRPr="00602D50" w:rsidRDefault="00602D50" w:rsidP="00602D50">
            <w:pPr>
              <w:spacing w:before="240" w:line="240" w:lineRule="exact"/>
              <w:rPr>
                <w:lang w:val="fr-CH"/>
              </w:rPr>
            </w:pPr>
            <w:r w:rsidRPr="00602D50">
              <w:rPr>
                <w:lang w:val="fr-CH"/>
              </w:rPr>
              <w:t>Distr. générale</w:t>
            </w:r>
          </w:p>
          <w:p w14:paraId="2B90BEE2" w14:textId="719D8D4D" w:rsidR="00602D50" w:rsidRPr="00602D50" w:rsidRDefault="003542FA" w:rsidP="00602D50">
            <w:pPr>
              <w:spacing w:line="240" w:lineRule="exact"/>
              <w:rPr>
                <w:lang w:val="fr-CH"/>
              </w:rPr>
            </w:pPr>
            <w:r>
              <w:rPr>
                <w:lang w:val="fr-CH"/>
              </w:rPr>
              <w:t>10</w:t>
            </w:r>
            <w:r w:rsidR="00602D50" w:rsidRPr="00602D50">
              <w:rPr>
                <w:lang w:val="fr-CH"/>
              </w:rPr>
              <w:t xml:space="preserve"> </w:t>
            </w:r>
            <w:r w:rsidR="00602D50">
              <w:rPr>
                <w:lang w:val="fr-CH"/>
              </w:rPr>
              <w:t>février</w:t>
            </w:r>
            <w:r w:rsidR="00602D50" w:rsidRPr="00602D50">
              <w:rPr>
                <w:lang w:val="fr-CH"/>
              </w:rPr>
              <w:t xml:space="preserve"> 201</w:t>
            </w:r>
            <w:r w:rsidR="00602D50">
              <w:rPr>
                <w:lang w:val="fr-CH"/>
              </w:rPr>
              <w:t>7</w:t>
            </w:r>
          </w:p>
          <w:p w14:paraId="6AF7BC97" w14:textId="77777777" w:rsidR="00602D50" w:rsidRPr="00602D50" w:rsidRDefault="00602D50" w:rsidP="00602D50">
            <w:pPr>
              <w:spacing w:line="240" w:lineRule="exact"/>
              <w:rPr>
                <w:lang w:val="fr-CH"/>
              </w:rPr>
            </w:pPr>
            <w:r w:rsidRPr="00602D50">
              <w:rPr>
                <w:lang w:val="fr-CH"/>
              </w:rPr>
              <w:t>Français</w:t>
            </w:r>
          </w:p>
          <w:p w14:paraId="3D0ADA8D" w14:textId="77777777" w:rsidR="00602D50" w:rsidRPr="00602D50" w:rsidRDefault="00602D50" w:rsidP="00602D50">
            <w:pPr>
              <w:spacing w:line="240" w:lineRule="exact"/>
              <w:rPr>
                <w:lang w:val="fr-CH"/>
              </w:rPr>
            </w:pPr>
            <w:r w:rsidRPr="00602D50">
              <w:rPr>
                <w:lang w:val="fr-CH"/>
              </w:rPr>
              <w:t>Original: anglais et français</w:t>
            </w:r>
          </w:p>
        </w:tc>
      </w:tr>
    </w:tbl>
    <w:p w14:paraId="17AD95A9" w14:textId="77777777" w:rsidR="00602D50" w:rsidRPr="00602D50" w:rsidRDefault="00602D50" w:rsidP="00602D50">
      <w:pPr>
        <w:spacing w:before="120"/>
        <w:rPr>
          <w:b/>
          <w:sz w:val="28"/>
          <w:szCs w:val="28"/>
          <w:lang w:val="fr-FR"/>
        </w:rPr>
      </w:pPr>
      <w:r w:rsidRPr="00602D50">
        <w:rPr>
          <w:b/>
          <w:sz w:val="28"/>
          <w:szCs w:val="28"/>
          <w:lang w:val="fr-FR"/>
        </w:rPr>
        <w:t xml:space="preserve">Commission </w:t>
      </w:r>
      <w:r w:rsidRPr="00602D50">
        <w:rPr>
          <w:b/>
          <w:sz w:val="28"/>
          <w:szCs w:val="28"/>
          <w:lang w:val="fr-CH"/>
        </w:rPr>
        <w:t>économique</w:t>
      </w:r>
      <w:r w:rsidRPr="00602D50">
        <w:rPr>
          <w:b/>
          <w:sz w:val="28"/>
          <w:szCs w:val="28"/>
          <w:lang w:val="fr-FR"/>
        </w:rPr>
        <w:t xml:space="preserve"> pour </w:t>
      </w:r>
      <w:r w:rsidRPr="00602D50">
        <w:rPr>
          <w:b/>
          <w:sz w:val="28"/>
          <w:szCs w:val="28"/>
          <w:lang w:val="fr-CH"/>
        </w:rPr>
        <w:t>l’Europe</w:t>
      </w:r>
    </w:p>
    <w:p w14:paraId="795332CE" w14:textId="77777777" w:rsidR="00602D50" w:rsidRPr="00602D50" w:rsidRDefault="00602D50" w:rsidP="00602D50">
      <w:pPr>
        <w:spacing w:before="120"/>
        <w:rPr>
          <w:sz w:val="28"/>
          <w:szCs w:val="28"/>
          <w:lang w:val="fr-FR"/>
        </w:rPr>
      </w:pPr>
      <w:r w:rsidRPr="00602D50">
        <w:rPr>
          <w:sz w:val="28"/>
          <w:szCs w:val="28"/>
          <w:lang w:val="fr-CH"/>
        </w:rPr>
        <w:t>Comité</w:t>
      </w:r>
      <w:r w:rsidRPr="00602D50">
        <w:rPr>
          <w:sz w:val="28"/>
          <w:szCs w:val="28"/>
          <w:lang w:val="fr-FR"/>
        </w:rPr>
        <w:t xml:space="preserve"> des transports </w:t>
      </w:r>
      <w:r w:rsidRPr="00602D50">
        <w:rPr>
          <w:sz w:val="28"/>
          <w:szCs w:val="28"/>
          <w:lang w:val="fr-CH"/>
        </w:rPr>
        <w:t>intérieurs</w:t>
      </w:r>
    </w:p>
    <w:p w14:paraId="07D114CE" w14:textId="77777777" w:rsidR="00602D50" w:rsidRPr="00602D50" w:rsidRDefault="00602D50" w:rsidP="00602D50">
      <w:pPr>
        <w:spacing w:before="120"/>
        <w:rPr>
          <w:b/>
          <w:sz w:val="24"/>
          <w:szCs w:val="24"/>
          <w:lang w:val="fr-FR"/>
        </w:rPr>
      </w:pPr>
      <w:r w:rsidRPr="00602D50">
        <w:rPr>
          <w:b/>
          <w:sz w:val="24"/>
          <w:szCs w:val="24"/>
          <w:lang w:val="fr-CH"/>
        </w:rPr>
        <w:t>Groupe</w:t>
      </w:r>
      <w:r w:rsidRPr="00602D50">
        <w:rPr>
          <w:b/>
          <w:sz w:val="24"/>
          <w:szCs w:val="24"/>
          <w:lang w:val="fr-FR"/>
        </w:rPr>
        <w:t xml:space="preserve"> de travail des transports</w:t>
      </w:r>
      <w:r w:rsidRPr="00602D50">
        <w:rPr>
          <w:b/>
          <w:sz w:val="24"/>
          <w:szCs w:val="24"/>
          <w:lang w:val="fr-FR"/>
        </w:rPr>
        <w:br/>
        <w:t xml:space="preserve">de </w:t>
      </w:r>
      <w:r w:rsidRPr="00602D50">
        <w:rPr>
          <w:b/>
          <w:sz w:val="24"/>
          <w:szCs w:val="24"/>
          <w:lang w:val="fr-CH"/>
        </w:rPr>
        <w:t>marchandises</w:t>
      </w:r>
      <w:r w:rsidRPr="00602D50">
        <w:rPr>
          <w:b/>
          <w:sz w:val="24"/>
          <w:szCs w:val="24"/>
          <w:lang w:val="fr-FR"/>
        </w:rPr>
        <w:t xml:space="preserve"> </w:t>
      </w:r>
      <w:r w:rsidRPr="00602D50">
        <w:rPr>
          <w:b/>
          <w:sz w:val="24"/>
          <w:szCs w:val="24"/>
          <w:lang w:val="fr-CH"/>
        </w:rPr>
        <w:t>dangereuses</w:t>
      </w:r>
    </w:p>
    <w:p w14:paraId="7B17E1FF" w14:textId="77777777" w:rsidR="00602D50" w:rsidRPr="00602D50" w:rsidRDefault="00602D50" w:rsidP="00602D50">
      <w:pPr>
        <w:spacing w:before="120"/>
        <w:rPr>
          <w:b/>
          <w:lang w:val="fr-FR"/>
        </w:rPr>
      </w:pPr>
      <w:r w:rsidRPr="00602D50">
        <w:rPr>
          <w:b/>
          <w:lang w:val="fr-FR"/>
        </w:rPr>
        <w:t>Réunion commune d’experts sur le Règlement annexé</w:t>
      </w:r>
      <w:r w:rsidRPr="00602D50">
        <w:rPr>
          <w:b/>
          <w:lang w:val="fr-FR"/>
        </w:rPr>
        <w:br/>
        <w:t>à l’Accord européen relatif au transport international</w:t>
      </w:r>
      <w:r w:rsidRPr="00602D50">
        <w:rPr>
          <w:b/>
          <w:lang w:val="fr-FR"/>
        </w:rPr>
        <w:br/>
        <w:t xml:space="preserve">des marchandises </w:t>
      </w:r>
      <w:r w:rsidRPr="00602D50">
        <w:rPr>
          <w:b/>
          <w:bCs/>
          <w:iCs/>
          <w:lang w:val="fr-FR"/>
        </w:rPr>
        <w:t>dangereuses par voies de navigation</w:t>
      </w:r>
      <w:r w:rsidRPr="00602D50">
        <w:rPr>
          <w:b/>
          <w:bCs/>
          <w:iCs/>
          <w:lang w:val="fr-FR"/>
        </w:rPr>
        <w:br/>
        <w:t xml:space="preserve">intérieures (ADN) </w:t>
      </w:r>
      <w:r w:rsidRPr="00602D50">
        <w:rPr>
          <w:b/>
          <w:bCs/>
          <w:lang w:val="fr-FR"/>
        </w:rPr>
        <w:t>(Comité de sécurité de l’ADN)</w:t>
      </w:r>
    </w:p>
    <w:p w14:paraId="5E45F88F" w14:textId="77777777" w:rsidR="00602D50" w:rsidRPr="00602D50" w:rsidRDefault="00602D50" w:rsidP="00602D50">
      <w:pPr>
        <w:spacing w:before="120"/>
        <w:rPr>
          <w:b/>
          <w:lang w:val="fr-FR"/>
        </w:rPr>
      </w:pPr>
      <w:r>
        <w:rPr>
          <w:b/>
          <w:lang w:val="fr-FR"/>
        </w:rPr>
        <w:t>Trentième</w:t>
      </w:r>
      <w:r w:rsidRPr="00602D50">
        <w:rPr>
          <w:b/>
          <w:lang w:val="fr-FR"/>
        </w:rPr>
        <w:t xml:space="preserve"> session</w:t>
      </w:r>
    </w:p>
    <w:p w14:paraId="3D5D68C8" w14:textId="77777777" w:rsidR="00602D50" w:rsidRPr="00602D50" w:rsidRDefault="00602D50" w:rsidP="00602D50">
      <w:pPr>
        <w:rPr>
          <w:lang w:val="fr-FR"/>
        </w:rPr>
      </w:pPr>
      <w:r w:rsidRPr="00602D50">
        <w:rPr>
          <w:lang w:val="fr-FR"/>
        </w:rPr>
        <w:t>Genève, 2</w:t>
      </w:r>
      <w:r>
        <w:rPr>
          <w:lang w:val="fr-FR"/>
        </w:rPr>
        <w:t>3</w:t>
      </w:r>
      <w:r w:rsidRPr="00602D50">
        <w:rPr>
          <w:lang w:val="fr-FR"/>
        </w:rPr>
        <w:t>-2</w:t>
      </w:r>
      <w:r>
        <w:rPr>
          <w:lang w:val="fr-FR"/>
        </w:rPr>
        <w:t>7</w:t>
      </w:r>
      <w:r w:rsidRPr="00602D50">
        <w:rPr>
          <w:lang w:val="fr-FR"/>
        </w:rPr>
        <w:t xml:space="preserve"> </w:t>
      </w:r>
      <w:r>
        <w:rPr>
          <w:lang w:val="fr-FR"/>
        </w:rPr>
        <w:t>janvier</w:t>
      </w:r>
      <w:r w:rsidRPr="00602D50">
        <w:rPr>
          <w:lang w:val="fr-FR"/>
        </w:rPr>
        <w:t xml:space="preserve"> 201</w:t>
      </w:r>
      <w:r>
        <w:rPr>
          <w:lang w:val="fr-FR"/>
        </w:rPr>
        <w:t>7</w:t>
      </w:r>
    </w:p>
    <w:p w14:paraId="43898A89" w14:textId="77777777" w:rsidR="00602D50" w:rsidRDefault="00602D50" w:rsidP="00602D50">
      <w:pPr>
        <w:keepNext/>
        <w:keepLines/>
        <w:tabs>
          <w:tab w:val="right" w:pos="851"/>
        </w:tabs>
        <w:spacing w:before="360" w:after="240" w:line="300" w:lineRule="exact"/>
        <w:ind w:left="1134" w:right="1134" w:hanging="1134"/>
        <w:rPr>
          <w:b/>
          <w:sz w:val="28"/>
          <w:lang w:val="fr-CH"/>
        </w:rPr>
      </w:pPr>
      <w:r w:rsidRPr="00602D50">
        <w:rPr>
          <w:b/>
          <w:sz w:val="28"/>
          <w:lang w:val="fr-CH"/>
        </w:rPr>
        <w:tab/>
      </w:r>
      <w:r w:rsidRPr="00602D50">
        <w:rPr>
          <w:b/>
          <w:sz w:val="28"/>
          <w:lang w:val="fr-CH"/>
        </w:rPr>
        <w:tab/>
      </w:r>
      <w:bookmarkStart w:id="0" w:name="_Toc397355957"/>
      <w:bookmarkStart w:id="1" w:name="_Toc410740078"/>
      <w:bookmarkStart w:id="2" w:name="_Toc410740227"/>
      <w:bookmarkStart w:id="3" w:name="_Toc428948861"/>
      <w:bookmarkStart w:id="4" w:name="_Toc442370946"/>
      <w:r w:rsidRPr="00602D50">
        <w:rPr>
          <w:b/>
          <w:sz w:val="28"/>
          <w:lang w:val="fr-CH"/>
        </w:rPr>
        <w:t xml:space="preserve">Rapport de la Réunion commune d’experts sur le Règlement annexé à l’Accord européen relatif au transport international des marchandises dangereuses par voies de navigation intérieures (ADN) (Comité de sécurité de l’ADN) sur sa </w:t>
      </w:r>
      <w:r w:rsidRPr="00602D50">
        <w:rPr>
          <w:b/>
          <w:sz w:val="28"/>
          <w:lang w:val="fr-CH"/>
        </w:rPr>
        <w:br/>
      </w:r>
      <w:r>
        <w:rPr>
          <w:b/>
          <w:sz w:val="28"/>
          <w:lang w:val="fr-CH"/>
        </w:rPr>
        <w:t>trentième</w:t>
      </w:r>
      <w:r w:rsidRPr="00602D50">
        <w:rPr>
          <w:b/>
          <w:sz w:val="28"/>
          <w:lang w:val="fr-CH"/>
        </w:rPr>
        <w:t xml:space="preserve"> session</w:t>
      </w:r>
      <w:bookmarkEnd w:id="0"/>
      <w:bookmarkEnd w:id="1"/>
      <w:bookmarkEnd w:id="2"/>
      <w:bookmarkEnd w:id="3"/>
      <w:bookmarkEnd w:id="4"/>
      <w:r w:rsidR="00B84024" w:rsidRPr="00B84024">
        <w:rPr>
          <w:rStyle w:val="FootnoteReference"/>
          <w:sz w:val="20"/>
          <w:vertAlign w:val="baseline"/>
          <w:lang w:val="fr-CH"/>
        </w:rPr>
        <w:footnoteReference w:customMarkFollows="1" w:id="2"/>
        <w:t>*</w:t>
      </w:r>
    </w:p>
    <w:p w14:paraId="0E94875C" w14:textId="77777777" w:rsidR="00602D50" w:rsidRPr="00602D50" w:rsidRDefault="00602D50" w:rsidP="00602D50">
      <w:pPr>
        <w:spacing w:after="120"/>
        <w:rPr>
          <w:sz w:val="28"/>
          <w:lang w:val="fr-CH"/>
        </w:rPr>
      </w:pPr>
      <w:r>
        <w:rPr>
          <w:b/>
          <w:sz w:val="28"/>
          <w:lang w:val="fr-CH"/>
        </w:rPr>
        <w:br w:type="page"/>
      </w:r>
      <w:r w:rsidRPr="00602D50">
        <w:rPr>
          <w:sz w:val="28"/>
          <w:lang w:val="fr-CH"/>
        </w:rPr>
        <w:lastRenderedPageBreak/>
        <w:t>Table des matières</w:t>
      </w:r>
    </w:p>
    <w:p w14:paraId="731982E0" w14:textId="77777777" w:rsidR="00602D50" w:rsidRPr="00602D50" w:rsidRDefault="00602D50" w:rsidP="00602D50">
      <w:pPr>
        <w:tabs>
          <w:tab w:val="right" w:pos="8929"/>
          <w:tab w:val="right" w:pos="9638"/>
        </w:tabs>
        <w:spacing w:after="120"/>
        <w:ind w:left="283"/>
        <w:rPr>
          <w:lang w:val="fr-CH"/>
        </w:rPr>
      </w:pPr>
      <w:r w:rsidRPr="00602D50">
        <w:rPr>
          <w:i/>
          <w:sz w:val="18"/>
          <w:lang w:val="fr-FR"/>
        </w:rPr>
        <w:tab/>
        <w:t>Paragraphes</w:t>
      </w:r>
      <w:r w:rsidRPr="00602D50">
        <w:rPr>
          <w:i/>
          <w:sz w:val="18"/>
          <w:lang w:val="fr-FR"/>
        </w:rPr>
        <w:tab/>
        <w:t>Page</w:t>
      </w:r>
      <w:r w:rsidRPr="00602D50">
        <w:rPr>
          <w:lang w:val="fr-CH"/>
        </w:rPr>
        <w:t xml:space="preserve"> </w:t>
      </w:r>
    </w:p>
    <w:p w14:paraId="34BEBCE4" w14:textId="77777777" w:rsidR="00602D50" w:rsidRPr="00602D50" w:rsidRDefault="00602D50" w:rsidP="00602D50">
      <w:pPr>
        <w:tabs>
          <w:tab w:val="right" w:pos="850"/>
          <w:tab w:val="left" w:pos="1134"/>
          <w:tab w:val="left" w:pos="1559"/>
          <w:tab w:val="left" w:pos="1984"/>
          <w:tab w:val="left" w:leader="dot" w:pos="7654"/>
          <w:tab w:val="right" w:pos="8929"/>
          <w:tab w:val="right" w:pos="9638"/>
        </w:tabs>
        <w:spacing w:after="120" w:line="220" w:lineRule="atLeast"/>
        <w:rPr>
          <w:noProof/>
          <w:webHidden/>
          <w:lang w:val="fr-CH"/>
        </w:rPr>
      </w:pPr>
      <w:r w:rsidRPr="00602D50">
        <w:rPr>
          <w:noProof/>
          <w:lang w:val="fr-CH"/>
        </w:rPr>
        <w:tab/>
        <w:t>I.</w:t>
      </w:r>
      <w:r w:rsidRPr="00602D50">
        <w:rPr>
          <w:noProof/>
          <w:lang w:val="fr-CH"/>
        </w:rPr>
        <w:tab/>
        <w:t>Participation</w:t>
      </w:r>
      <w:r w:rsidRPr="00602D50">
        <w:rPr>
          <w:noProof/>
          <w:webHidden/>
          <w:lang w:val="fr-CH"/>
        </w:rPr>
        <w:tab/>
      </w:r>
      <w:r w:rsidRPr="00602D50">
        <w:rPr>
          <w:noProof/>
          <w:webHidden/>
          <w:lang w:val="fr-CH"/>
        </w:rPr>
        <w:tab/>
        <w:t>1</w:t>
      </w:r>
      <w:r w:rsidRPr="00602D50">
        <w:rPr>
          <w:noProof/>
          <w:webHidden/>
          <w:lang w:val="fr-CH"/>
        </w:rPr>
        <w:tab/>
        <w:t>4</w:t>
      </w:r>
    </w:p>
    <w:p w14:paraId="146157DD" w14:textId="77777777" w:rsidR="00602D50" w:rsidRDefault="00602D50" w:rsidP="00602D50">
      <w:pPr>
        <w:tabs>
          <w:tab w:val="right" w:pos="850"/>
          <w:tab w:val="left" w:pos="1134"/>
          <w:tab w:val="left" w:pos="1559"/>
          <w:tab w:val="left" w:pos="1984"/>
          <w:tab w:val="left" w:leader="dot" w:pos="7654"/>
          <w:tab w:val="right" w:pos="8929"/>
          <w:tab w:val="right" w:pos="9638"/>
        </w:tabs>
        <w:spacing w:after="120" w:line="220" w:lineRule="atLeast"/>
        <w:rPr>
          <w:noProof/>
          <w:webHidden/>
          <w:lang w:val="fr-CH"/>
        </w:rPr>
      </w:pPr>
      <w:r w:rsidRPr="00602D50">
        <w:rPr>
          <w:noProof/>
          <w:lang w:val="fr-CH"/>
        </w:rPr>
        <w:tab/>
        <w:t>II.</w:t>
      </w:r>
      <w:r w:rsidRPr="00602D50">
        <w:rPr>
          <w:noProof/>
          <w:lang w:val="fr-CH"/>
        </w:rPr>
        <w:tab/>
        <w:t>Adoption de l’ordre du jour (point 1 de l’ordre du jour)</w:t>
      </w:r>
      <w:r w:rsidRPr="00602D50">
        <w:rPr>
          <w:noProof/>
          <w:webHidden/>
          <w:lang w:val="fr-CH"/>
        </w:rPr>
        <w:tab/>
      </w:r>
      <w:r w:rsidRPr="00602D50">
        <w:rPr>
          <w:noProof/>
          <w:webHidden/>
          <w:lang w:val="fr-CH"/>
        </w:rPr>
        <w:tab/>
        <w:t>2</w:t>
      </w:r>
      <w:r w:rsidRPr="00602D50">
        <w:rPr>
          <w:noProof/>
          <w:webHidden/>
          <w:lang w:val="fr-CH"/>
        </w:rPr>
        <w:tab/>
        <w:t>4</w:t>
      </w:r>
    </w:p>
    <w:p w14:paraId="75747560" w14:textId="38B26B9A" w:rsidR="0081435F" w:rsidRDefault="0081435F" w:rsidP="00602D50">
      <w:pPr>
        <w:tabs>
          <w:tab w:val="right" w:pos="850"/>
          <w:tab w:val="left" w:pos="1134"/>
          <w:tab w:val="left" w:pos="1559"/>
          <w:tab w:val="left" w:pos="1984"/>
          <w:tab w:val="left" w:leader="dot" w:pos="7654"/>
          <w:tab w:val="right" w:pos="8929"/>
          <w:tab w:val="right" w:pos="9638"/>
        </w:tabs>
        <w:spacing w:after="120" w:line="220" w:lineRule="atLeast"/>
        <w:rPr>
          <w:noProof/>
          <w:lang w:val="fr-FR"/>
        </w:rPr>
      </w:pPr>
      <w:r>
        <w:rPr>
          <w:noProof/>
          <w:webHidden/>
          <w:lang w:val="fr-CH"/>
        </w:rPr>
        <w:tab/>
        <w:t>III.</w:t>
      </w:r>
      <w:r>
        <w:rPr>
          <w:noProof/>
          <w:webHidden/>
          <w:lang w:val="fr-CH"/>
        </w:rPr>
        <w:tab/>
      </w:r>
      <w:r w:rsidRPr="0081435F">
        <w:rPr>
          <w:noProof/>
          <w:lang w:val="fr-FR"/>
        </w:rPr>
        <w:t>Élection du Bureau pour 2017 (point 2 de l'ordre du jour)</w:t>
      </w:r>
      <w:r>
        <w:rPr>
          <w:noProof/>
          <w:lang w:val="fr-FR"/>
        </w:rPr>
        <w:tab/>
      </w:r>
      <w:r>
        <w:rPr>
          <w:noProof/>
          <w:lang w:val="fr-FR"/>
        </w:rPr>
        <w:tab/>
      </w:r>
      <w:r w:rsidR="002B72EF">
        <w:rPr>
          <w:noProof/>
          <w:lang w:val="fr-FR"/>
        </w:rPr>
        <w:t>3</w:t>
      </w:r>
      <w:r>
        <w:rPr>
          <w:noProof/>
          <w:lang w:val="fr-FR"/>
        </w:rPr>
        <w:tab/>
      </w:r>
      <w:r w:rsidR="006C25E0">
        <w:rPr>
          <w:noProof/>
          <w:lang w:val="fr-FR"/>
        </w:rPr>
        <w:t>4</w:t>
      </w:r>
    </w:p>
    <w:p w14:paraId="0FC7D7A4" w14:textId="0F04D701" w:rsidR="0081435F" w:rsidRDefault="0081435F" w:rsidP="0081435F">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lang w:val="fr-FR"/>
        </w:rPr>
      </w:pPr>
      <w:r>
        <w:rPr>
          <w:noProof/>
          <w:lang w:val="fr-FR"/>
        </w:rPr>
        <w:tab/>
        <w:t>IV.</w:t>
      </w:r>
      <w:r>
        <w:rPr>
          <w:noProof/>
          <w:lang w:val="fr-FR"/>
        </w:rPr>
        <w:tab/>
      </w:r>
      <w:r w:rsidRPr="0081435F">
        <w:rPr>
          <w:noProof/>
          <w:lang w:val="fr-FR"/>
        </w:rPr>
        <w:t xml:space="preserve">Questions découlant des travaux d'organes des Nations Unies et d'autres </w:t>
      </w:r>
      <w:r>
        <w:rPr>
          <w:noProof/>
          <w:lang w:val="fr-FR"/>
        </w:rPr>
        <w:br/>
      </w:r>
      <w:r w:rsidRPr="0081435F">
        <w:rPr>
          <w:noProof/>
          <w:lang w:val="fr-FR"/>
        </w:rPr>
        <w:t>organisations (point 3 de l'ordre du jour)</w:t>
      </w:r>
      <w:r>
        <w:rPr>
          <w:noProof/>
          <w:lang w:val="fr-FR"/>
        </w:rPr>
        <w:tab/>
      </w:r>
      <w:r>
        <w:rPr>
          <w:noProof/>
          <w:lang w:val="fr-FR"/>
        </w:rPr>
        <w:tab/>
      </w:r>
      <w:r w:rsidR="002B72EF">
        <w:rPr>
          <w:noProof/>
          <w:lang w:val="fr-FR"/>
        </w:rPr>
        <w:t>4-5</w:t>
      </w:r>
      <w:r>
        <w:rPr>
          <w:noProof/>
          <w:lang w:val="fr-FR"/>
        </w:rPr>
        <w:tab/>
      </w:r>
      <w:r w:rsidR="006C25E0">
        <w:rPr>
          <w:noProof/>
          <w:lang w:val="fr-FR"/>
        </w:rPr>
        <w:t>4</w:t>
      </w:r>
    </w:p>
    <w:p w14:paraId="00A87A7C" w14:textId="7992B799" w:rsidR="0081435F" w:rsidRDefault="0081435F" w:rsidP="0081435F">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lang w:val="fr-FR"/>
        </w:rPr>
      </w:pPr>
      <w:r>
        <w:rPr>
          <w:noProof/>
          <w:lang w:val="fr-FR"/>
        </w:rPr>
        <w:tab/>
        <w:t>V.</w:t>
      </w:r>
      <w:r>
        <w:rPr>
          <w:noProof/>
          <w:lang w:val="fr-FR"/>
        </w:rPr>
        <w:tab/>
      </w:r>
      <w:r w:rsidRPr="0081435F">
        <w:rPr>
          <w:noProof/>
          <w:lang w:val="fr-FR"/>
        </w:rPr>
        <w:t xml:space="preserve">Mise en œuvre de l'Accord européen relatif au transport international </w:t>
      </w:r>
      <w:r>
        <w:rPr>
          <w:noProof/>
          <w:lang w:val="fr-FR"/>
        </w:rPr>
        <w:br/>
      </w:r>
      <w:r w:rsidRPr="0081435F">
        <w:rPr>
          <w:noProof/>
          <w:lang w:val="fr-FR"/>
        </w:rPr>
        <w:t xml:space="preserve">des marchandises dangereuses par voies de navigation intérieures (ADN) </w:t>
      </w:r>
      <w:r>
        <w:rPr>
          <w:noProof/>
          <w:lang w:val="fr-FR"/>
        </w:rPr>
        <w:br/>
      </w:r>
      <w:r w:rsidRPr="0081435F">
        <w:rPr>
          <w:noProof/>
          <w:lang w:val="fr-FR"/>
        </w:rPr>
        <w:t>(point 4 de l’ordre du jour)</w:t>
      </w:r>
      <w:r>
        <w:rPr>
          <w:noProof/>
          <w:lang w:val="fr-FR"/>
        </w:rPr>
        <w:tab/>
      </w:r>
      <w:r>
        <w:rPr>
          <w:noProof/>
          <w:lang w:val="fr-FR"/>
        </w:rPr>
        <w:tab/>
      </w:r>
      <w:r w:rsidR="002B72EF">
        <w:rPr>
          <w:noProof/>
          <w:lang w:val="fr-FR"/>
        </w:rPr>
        <w:t>6-45</w:t>
      </w:r>
      <w:r>
        <w:rPr>
          <w:noProof/>
          <w:lang w:val="fr-FR"/>
        </w:rPr>
        <w:tab/>
      </w:r>
      <w:r w:rsidR="006C25E0">
        <w:rPr>
          <w:noProof/>
          <w:lang w:val="fr-FR"/>
        </w:rPr>
        <w:t>5</w:t>
      </w:r>
    </w:p>
    <w:p w14:paraId="5A6F9A99" w14:textId="04973B26" w:rsidR="0081435F" w:rsidRDefault="0081435F" w:rsidP="0081435F">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lang w:val="fr-FR"/>
        </w:rPr>
      </w:pPr>
      <w:r>
        <w:rPr>
          <w:noProof/>
          <w:lang w:val="fr-FR"/>
        </w:rPr>
        <w:tab/>
      </w:r>
      <w:r>
        <w:rPr>
          <w:noProof/>
          <w:lang w:val="fr-FR"/>
        </w:rPr>
        <w:tab/>
        <w:t>A.</w:t>
      </w:r>
      <w:r>
        <w:rPr>
          <w:noProof/>
          <w:lang w:val="fr-FR"/>
        </w:rPr>
        <w:tab/>
      </w:r>
      <w:r w:rsidRPr="0081435F">
        <w:rPr>
          <w:noProof/>
          <w:lang w:val="fr-FR"/>
        </w:rPr>
        <w:t>Statut de l'ADN</w:t>
      </w:r>
      <w:r>
        <w:rPr>
          <w:noProof/>
          <w:lang w:val="fr-FR"/>
        </w:rPr>
        <w:tab/>
      </w:r>
      <w:r>
        <w:rPr>
          <w:noProof/>
          <w:lang w:val="fr-FR"/>
        </w:rPr>
        <w:tab/>
      </w:r>
      <w:r w:rsidR="002B72EF">
        <w:rPr>
          <w:noProof/>
          <w:lang w:val="fr-FR"/>
        </w:rPr>
        <w:t>6-9</w:t>
      </w:r>
      <w:r>
        <w:rPr>
          <w:noProof/>
          <w:lang w:val="fr-FR"/>
        </w:rPr>
        <w:tab/>
      </w:r>
      <w:r w:rsidR="006C25E0">
        <w:rPr>
          <w:noProof/>
          <w:lang w:val="fr-FR"/>
        </w:rPr>
        <w:t>5</w:t>
      </w:r>
    </w:p>
    <w:p w14:paraId="6A290172" w14:textId="77777777" w:rsidR="00C15DFC" w:rsidRDefault="0081435F" w:rsidP="0081435F">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lang w:val="fr-FR"/>
        </w:rPr>
      </w:pPr>
      <w:r>
        <w:rPr>
          <w:noProof/>
          <w:lang w:val="fr-FR"/>
        </w:rPr>
        <w:tab/>
      </w:r>
      <w:r>
        <w:rPr>
          <w:noProof/>
          <w:lang w:val="fr-FR"/>
        </w:rPr>
        <w:tab/>
        <w:t>B.</w:t>
      </w:r>
      <w:r>
        <w:rPr>
          <w:noProof/>
          <w:lang w:val="fr-FR"/>
        </w:rPr>
        <w:tab/>
      </w:r>
      <w:r w:rsidRPr="0081435F">
        <w:rPr>
          <w:noProof/>
          <w:lang w:val="fr-FR"/>
        </w:rPr>
        <w:t>Autorisations spéciales, dérogations et équivalences</w:t>
      </w:r>
    </w:p>
    <w:p w14:paraId="068AB83A" w14:textId="36240C24" w:rsidR="0081435F" w:rsidRDefault="00C15DFC" w:rsidP="0081435F">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lang w:val="fr-FR"/>
        </w:rPr>
      </w:pPr>
      <w:r>
        <w:rPr>
          <w:noProof/>
          <w:lang w:val="fr-FR"/>
        </w:rPr>
        <w:tab/>
      </w:r>
      <w:r>
        <w:rPr>
          <w:noProof/>
          <w:lang w:val="fr-FR"/>
        </w:rPr>
        <w:tab/>
      </w:r>
      <w:r w:rsidR="008C490D">
        <w:rPr>
          <w:noProof/>
          <w:lang w:val="fr-FR"/>
        </w:rPr>
        <w:tab/>
      </w:r>
      <w:r w:rsidR="008C490D" w:rsidRPr="008C490D">
        <w:rPr>
          <w:noProof/>
          <w:lang w:val="fr-FR"/>
        </w:rPr>
        <w:t>Dérogation pour le "Don Quichot" (ENI 02336771)</w:t>
      </w:r>
      <w:r w:rsidR="008C490D">
        <w:rPr>
          <w:noProof/>
          <w:lang w:val="fr-FR"/>
        </w:rPr>
        <w:tab/>
      </w:r>
      <w:r w:rsidR="008C490D">
        <w:rPr>
          <w:noProof/>
          <w:lang w:val="fr-FR"/>
        </w:rPr>
        <w:tab/>
      </w:r>
      <w:r w:rsidR="002B72EF">
        <w:rPr>
          <w:noProof/>
          <w:lang w:val="fr-FR"/>
        </w:rPr>
        <w:t>10-12</w:t>
      </w:r>
      <w:r w:rsidR="008C490D">
        <w:rPr>
          <w:noProof/>
          <w:lang w:val="fr-FR"/>
        </w:rPr>
        <w:tab/>
      </w:r>
      <w:r w:rsidR="006C25E0">
        <w:rPr>
          <w:noProof/>
          <w:lang w:val="fr-FR"/>
        </w:rPr>
        <w:t>5</w:t>
      </w:r>
    </w:p>
    <w:p w14:paraId="12CA4371" w14:textId="554C0A23" w:rsidR="008C490D" w:rsidRDefault="008C490D" w:rsidP="0081435F">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lang w:val="fr-FR"/>
        </w:rPr>
      </w:pPr>
      <w:r>
        <w:rPr>
          <w:noProof/>
          <w:lang w:val="fr-FR"/>
        </w:rPr>
        <w:tab/>
      </w:r>
      <w:r>
        <w:rPr>
          <w:noProof/>
          <w:lang w:val="fr-FR"/>
        </w:rPr>
        <w:tab/>
        <w:t>C.</w:t>
      </w:r>
      <w:r>
        <w:rPr>
          <w:noProof/>
          <w:lang w:val="fr-FR"/>
        </w:rPr>
        <w:tab/>
      </w:r>
      <w:r w:rsidRPr="008C490D">
        <w:rPr>
          <w:noProof/>
          <w:lang w:val="fr-FR"/>
        </w:rPr>
        <w:t>Interprétation du Règlement annexé à l'ADN</w:t>
      </w:r>
      <w:r>
        <w:rPr>
          <w:noProof/>
          <w:lang w:val="fr-FR"/>
        </w:rPr>
        <w:tab/>
      </w:r>
      <w:r>
        <w:rPr>
          <w:noProof/>
          <w:lang w:val="fr-FR"/>
        </w:rPr>
        <w:tab/>
      </w:r>
      <w:r w:rsidR="002B72EF">
        <w:rPr>
          <w:noProof/>
          <w:lang w:val="fr-FR"/>
        </w:rPr>
        <w:t>13-27</w:t>
      </w:r>
      <w:r>
        <w:rPr>
          <w:noProof/>
          <w:lang w:val="fr-FR"/>
        </w:rPr>
        <w:tab/>
      </w:r>
      <w:r w:rsidR="00C278D4">
        <w:rPr>
          <w:noProof/>
          <w:lang w:val="fr-FR"/>
        </w:rPr>
        <w:t>6</w:t>
      </w:r>
    </w:p>
    <w:p w14:paraId="748A0CA1" w14:textId="55C7F2B9" w:rsidR="008C490D" w:rsidRDefault="008C490D" w:rsidP="0081435F">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lang w:val="fr-FR"/>
        </w:rPr>
      </w:pPr>
      <w:r>
        <w:rPr>
          <w:noProof/>
          <w:lang w:val="fr-FR"/>
        </w:rPr>
        <w:tab/>
      </w:r>
      <w:r>
        <w:rPr>
          <w:noProof/>
          <w:lang w:val="fr-FR"/>
        </w:rPr>
        <w:tab/>
      </w:r>
      <w:r>
        <w:rPr>
          <w:noProof/>
          <w:lang w:val="fr-FR"/>
        </w:rPr>
        <w:tab/>
        <w:t>1.</w:t>
      </w:r>
      <w:r>
        <w:rPr>
          <w:noProof/>
          <w:lang w:val="fr-FR"/>
        </w:rPr>
        <w:tab/>
      </w:r>
      <w:r w:rsidRPr="008C490D">
        <w:rPr>
          <w:noProof/>
          <w:lang w:val="fr-FR"/>
        </w:rPr>
        <w:t>Dangers causés par les travaux à bord, section 8.3.5 du Règlement</w:t>
      </w:r>
      <w:r>
        <w:rPr>
          <w:noProof/>
          <w:lang w:val="fr-FR"/>
        </w:rPr>
        <w:tab/>
      </w:r>
      <w:r>
        <w:rPr>
          <w:noProof/>
          <w:lang w:val="fr-FR"/>
        </w:rPr>
        <w:tab/>
      </w:r>
      <w:r w:rsidR="002B72EF">
        <w:rPr>
          <w:noProof/>
          <w:lang w:val="fr-FR"/>
        </w:rPr>
        <w:t>13-14</w:t>
      </w:r>
      <w:r>
        <w:rPr>
          <w:noProof/>
          <w:lang w:val="fr-FR"/>
        </w:rPr>
        <w:tab/>
      </w:r>
      <w:r w:rsidR="00C278D4">
        <w:rPr>
          <w:noProof/>
          <w:lang w:val="fr-FR"/>
        </w:rPr>
        <w:t>6</w:t>
      </w:r>
    </w:p>
    <w:p w14:paraId="6F1380BC" w14:textId="3C645E01" w:rsidR="008C490D" w:rsidRDefault="008C490D" w:rsidP="008C490D">
      <w:pPr>
        <w:tabs>
          <w:tab w:val="right" w:pos="850"/>
          <w:tab w:val="left" w:pos="1134"/>
          <w:tab w:val="left" w:pos="1559"/>
          <w:tab w:val="left" w:pos="1984"/>
          <w:tab w:val="left" w:leader="dot" w:pos="7654"/>
          <w:tab w:val="right" w:pos="8929"/>
          <w:tab w:val="right" w:pos="9638"/>
        </w:tabs>
        <w:spacing w:after="120" w:line="220" w:lineRule="atLeast"/>
        <w:ind w:left="1984" w:hanging="1696"/>
        <w:rPr>
          <w:noProof/>
          <w:lang w:val="fr-FR"/>
        </w:rPr>
      </w:pPr>
      <w:r>
        <w:rPr>
          <w:noProof/>
          <w:lang w:val="fr-FR"/>
        </w:rPr>
        <w:tab/>
      </w:r>
      <w:r>
        <w:rPr>
          <w:noProof/>
          <w:lang w:val="fr-FR"/>
        </w:rPr>
        <w:tab/>
      </w:r>
      <w:r>
        <w:rPr>
          <w:noProof/>
          <w:lang w:val="fr-FR"/>
        </w:rPr>
        <w:tab/>
        <w:t>2.</w:t>
      </w:r>
      <w:r>
        <w:rPr>
          <w:noProof/>
          <w:lang w:val="fr-FR"/>
        </w:rPr>
        <w:tab/>
      </w:r>
      <w:r w:rsidRPr="008C490D">
        <w:rPr>
          <w:noProof/>
          <w:lang w:val="fr-FR"/>
        </w:rPr>
        <w:t xml:space="preserve">Sous-section 7.1.4.7 de l'ADN, lieux de chargement et de </w:t>
      </w:r>
      <w:r>
        <w:rPr>
          <w:noProof/>
          <w:lang w:val="fr-FR"/>
        </w:rPr>
        <w:br/>
      </w:r>
      <w:r w:rsidRPr="008C490D">
        <w:rPr>
          <w:noProof/>
          <w:lang w:val="fr-FR"/>
        </w:rPr>
        <w:t>déchargement pour des bateaux à marchandises sèches</w:t>
      </w:r>
      <w:r>
        <w:rPr>
          <w:noProof/>
          <w:lang w:val="fr-FR"/>
        </w:rPr>
        <w:tab/>
      </w:r>
      <w:r>
        <w:rPr>
          <w:noProof/>
          <w:lang w:val="fr-FR"/>
        </w:rPr>
        <w:tab/>
      </w:r>
      <w:r w:rsidR="002B72EF">
        <w:rPr>
          <w:noProof/>
          <w:lang w:val="fr-FR"/>
        </w:rPr>
        <w:t>15-16</w:t>
      </w:r>
      <w:r>
        <w:rPr>
          <w:noProof/>
          <w:lang w:val="fr-FR"/>
        </w:rPr>
        <w:tab/>
      </w:r>
      <w:r w:rsidR="00C278D4">
        <w:rPr>
          <w:noProof/>
          <w:lang w:val="fr-FR"/>
        </w:rPr>
        <w:t>6</w:t>
      </w:r>
    </w:p>
    <w:p w14:paraId="5A3E9D10" w14:textId="0DF7D1D5" w:rsidR="008C490D" w:rsidRDefault="008C490D" w:rsidP="008C490D">
      <w:pPr>
        <w:tabs>
          <w:tab w:val="right" w:pos="850"/>
          <w:tab w:val="left" w:pos="1134"/>
          <w:tab w:val="left" w:pos="1559"/>
          <w:tab w:val="left" w:pos="1984"/>
          <w:tab w:val="left" w:leader="dot" w:pos="7654"/>
          <w:tab w:val="right" w:pos="8929"/>
          <w:tab w:val="right" w:pos="9638"/>
        </w:tabs>
        <w:spacing w:after="120" w:line="220" w:lineRule="atLeast"/>
        <w:ind w:left="1984" w:hanging="1696"/>
        <w:rPr>
          <w:noProof/>
          <w:lang w:val="fr-FR"/>
        </w:rPr>
      </w:pPr>
      <w:r>
        <w:rPr>
          <w:noProof/>
          <w:lang w:val="fr-FR"/>
        </w:rPr>
        <w:tab/>
      </w:r>
      <w:r>
        <w:rPr>
          <w:noProof/>
          <w:lang w:val="fr-FR"/>
        </w:rPr>
        <w:tab/>
      </w:r>
      <w:r>
        <w:rPr>
          <w:noProof/>
          <w:lang w:val="fr-FR"/>
        </w:rPr>
        <w:tab/>
        <w:t>3.</w:t>
      </w:r>
      <w:r>
        <w:rPr>
          <w:noProof/>
          <w:lang w:val="fr-FR"/>
        </w:rPr>
        <w:tab/>
      </w:r>
      <w:r w:rsidRPr="008C490D">
        <w:rPr>
          <w:noProof/>
          <w:lang w:val="fr-FR"/>
        </w:rPr>
        <w:t>Transport de véhicules et d'appareils</w:t>
      </w:r>
      <w:r>
        <w:rPr>
          <w:noProof/>
          <w:lang w:val="fr-FR"/>
        </w:rPr>
        <w:tab/>
      </w:r>
      <w:r>
        <w:rPr>
          <w:noProof/>
          <w:lang w:val="fr-FR"/>
        </w:rPr>
        <w:tab/>
      </w:r>
      <w:r w:rsidR="002B72EF">
        <w:rPr>
          <w:noProof/>
          <w:lang w:val="fr-FR"/>
        </w:rPr>
        <w:t>17</w:t>
      </w:r>
      <w:r>
        <w:rPr>
          <w:noProof/>
          <w:lang w:val="fr-FR"/>
        </w:rPr>
        <w:tab/>
      </w:r>
      <w:r w:rsidR="00C278D4">
        <w:rPr>
          <w:noProof/>
          <w:lang w:val="fr-FR"/>
        </w:rPr>
        <w:t>6</w:t>
      </w:r>
    </w:p>
    <w:p w14:paraId="2F1C56E4" w14:textId="3784783C" w:rsidR="008C490D" w:rsidRDefault="008C490D" w:rsidP="008C490D">
      <w:pPr>
        <w:tabs>
          <w:tab w:val="right" w:pos="850"/>
          <w:tab w:val="left" w:pos="1134"/>
          <w:tab w:val="left" w:pos="1559"/>
          <w:tab w:val="left" w:pos="1984"/>
          <w:tab w:val="left" w:leader="dot" w:pos="7654"/>
          <w:tab w:val="right" w:pos="8929"/>
          <w:tab w:val="right" w:pos="9638"/>
        </w:tabs>
        <w:spacing w:after="120" w:line="220" w:lineRule="atLeast"/>
        <w:ind w:left="1984" w:hanging="1696"/>
        <w:rPr>
          <w:noProof/>
          <w:lang w:val="fr-FR"/>
        </w:rPr>
      </w:pPr>
      <w:r>
        <w:rPr>
          <w:noProof/>
          <w:lang w:val="fr-FR"/>
        </w:rPr>
        <w:tab/>
      </w:r>
      <w:r>
        <w:rPr>
          <w:noProof/>
          <w:lang w:val="fr-FR"/>
        </w:rPr>
        <w:tab/>
      </w:r>
      <w:r>
        <w:rPr>
          <w:noProof/>
          <w:lang w:val="fr-FR"/>
        </w:rPr>
        <w:tab/>
        <w:t>4.</w:t>
      </w:r>
      <w:r>
        <w:rPr>
          <w:noProof/>
          <w:lang w:val="fr-FR"/>
        </w:rPr>
        <w:tab/>
      </w:r>
      <w:r w:rsidRPr="008C490D">
        <w:rPr>
          <w:noProof/>
          <w:lang w:val="fr-FR"/>
        </w:rPr>
        <w:t>7.2.4.1.1 de l'ADN, transport de colis sur les bateaux-citernes</w:t>
      </w:r>
      <w:r>
        <w:rPr>
          <w:noProof/>
          <w:lang w:val="fr-FR"/>
        </w:rPr>
        <w:tab/>
      </w:r>
      <w:r>
        <w:rPr>
          <w:noProof/>
          <w:lang w:val="fr-FR"/>
        </w:rPr>
        <w:tab/>
      </w:r>
      <w:r w:rsidR="002B72EF">
        <w:rPr>
          <w:noProof/>
          <w:lang w:val="fr-FR"/>
        </w:rPr>
        <w:t>18-19</w:t>
      </w:r>
      <w:r>
        <w:rPr>
          <w:noProof/>
          <w:lang w:val="fr-FR"/>
        </w:rPr>
        <w:tab/>
      </w:r>
      <w:r w:rsidR="00C278D4">
        <w:rPr>
          <w:noProof/>
          <w:lang w:val="fr-FR"/>
        </w:rPr>
        <w:t>7</w:t>
      </w:r>
    </w:p>
    <w:p w14:paraId="6D3E27C4" w14:textId="1D9399DC" w:rsidR="008C490D" w:rsidRDefault="008C490D" w:rsidP="008C490D">
      <w:pPr>
        <w:tabs>
          <w:tab w:val="right" w:pos="850"/>
          <w:tab w:val="left" w:pos="1134"/>
          <w:tab w:val="left" w:pos="1559"/>
          <w:tab w:val="left" w:pos="1984"/>
          <w:tab w:val="left" w:leader="dot" w:pos="7654"/>
          <w:tab w:val="right" w:pos="8929"/>
          <w:tab w:val="right" w:pos="9638"/>
        </w:tabs>
        <w:spacing w:after="120" w:line="220" w:lineRule="atLeast"/>
        <w:ind w:left="1984" w:hanging="1412"/>
        <w:rPr>
          <w:noProof/>
          <w:lang w:val="fr-FR"/>
        </w:rPr>
      </w:pPr>
      <w:r>
        <w:rPr>
          <w:noProof/>
          <w:lang w:val="fr-FR"/>
        </w:rPr>
        <w:tab/>
      </w:r>
      <w:r>
        <w:rPr>
          <w:noProof/>
          <w:lang w:val="fr-FR"/>
        </w:rPr>
        <w:tab/>
      </w:r>
      <w:r>
        <w:rPr>
          <w:noProof/>
          <w:lang w:val="fr-FR"/>
        </w:rPr>
        <w:tab/>
        <w:t>5.</w:t>
      </w:r>
      <w:r>
        <w:rPr>
          <w:noProof/>
          <w:lang w:val="fr-FR"/>
        </w:rPr>
        <w:tab/>
      </w:r>
      <w:r w:rsidRPr="008C490D">
        <w:rPr>
          <w:noProof/>
          <w:lang w:val="fr-FR"/>
        </w:rPr>
        <w:t xml:space="preserve">Stabilité (9.3.3.13.3), dispositions transitoires pour les </w:t>
      </w:r>
      <w:r>
        <w:rPr>
          <w:noProof/>
          <w:lang w:val="fr-FR"/>
        </w:rPr>
        <w:br/>
      </w:r>
      <w:r w:rsidRPr="008C490D">
        <w:rPr>
          <w:noProof/>
          <w:lang w:val="fr-FR"/>
        </w:rPr>
        <w:t>bateaux-citernes de type N</w:t>
      </w:r>
      <w:r>
        <w:rPr>
          <w:noProof/>
          <w:lang w:val="fr-FR"/>
        </w:rPr>
        <w:tab/>
      </w:r>
      <w:r>
        <w:rPr>
          <w:noProof/>
          <w:lang w:val="fr-FR"/>
        </w:rPr>
        <w:tab/>
      </w:r>
      <w:r w:rsidR="002B72EF">
        <w:rPr>
          <w:noProof/>
          <w:lang w:val="fr-FR"/>
        </w:rPr>
        <w:t>20</w:t>
      </w:r>
      <w:r>
        <w:rPr>
          <w:noProof/>
          <w:lang w:val="fr-FR"/>
        </w:rPr>
        <w:tab/>
      </w:r>
      <w:r w:rsidR="00C278D4">
        <w:rPr>
          <w:noProof/>
          <w:lang w:val="fr-FR"/>
        </w:rPr>
        <w:t>7</w:t>
      </w:r>
    </w:p>
    <w:p w14:paraId="04887A3A" w14:textId="012D7ACC" w:rsidR="008C490D" w:rsidRDefault="008C490D" w:rsidP="008C490D">
      <w:pPr>
        <w:tabs>
          <w:tab w:val="right" w:pos="850"/>
          <w:tab w:val="left" w:pos="1134"/>
          <w:tab w:val="left" w:pos="1559"/>
          <w:tab w:val="left" w:pos="1984"/>
          <w:tab w:val="left" w:leader="dot" w:pos="7654"/>
          <w:tab w:val="right" w:pos="8929"/>
          <w:tab w:val="right" w:pos="9638"/>
        </w:tabs>
        <w:spacing w:after="120" w:line="220" w:lineRule="atLeast"/>
        <w:ind w:left="1984" w:hanging="1412"/>
        <w:rPr>
          <w:noProof/>
          <w:lang w:val="fr-FR"/>
        </w:rPr>
      </w:pPr>
      <w:r>
        <w:rPr>
          <w:noProof/>
          <w:lang w:val="fr-FR"/>
        </w:rPr>
        <w:tab/>
      </w:r>
      <w:r>
        <w:rPr>
          <w:noProof/>
          <w:lang w:val="fr-FR"/>
        </w:rPr>
        <w:tab/>
      </w:r>
      <w:r>
        <w:rPr>
          <w:noProof/>
          <w:lang w:val="fr-FR"/>
        </w:rPr>
        <w:tab/>
        <w:t>6.</w:t>
      </w:r>
      <w:r>
        <w:rPr>
          <w:noProof/>
          <w:lang w:val="fr-FR"/>
        </w:rPr>
        <w:tab/>
      </w:r>
      <w:r w:rsidRPr="008C490D">
        <w:rPr>
          <w:noProof/>
          <w:lang w:val="fr-FR"/>
        </w:rPr>
        <w:t>Preuve de stabilité (9.3.X.13 de l'ADN)</w:t>
      </w:r>
      <w:r>
        <w:rPr>
          <w:noProof/>
          <w:lang w:val="fr-FR"/>
        </w:rPr>
        <w:tab/>
      </w:r>
      <w:r>
        <w:rPr>
          <w:noProof/>
          <w:lang w:val="fr-FR"/>
        </w:rPr>
        <w:tab/>
      </w:r>
      <w:r w:rsidR="002B72EF">
        <w:rPr>
          <w:noProof/>
          <w:lang w:val="fr-FR"/>
        </w:rPr>
        <w:t>21</w:t>
      </w:r>
      <w:r>
        <w:rPr>
          <w:noProof/>
          <w:lang w:val="fr-FR"/>
        </w:rPr>
        <w:tab/>
      </w:r>
      <w:r w:rsidR="00C278D4">
        <w:rPr>
          <w:noProof/>
          <w:lang w:val="fr-FR"/>
        </w:rPr>
        <w:t>7</w:t>
      </w:r>
    </w:p>
    <w:p w14:paraId="02C5A577" w14:textId="1A8707E9" w:rsidR="008C490D" w:rsidRDefault="008C490D" w:rsidP="008C490D">
      <w:pPr>
        <w:tabs>
          <w:tab w:val="right" w:pos="850"/>
          <w:tab w:val="left" w:pos="1134"/>
          <w:tab w:val="left" w:pos="1559"/>
          <w:tab w:val="left" w:pos="1984"/>
          <w:tab w:val="left" w:leader="dot" w:pos="7654"/>
          <w:tab w:val="right" w:pos="8929"/>
          <w:tab w:val="right" w:pos="9638"/>
        </w:tabs>
        <w:spacing w:after="120" w:line="220" w:lineRule="atLeast"/>
        <w:ind w:left="1984" w:hanging="1412"/>
        <w:rPr>
          <w:noProof/>
          <w:lang w:val="fr-FR"/>
        </w:rPr>
      </w:pPr>
      <w:r>
        <w:rPr>
          <w:noProof/>
          <w:lang w:val="fr-FR"/>
        </w:rPr>
        <w:tab/>
      </w:r>
      <w:r>
        <w:rPr>
          <w:noProof/>
          <w:lang w:val="fr-FR"/>
        </w:rPr>
        <w:tab/>
      </w:r>
      <w:r>
        <w:rPr>
          <w:noProof/>
          <w:lang w:val="fr-FR"/>
        </w:rPr>
        <w:tab/>
      </w:r>
      <w:r w:rsidR="0044124B">
        <w:rPr>
          <w:noProof/>
          <w:lang w:val="fr-FR"/>
        </w:rPr>
        <w:t>7.</w:t>
      </w:r>
      <w:r w:rsidR="0044124B">
        <w:rPr>
          <w:noProof/>
          <w:lang w:val="fr-FR"/>
        </w:rPr>
        <w:tab/>
      </w:r>
      <w:r w:rsidR="0044124B" w:rsidRPr="0044124B">
        <w:rPr>
          <w:noProof/>
          <w:lang w:val="fr-FR"/>
        </w:rPr>
        <w:t>Interprétation du 1.15.2.4 et du 9.2.0.88.1</w:t>
      </w:r>
      <w:r w:rsidR="0044124B">
        <w:rPr>
          <w:noProof/>
          <w:lang w:val="fr-FR"/>
        </w:rPr>
        <w:tab/>
      </w:r>
      <w:r w:rsidR="0044124B">
        <w:rPr>
          <w:noProof/>
          <w:lang w:val="fr-FR"/>
        </w:rPr>
        <w:tab/>
      </w:r>
      <w:r w:rsidR="002B72EF">
        <w:rPr>
          <w:noProof/>
          <w:lang w:val="fr-FR"/>
        </w:rPr>
        <w:t>22-23</w:t>
      </w:r>
      <w:r w:rsidR="0044124B">
        <w:rPr>
          <w:noProof/>
          <w:lang w:val="fr-FR"/>
        </w:rPr>
        <w:tab/>
      </w:r>
      <w:r w:rsidR="00C278D4">
        <w:rPr>
          <w:noProof/>
          <w:lang w:val="fr-FR"/>
        </w:rPr>
        <w:t>7</w:t>
      </w:r>
    </w:p>
    <w:p w14:paraId="73698804" w14:textId="3212E996" w:rsidR="0044124B" w:rsidRDefault="0044124B" w:rsidP="008C490D">
      <w:pPr>
        <w:tabs>
          <w:tab w:val="right" w:pos="850"/>
          <w:tab w:val="left" w:pos="1134"/>
          <w:tab w:val="left" w:pos="1559"/>
          <w:tab w:val="left" w:pos="1984"/>
          <w:tab w:val="left" w:leader="dot" w:pos="7654"/>
          <w:tab w:val="right" w:pos="8929"/>
          <w:tab w:val="right" w:pos="9638"/>
        </w:tabs>
        <w:spacing w:after="120" w:line="220" w:lineRule="atLeast"/>
        <w:ind w:left="1984" w:hanging="1412"/>
        <w:rPr>
          <w:noProof/>
          <w:lang w:val="fr-FR"/>
        </w:rPr>
      </w:pPr>
      <w:r>
        <w:rPr>
          <w:noProof/>
          <w:lang w:val="fr-FR"/>
        </w:rPr>
        <w:tab/>
      </w:r>
      <w:r>
        <w:rPr>
          <w:noProof/>
          <w:lang w:val="fr-FR"/>
        </w:rPr>
        <w:tab/>
      </w:r>
      <w:r>
        <w:rPr>
          <w:noProof/>
          <w:lang w:val="fr-FR"/>
        </w:rPr>
        <w:tab/>
        <w:t>8.</w:t>
      </w:r>
      <w:r>
        <w:rPr>
          <w:noProof/>
          <w:lang w:val="fr-FR"/>
        </w:rPr>
        <w:tab/>
      </w:r>
      <w:r w:rsidRPr="0044124B">
        <w:rPr>
          <w:noProof/>
          <w:lang w:val="fr-FR"/>
        </w:rPr>
        <w:t>Mélanges de cargaisons effectuées à bord de bateaux-citernes</w:t>
      </w:r>
      <w:r>
        <w:rPr>
          <w:noProof/>
          <w:lang w:val="fr-FR"/>
        </w:rPr>
        <w:tab/>
      </w:r>
      <w:r>
        <w:rPr>
          <w:noProof/>
          <w:lang w:val="fr-FR"/>
        </w:rPr>
        <w:tab/>
      </w:r>
      <w:r w:rsidR="002B72EF">
        <w:rPr>
          <w:noProof/>
          <w:lang w:val="fr-FR"/>
        </w:rPr>
        <w:t>24-25</w:t>
      </w:r>
      <w:r>
        <w:rPr>
          <w:noProof/>
          <w:lang w:val="fr-FR"/>
        </w:rPr>
        <w:tab/>
      </w:r>
      <w:r w:rsidR="00C278D4">
        <w:rPr>
          <w:noProof/>
          <w:lang w:val="fr-FR"/>
        </w:rPr>
        <w:t>7</w:t>
      </w:r>
    </w:p>
    <w:p w14:paraId="3293EDBA" w14:textId="22871326" w:rsidR="0044124B" w:rsidRDefault="0044124B" w:rsidP="008C490D">
      <w:pPr>
        <w:tabs>
          <w:tab w:val="right" w:pos="850"/>
          <w:tab w:val="left" w:pos="1134"/>
          <w:tab w:val="left" w:pos="1559"/>
          <w:tab w:val="left" w:pos="1984"/>
          <w:tab w:val="left" w:leader="dot" w:pos="7654"/>
          <w:tab w:val="right" w:pos="8929"/>
          <w:tab w:val="right" w:pos="9638"/>
        </w:tabs>
        <w:spacing w:after="120" w:line="220" w:lineRule="atLeast"/>
        <w:ind w:left="1984" w:hanging="1412"/>
        <w:rPr>
          <w:noProof/>
          <w:lang w:val="fr-FR"/>
        </w:rPr>
      </w:pPr>
      <w:r>
        <w:rPr>
          <w:noProof/>
          <w:lang w:val="fr-FR"/>
        </w:rPr>
        <w:tab/>
      </w:r>
      <w:r>
        <w:rPr>
          <w:noProof/>
          <w:lang w:val="fr-FR"/>
        </w:rPr>
        <w:tab/>
      </w:r>
      <w:r>
        <w:rPr>
          <w:noProof/>
          <w:lang w:val="fr-FR"/>
        </w:rPr>
        <w:tab/>
        <w:t>9.</w:t>
      </w:r>
      <w:r>
        <w:rPr>
          <w:noProof/>
          <w:lang w:val="fr-FR"/>
        </w:rPr>
        <w:tab/>
      </w:r>
      <w:r w:rsidRPr="0044124B">
        <w:rPr>
          <w:noProof/>
          <w:lang w:val="fr-FR"/>
        </w:rPr>
        <w:t>Transport du No. ONU 2057 TRIPROPYLÈNE en bateaux-citernes</w:t>
      </w:r>
      <w:r>
        <w:rPr>
          <w:noProof/>
          <w:lang w:val="fr-FR"/>
        </w:rPr>
        <w:tab/>
      </w:r>
      <w:r>
        <w:rPr>
          <w:noProof/>
          <w:lang w:val="fr-FR"/>
        </w:rPr>
        <w:tab/>
      </w:r>
      <w:r w:rsidR="002B72EF">
        <w:rPr>
          <w:noProof/>
          <w:lang w:val="fr-FR"/>
        </w:rPr>
        <w:t>26-27</w:t>
      </w:r>
      <w:r>
        <w:rPr>
          <w:noProof/>
          <w:lang w:val="fr-FR"/>
        </w:rPr>
        <w:tab/>
      </w:r>
      <w:r w:rsidR="00C278D4">
        <w:rPr>
          <w:noProof/>
          <w:lang w:val="fr-FR"/>
        </w:rPr>
        <w:t>8</w:t>
      </w:r>
    </w:p>
    <w:p w14:paraId="7013D51B" w14:textId="1D3C84EB" w:rsidR="0044124B" w:rsidRDefault="0044124B" w:rsidP="008C490D">
      <w:pPr>
        <w:tabs>
          <w:tab w:val="right" w:pos="850"/>
          <w:tab w:val="left" w:pos="1134"/>
          <w:tab w:val="left" w:pos="1559"/>
          <w:tab w:val="left" w:pos="1984"/>
          <w:tab w:val="left" w:leader="dot" w:pos="7654"/>
          <w:tab w:val="right" w:pos="8929"/>
          <w:tab w:val="right" w:pos="9638"/>
        </w:tabs>
        <w:spacing w:after="120" w:line="220" w:lineRule="atLeast"/>
        <w:ind w:left="1984" w:hanging="1412"/>
        <w:rPr>
          <w:noProof/>
          <w:lang w:val="fr-FR"/>
        </w:rPr>
      </w:pPr>
      <w:r>
        <w:rPr>
          <w:noProof/>
          <w:lang w:val="fr-FR"/>
        </w:rPr>
        <w:tab/>
      </w:r>
      <w:r>
        <w:rPr>
          <w:noProof/>
          <w:lang w:val="fr-FR"/>
        </w:rPr>
        <w:tab/>
        <w:t>D.</w:t>
      </w:r>
      <w:r>
        <w:rPr>
          <w:noProof/>
          <w:lang w:val="fr-FR"/>
        </w:rPr>
        <w:tab/>
      </w:r>
      <w:r w:rsidRPr="0044124B">
        <w:rPr>
          <w:noProof/>
          <w:lang w:val="fr-FR"/>
        </w:rPr>
        <w:t>Formation des experts</w:t>
      </w:r>
      <w:r>
        <w:rPr>
          <w:noProof/>
          <w:lang w:val="fr-FR"/>
        </w:rPr>
        <w:tab/>
      </w:r>
      <w:r>
        <w:rPr>
          <w:noProof/>
          <w:lang w:val="fr-FR"/>
        </w:rPr>
        <w:tab/>
      </w:r>
      <w:r w:rsidR="002B72EF">
        <w:rPr>
          <w:noProof/>
          <w:lang w:val="fr-FR"/>
        </w:rPr>
        <w:t>28-43</w:t>
      </w:r>
      <w:r>
        <w:rPr>
          <w:noProof/>
          <w:lang w:val="fr-FR"/>
        </w:rPr>
        <w:tab/>
      </w:r>
      <w:r w:rsidR="00C278D4">
        <w:rPr>
          <w:noProof/>
          <w:lang w:val="fr-FR"/>
        </w:rPr>
        <w:t>8</w:t>
      </w:r>
    </w:p>
    <w:p w14:paraId="43E35329" w14:textId="52BF4B8A" w:rsidR="0044124B" w:rsidRDefault="0044124B" w:rsidP="008C490D">
      <w:pPr>
        <w:tabs>
          <w:tab w:val="right" w:pos="850"/>
          <w:tab w:val="left" w:pos="1134"/>
          <w:tab w:val="left" w:pos="1559"/>
          <w:tab w:val="left" w:pos="1984"/>
          <w:tab w:val="left" w:leader="dot" w:pos="7654"/>
          <w:tab w:val="right" w:pos="8929"/>
          <w:tab w:val="right" w:pos="9638"/>
        </w:tabs>
        <w:spacing w:after="120" w:line="220" w:lineRule="atLeast"/>
        <w:ind w:left="1984" w:hanging="1412"/>
        <w:rPr>
          <w:noProof/>
          <w:lang w:val="fr-FR"/>
        </w:rPr>
      </w:pPr>
      <w:r>
        <w:rPr>
          <w:noProof/>
          <w:lang w:val="fr-FR"/>
        </w:rPr>
        <w:tab/>
      </w:r>
      <w:r>
        <w:rPr>
          <w:noProof/>
          <w:lang w:val="fr-FR"/>
        </w:rPr>
        <w:tab/>
      </w:r>
      <w:r>
        <w:rPr>
          <w:noProof/>
          <w:lang w:val="fr-FR"/>
        </w:rPr>
        <w:tab/>
        <w:t>1.</w:t>
      </w:r>
      <w:r>
        <w:rPr>
          <w:noProof/>
          <w:lang w:val="fr-FR"/>
        </w:rPr>
        <w:tab/>
      </w:r>
      <w:r w:rsidRPr="0044124B">
        <w:rPr>
          <w:noProof/>
          <w:lang w:val="fr-FR"/>
        </w:rPr>
        <w:t xml:space="preserve">Rapport du Groupe de travail informel sur la formation des experts </w:t>
      </w:r>
      <w:r>
        <w:rPr>
          <w:noProof/>
          <w:lang w:val="fr-FR"/>
        </w:rPr>
        <w:br/>
      </w:r>
      <w:r w:rsidRPr="0044124B">
        <w:rPr>
          <w:noProof/>
          <w:lang w:val="fr-FR"/>
        </w:rPr>
        <w:t>sur sa seizième session</w:t>
      </w:r>
      <w:r>
        <w:rPr>
          <w:noProof/>
          <w:lang w:val="fr-FR"/>
        </w:rPr>
        <w:tab/>
      </w:r>
      <w:r>
        <w:rPr>
          <w:noProof/>
          <w:lang w:val="fr-FR"/>
        </w:rPr>
        <w:tab/>
      </w:r>
      <w:r w:rsidR="002B72EF">
        <w:rPr>
          <w:noProof/>
          <w:lang w:val="fr-FR"/>
        </w:rPr>
        <w:t>28-33</w:t>
      </w:r>
      <w:r>
        <w:rPr>
          <w:noProof/>
          <w:lang w:val="fr-FR"/>
        </w:rPr>
        <w:tab/>
      </w:r>
      <w:r w:rsidR="00C278D4">
        <w:rPr>
          <w:noProof/>
          <w:lang w:val="fr-FR"/>
        </w:rPr>
        <w:t>8</w:t>
      </w:r>
    </w:p>
    <w:p w14:paraId="02FA2A88" w14:textId="2F95955F" w:rsidR="0044124B" w:rsidRDefault="0044124B" w:rsidP="008C490D">
      <w:pPr>
        <w:tabs>
          <w:tab w:val="right" w:pos="850"/>
          <w:tab w:val="left" w:pos="1134"/>
          <w:tab w:val="left" w:pos="1559"/>
          <w:tab w:val="left" w:pos="1984"/>
          <w:tab w:val="left" w:leader="dot" w:pos="7654"/>
          <w:tab w:val="right" w:pos="8929"/>
          <w:tab w:val="right" w:pos="9638"/>
        </w:tabs>
        <w:spacing w:after="120" w:line="220" w:lineRule="atLeast"/>
        <w:ind w:left="1984" w:hanging="1412"/>
        <w:rPr>
          <w:noProof/>
          <w:lang w:val="fr-FR"/>
        </w:rPr>
      </w:pPr>
      <w:r>
        <w:rPr>
          <w:noProof/>
          <w:lang w:val="fr-FR"/>
        </w:rPr>
        <w:tab/>
      </w:r>
      <w:r>
        <w:rPr>
          <w:noProof/>
          <w:lang w:val="fr-FR"/>
        </w:rPr>
        <w:tab/>
      </w:r>
      <w:r>
        <w:rPr>
          <w:noProof/>
          <w:lang w:val="fr-FR"/>
        </w:rPr>
        <w:tab/>
        <w:t>2.</w:t>
      </w:r>
      <w:r>
        <w:rPr>
          <w:noProof/>
          <w:lang w:val="fr-FR"/>
        </w:rPr>
        <w:tab/>
      </w:r>
      <w:r w:rsidRPr="0044124B">
        <w:rPr>
          <w:noProof/>
          <w:lang w:val="fr-FR"/>
        </w:rPr>
        <w:t xml:space="preserve">Directive du Comité d'administration pour l'utilisation du </w:t>
      </w:r>
      <w:r>
        <w:rPr>
          <w:noProof/>
          <w:lang w:val="fr-FR"/>
        </w:rPr>
        <w:br/>
      </w:r>
      <w:r w:rsidRPr="0044124B">
        <w:rPr>
          <w:noProof/>
          <w:lang w:val="fr-FR"/>
        </w:rPr>
        <w:t>catalogue de questions pour l'examen d'expert ADN</w:t>
      </w:r>
      <w:r>
        <w:rPr>
          <w:noProof/>
          <w:lang w:val="fr-FR"/>
        </w:rPr>
        <w:tab/>
      </w:r>
      <w:r>
        <w:rPr>
          <w:noProof/>
          <w:lang w:val="fr-FR"/>
        </w:rPr>
        <w:tab/>
      </w:r>
      <w:r w:rsidR="002B72EF">
        <w:rPr>
          <w:noProof/>
          <w:lang w:val="fr-FR"/>
        </w:rPr>
        <w:t>34-35</w:t>
      </w:r>
      <w:r>
        <w:rPr>
          <w:noProof/>
          <w:lang w:val="fr-FR"/>
        </w:rPr>
        <w:tab/>
      </w:r>
      <w:r w:rsidR="00C278D4">
        <w:rPr>
          <w:noProof/>
          <w:lang w:val="fr-FR"/>
        </w:rPr>
        <w:t>9</w:t>
      </w:r>
    </w:p>
    <w:p w14:paraId="523E66B1" w14:textId="6E5CAA1C" w:rsidR="0044124B" w:rsidRDefault="0044124B" w:rsidP="008C490D">
      <w:pPr>
        <w:tabs>
          <w:tab w:val="right" w:pos="850"/>
          <w:tab w:val="left" w:pos="1134"/>
          <w:tab w:val="left" w:pos="1559"/>
          <w:tab w:val="left" w:pos="1984"/>
          <w:tab w:val="left" w:leader="dot" w:pos="7654"/>
          <w:tab w:val="right" w:pos="8929"/>
          <w:tab w:val="right" w:pos="9638"/>
        </w:tabs>
        <w:spacing w:after="120" w:line="220" w:lineRule="atLeast"/>
        <w:ind w:left="1984" w:hanging="1412"/>
        <w:rPr>
          <w:noProof/>
          <w:lang w:val="fr-FR"/>
        </w:rPr>
      </w:pPr>
      <w:r>
        <w:rPr>
          <w:noProof/>
          <w:lang w:val="fr-FR"/>
        </w:rPr>
        <w:tab/>
      </w:r>
      <w:r>
        <w:rPr>
          <w:noProof/>
          <w:lang w:val="fr-FR"/>
        </w:rPr>
        <w:tab/>
      </w:r>
      <w:r>
        <w:rPr>
          <w:noProof/>
          <w:lang w:val="fr-FR"/>
        </w:rPr>
        <w:tab/>
        <w:t>3.</w:t>
      </w:r>
      <w:r>
        <w:rPr>
          <w:noProof/>
          <w:lang w:val="fr-FR"/>
        </w:rPr>
        <w:tab/>
      </w:r>
      <w:r w:rsidRPr="0044124B">
        <w:rPr>
          <w:noProof/>
          <w:lang w:val="fr-FR"/>
        </w:rPr>
        <w:t>Catalogue de questions</w:t>
      </w:r>
      <w:r>
        <w:rPr>
          <w:noProof/>
          <w:lang w:val="fr-FR"/>
        </w:rPr>
        <w:tab/>
      </w:r>
      <w:r>
        <w:rPr>
          <w:noProof/>
          <w:lang w:val="fr-FR"/>
        </w:rPr>
        <w:tab/>
      </w:r>
      <w:r w:rsidR="002B72EF">
        <w:rPr>
          <w:noProof/>
          <w:lang w:val="fr-FR"/>
        </w:rPr>
        <w:t>36</w:t>
      </w:r>
      <w:r>
        <w:rPr>
          <w:noProof/>
          <w:lang w:val="fr-FR"/>
        </w:rPr>
        <w:tab/>
      </w:r>
      <w:r w:rsidR="00C278D4">
        <w:rPr>
          <w:noProof/>
          <w:lang w:val="fr-FR"/>
        </w:rPr>
        <w:t>9</w:t>
      </w:r>
    </w:p>
    <w:p w14:paraId="3EF6727D" w14:textId="42F1B35C" w:rsidR="0044124B" w:rsidRDefault="0044124B" w:rsidP="008C490D">
      <w:pPr>
        <w:tabs>
          <w:tab w:val="right" w:pos="850"/>
          <w:tab w:val="left" w:pos="1134"/>
          <w:tab w:val="left" w:pos="1559"/>
          <w:tab w:val="left" w:pos="1984"/>
          <w:tab w:val="left" w:leader="dot" w:pos="7654"/>
          <w:tab w:val="right" w:pos="8929"/>
          <w:tab w:val="right" w:pos="9638"/>
        </w:tabs>
        <w:spacing w:after="120" w:line="220" w:lineRule="atLeast"/>
        <w:ind w:left="1984" w:hanging="1412"/>
        <w:rPr>
          <w:noProof/>
          <w:lang w:val="fr-FR"/>
        </w:rPr>
      </w:pPr>
      <w:r>
        <w:rPr>
          <w:noProof/>
          <w:lang w:val="fr-FR"/>
        </w:rPr>
        <w:tab/>
      </w:r>
      <w:r>
        <w:rPr>
          <w:noProof/>
          <w:lang w:val="fr-FR"/>
        </w:rPr>
        <w:tab/>
      </w:r>
      <w:r>
        <w:rPr>
          <w:noProof/>
          <w:lang w:val="fr-FR"/>
        </w:rPr>
        <w:tab/>
        <w:t>4.</w:t>
      </w:r>
      <w:r>
        <w:rPr>
          <w:noProof/>
          <w:lang w:val="fr-FR"/>
        </w:rPr>
        <w:tab/>
      </w:r>
      <w:r w:rsidRPr="0044124B">
        <w:rPr>
          <w:noProof/>
          <w:lang w:val="fr-FR"/>
        </w:rPr>
        <w:t xml:space="preserve">Programme de travail du Groupe de travail informel sur la formation </w:t>
      </w:r>
      <w:r>
        <w:rPr>
          <w:noProof/>
          <w:lang w:val="fr-FR"/>
        </w:rPr>
        <w:br/>
      </w:r>
      <w:r w:rsidRPr="0044124B">
        <w:rPr>
          <w:noProof/>
          <w:lang w:val="fr-FR"/>
        </w:rPr>
        <w:t>des experts</w:t>
      </w:r>
      <w:r>
        <w:rPr>
          <w:noProof/>
          <w:lang w:val="fr-FR"/>
        </w:rPr>
        <w:tab/>
      </w:r>
      <w:r>
        <w:rPr>
          <w:noProof/>
          <w:lang w:val="fr-FR"/>
        </w:rPr>
        <w:tab/>
      </w:r>
      <w:r w:rsidR="002B72EF">
        <w:rPr>
          <w:noProof/>
          <w:lang w:val="fr-FR"/>
        </w:rPr>
        <w:t>37</w:t>
      </w:r>
      <w:r>
        <w:rPr>
          <w:noProof/>
          <w:lang w:val="fr-FR"/>
        </w:rPr>
        <w:tab/>
      </w:r>
      <w:r w:rsidR="00C278D4">
        <w:rPr>
          <w:noProof/>
          <w:lang w:val="fr-FR"/>
        </w:rPr>
        <w:t>9</w:t>
      </w:r>
    </w:p>
    <w:p w14:paraId="0F92FC41" w14:textId="1BB8EF42" w:rsidR="0044124B" w:rsidRDefault="0044124B" w:rsidP="008C490D">
      <w:pPr>
        <w:tabs>
          <w:tab w:val="right" w:pos="850"/>
          <w:tab w:val="left" w:pos="1134"/>
          <w:tab w:val="left" w:pos="1559"/>
          <w:tab w:val="left" w:pos="1984"/>
          <w:tab w:val="left" w:leader="dot" w:pos="7654"/>
          <w:tab w:val="right" w:pos="8929"/>
          <w:tab w:val="right" w:pos="9638"/>
        </w:tabs>
        <w:spacing w:after="120" w:line="220" w:lineRule="atLeast"/>
        <w:ind w:left="1984" w:hanging="1412"/>
        <w:rPr>
          <w:noProof/>
          <w:lang w:val="fr-FR"/>
        </w:rPr>
      </w:pPr>
      <w:r>
        <w:rPr>
          <w:noProof/>
          <w:lang w:val="fr-FR"/>
        </w:rPr>
        <w:tab/>
      </w:r>
      <w:r>
        <w:rPr>
          <w:noProof/>
          <w:lang w:val="fr-FR"/>
        </w:rPr>
        <w:tab/>
      </w:r>
      <w:r>
        <w:rPr>
          <w:noProof/>
          <w:lang w:val="fr-FR"/>
        </w:rPr>
        <w:tab/>
        <w:t>5.</w:t>
      </w:r>
      <w:r>
        <w:rPr>
          <w:noProof/>
          <w:lang w:val="fr-FR"/>
        </w:rPr>
        <w:tab/>
      </w:r>
      <w:r w:rsidRPr="0044124B">
        <w:rPr>
          <w:noProof/>
          <w:lang w:val="fr-FR"/>
        </w:rPr>
        <w:t>Catalogue de questions pour la formation des conseillers à la sécurité</w:t>
      </w:r>
      <w:r>
        <w:rPr>
          <w:noProof/>
          <w:lang w:val="fr-FR"/>
        </w:rPr>
        <w:tab/>
      </w:r>
      <w:r>
        <w:rPr>
          <w:noProof/>
          <w:lang w:val="fr-FR"/>
        </w:rPr>
        <w:tab/>
      </w:r>
      <w:r w:rsidR="002B72EF">
        <w:rPr>
          <w:noProof/>
          <w:lang w:val="fr-FR"/>
        </w:rPr>
        <w:t>38-41</w:t>
      </w:r>
      <w:r>
        <w:rPr>
          <w:noProof/>
          <w:lang w:val="fr-FR"/>
        </w:rPr>
        <w:tab/>
      </w:r>
      <w:r w:rsidR="00C278D4">
        <w:rPr>
          <w:noProof/>
          <w:lang w:val="fr-FR"/>
        </w:rPr>
        <w:t>9</w:t>
      </w:r>
    </w:p>
    <w:p w14:paraId="14E41119" w14:textId="3F12FDD1" w:rsidR="0044124B" w:rsidRDefault="0044124B" w:rsidP="008C490D">
      <w:pPr>
        <w:tabs>
          <w:tab w:val="right" w:pos="850"/>
          <w:tab w:val="left" w:pos="1134"/>
          <w:tab w:val="left" w:pos="1559"/>
          <w:tab w:val="left" w:pos="1984"/>
          <w:tab w:val="left" w:leader="dot" w:pos="7654"/>
          <w:tab w:val="right" w:pos="8929"/>
          <w:tab w:val="right" w:pos="9638"/>
        </w:tabs>
        <w:spacing w:after="120" w:line="220" w:lineRule="atLeast"/>
        <w:ind w:left="1984" w:hanging="1412"/>
        <w:rPr>
          <w:noProof/>
          <w:lang w:val="fr-FR"/>
        </w:rPr>
      </w:pPr>
      <w:r>
        <w:rPr>
          <w:noProof/>
          <w:lang w:val="fr-FR"/>
        </w:rPr>
        <w:tab/>
      </w:r>
      <w:r>
        <w:rPr>
          <w:noProof/>
          <w:lang w:val="fr-FR"/>
        </w:rPr>
        <w:tab/>
      </w:r>
      <w:r>
        <w:rPr>
          <w:noProof/>
          <w:lang w:val="fr-FR"/>
        </w:rPr>
        <w:tab/>
        <w:t>6.</w:t>
      </w:r>
      <w:r>
        <w:rPr>
          <w:noProof/>
          <w:lang w:val="fr-FR"/>
        </w:rPr>
        <w:tab/>
      </w:r>
      <w:r w:rsidRPr="0044124B">
        <w:rPr>
          <w:noProof/>
          <w:lang w:val="fr-FR"/>
        </w:rPr>
        <w:t>Statistiques relatives aux examens</w:t>
      </w:r>
      <w:r>
        <w:rPr>
          <w:noProof/>
          <w:lang w:val="fr-FR"/>
        </w:rPr>
        <w:tab/>
      </w:r>
      <w:r>
        <w:rPr>
          <w:noProof/>
          <w:lang w:val="fr-FR"/>
        </w:rPr>
        <w:tab/>
      </w:r>
      <w:r w:rsidR="002B72EF">
        <w:rPr>
          <w:noProof/>
          <w:lang w:val="fr-FR"/>
        </w:rPr>
        <w:t>42</w:t>
      </w:r>
      <w:r>
        <w:rPr>
          <w:noProof/>
          <w:lang w:val="fr-FR"/>
        </w:rPr>
        <w:tab/>
      </w:r>
      <w:r w:rsidR="00C278D4">
        <w:rPr>
          <w:noProof/>
          <w:lang w:val="fr-FR"/>
        </w:rPr>
        <w:t>10</w:t>
      </w:r>
    </w:p>
    <w:p w14:paraId="0C70AA80" w14:textId="6532D76F" w:rsidR="0044124B" w:rsidRDefault="0044124B" w:rsidP="008C490D">
      <w:pPr>
        <w:tabs>
          <w:tab w:val="right" w:pos="850"/>
          <w:tab w:val="left" w:pos="1134"/>
          <w:tab w:val="left" w:pos="1559"/>
          <w:tab w:val="left" w:pos="1984"/>
          <w:tab w:val="left" w:leader="dot" w:pos="7654"/>
          <w:tab w:val="right" w:pos="8929"/>
          <w:tab w:val="right" w:pos="9638"/>
        </w:tabs>
        <w:spacing w:after="120" w:line="220" w:lineRule="atLeast"/>
        <w:ind w:left="1984" w:hanging="1412"/>
        <w:rPr>
          <w:noProof/>
          <w:lang w:val="fr-FR"/>
        </w:rPr>
      </w:pPr>
      <w:r>
        <w:rPr>
          <w:noProof/>
          <w:lang w:val="fr-FR"/>
        </w:rPr>
        <w:tab/>
      </w:r>
      <w:r>
        <w:rPr>
          <w:noProof/>
          <w:lang w:val="fr-FR"/>
        </w:rPr>
        <w:tab/>
      </w:r>
      <w:r>
        <w:rPr>
          <w:noProof/>
          <w:lang w:val="fr-FR"/>
        </w:rPr>
        <w:tab/>
        <w:t>7.</w:t>
      </w:r>
      <w:r>
        <w:rPr>
          <w:noProof/>
          <w:lang w:val="fr-FR"/>
        </w:rPr>
        <w:tab/>
      </w:r>
      <w:r w:rsidRPr="0044124B">
        <w:rPr>
          <w:noProof/>
          <w:lang w:val="fr-FR"/>
        </w:rPr>
        <w:t>Spécimens d'attestation d'expert</w:t>
      </w:r>
      <w:r>
        <w:rPr>
          <w:noProof/>
          <w:lang w:val="fr-FR"/>
        </w:rPr>
        <w:tab/>
      </w:r>
      <w:r>
        <w:rPr>
          <w:noProof/>
          <w:lang w:val="fr-FR"/>
        </w:rPr>
        <w:tab/>
      </w:r>
      <w:r w:rsidR="002B72EF">
        <w:rPr>
          <w:noProof/>
          <w:lang w:val="fr-FR"/>
        </w:rPr>
        <w:t>43</w:t>
      </w:r>
      <w:r>
        <w:rPr>
          <w:noProof/>
          <w:lang w:val="fr-FR"/>
        </w:rPr>
        <w:tab/>
      </w:r>
      <w:r w:rsidR="00C278D4">
        <w:rPr>
          <w:noProof/>
          <w:lang w:val="fr-FR"/>
        </w:rPr>
        <w:t>10</w:t>
      </w:r>
    </w:p>
    <w:p w14:paraId="5949AFBD" w14:textId="438B7940" w:rsidR="0044124B" w:rsidRDefault="0044124B" w:rsidP="008C490D">
      <w:pPr>
        <w:tabs>
          <w:tab w:val="right" w:pos="850"/>
          <w:tab w:val="left" w:pos="1134"/>
          <w:tab w:val="left" w:pos="1559"/>
          <w:tab w:val="left" w:pos="1984"/>
          <w:tab w:val="left" w:leader="dot" w:pos="7654"/>
          <w:tab w:val="right" w:pos="8929"/>
          <w:tab w:val="right" w:pos="9638"/>
        </w:tabs>
        <w:spacing w:after="120" w:line="220" w:lineRule="atLeast"/>
        <w:ind w:left="1984" w:hanging="1412"/>
        <w:rPr>
          <w:noProof/>
          <w:lang w:val="fr-FR"/>
        </w:rPr>
      </w:pPr>
      <w:r>
        <w:rPr>
          <w:noProof/>
          <w:lang w:val="fr-FR"/>
        </w:rPr>
        <w:tab/>
      </w:r>
      <w:r>
        <w:rPr>
          <w:noProof/>
          <w:lang w:val="fr-FR"/>
        </w:rPr>
        <w:tab/>
        <w:t>E.</w:t>
      </w:r>
      <w:r>
        <w:rPr>
          <w:noProof/>
          <w:lang w:val="fr-FR"/>
        </w:rPr>
        <w:tab/>
      </w:r>
      <w:r w:rsidRPr="0044124B">
        <w:rPr>
          <w:noProof/>
          <w:lang w:val="fr-FR"/>
        </w:rPr>
        <w:t>Questions relatives aux sociétés de classification</w:t>
      </w:r>
      <w:r>
        <w:rPr>
          <w:noProof/>
          <w:lang w:val="fr-FR"/>
        </w:rPr>
        <w:tab/>
      </w:r>
      <w:r>
        <w:rPr>
          <w:noProof/>
          <w:lang w:val="fr-FR"/>
        </w:rPr>
        <w:tab/>
      </w:r>
      <w:r w:rsidR="002B72EF">
        <w:rPr>
          <w:noProof/>
          <w:lang w:val="fr-FR"/>
        </w:rPr>
        <w:t>44-45</w:t>
      </w:r>
      <w:r>
        <w:rPr>
          <w:noProof/>
          <w:lang w:val="fr-FR"/>
        </w:rPr>
        <w:tab/>
      </w:r>
      <w:r w:rsidR="00C278D4">
        <w:rPr>
          <w:noProof/>
          <w:lang w:val="fr-FR"/>
        </w:rPr>
        <w:t>10</w:t>
      </w:r>
    </w:p>
    <w:p w14:paraId="7AE7CB2F" w14:textId="560E428D" w:rsidR="0044124B" w:rsidRDefault="0044124B" w:rsidP="00C278D4">
      <w:pPr>
        <w:keepNext/>
        <w:keepLines/>
        <w:tabs>
          <w:tab w:val="right" w:pos="850"/>
          <w:tab w:val="left" w:pos="1134"/>
          <w:tab w:val="left" w:pos="1559"/>
          <w:tab w:val="left" w:pos="1984"/>
          <w:tab w:val="left" w:leader="dot" w:pos="7654"/>
          <w:tab w:val="right" w:pos="8929"/>
          <w:tab w:val="right" w:pos="9638"/>
        </w:tabs>
        <w:spacing w:after="120" w:line="220" w:lineRule="atLeast"/>
        <w:ind w:left="1134" w:hanging="1134"/>
        <w:rPr>
          <w:noProof/>
          <w:lang w:val="fr-FR"/>
        </w:rPr>
      </w:pPr>
      <w:r>
        <w:rPr>
          <w:noProof/>
          <w:lang w:val="fr-FR"/>
        </w:rPr>
        <w:lastRenderedPageBreak/>
        <w:tab/>
        <w:t>VI.</w:t>
      </w:r>
      <w:r>
        <w:rPr>
          <w:noProof/>
          <w:lang w:val="fr-FR"/>
        </w:rPr>
        <w:tab/>
      </w:r>
      <w:r w:rsidR="0038518F" w:rsidRPr="0038518F">
        <w:rPr>
          <w:noProof/>
          <w:lang w:val="fr-FR"/>
        </w:rPr>
        <w:t xml:space="preserve">Propositions d'amendements au Règlement annexé à l'ADN </w:t>
      </w:r>
      <w:r w:rsidR="0038518F">
        <w:rPr>
          <w:noProof/>
          <w:lang w:val="fr-FR"/>
        </w:rPr>
        <w:br/>
      </w:r>
      <w:r w:rsidR="0038518F" w:rsidRPr="0038518F">
        <w:rPr>
          <w:noProof/>
          <w:lang w:val="fr-FR"/>
        </w:rPr>
        <w:t>(point 5 de l'ordre du jour)</w:t>
      </w:r>
      <w:r w:rsidR="0038518F">
        <w:rPr>
          <w:noProof/>
          <w:lang w:val="fr-FR"/>
        </w:rPr>
        <w:tab/>
      </w:r>
      <w:r w:rsidR="0038518F">
        <w:rPr>
          <w:noProof/>
          <w:lang w:val="fr-FR"/>
        </w:rPr>
        <w:tab/>
      </w:r>
      <w:r w:rsidR="002B72EF">
        <w:rPr>
          <w:noProof/>
          <w:lang w:val="fr-FR"/>
        </w:rPr>
        <w:t>46-67</w:t>
      </w:r>
      <w:r w:rsidR="0038518F">
        <w:rPr>
          <w:noProof/>
          <w:lang w:val="fr-FR"/>
        </w:rPr>
        <w:tab/>
      </w:r>
      <w:r w:rsidR="00C278D4">
        <w:rPr>
          <w:noProof/>
          <w:lang w:val="fr-FR"/>
        </w:rPr>
        <w:t>11</w:t>
      </w:r>
    </w:p>
    <w:p w14:paraId="296ACF00" w14:textId="172A298F" w:rsidR="0038518F" w:rsidRDefault="0038518F" w:rsidP="00C278D4">
      <w:pPr>
        <w:keepNext/>
        <w:keepLines/>
        <w:tabs>
          <w:tab w:val="right" w:pos="850"/>
          <w:tab w:val="left" w:pos="1134"/>
          <w:tab w:val="left" w:pos="1559"/>
          <w:tab w:val="left" w:pos="1984"/>
          <w:tab w:val="left" w:leader="dot" w:pos="7654"/>
          <w:tab w:val="right" w:pos="8929"/>
          <w:tab w:val="right" w:pos="9638"/>
        </w:tabs>
        <w:spacing w:after="120" w:line="220" w:lineRule="atLeast"/>
        <w:ind w:left="1134" w:hanging="1134"/>
        <w:rPr>
          <w:noProof/>
          <w:lang w:val="fr-FR"/>
        </w:rPr>
      </w:pPr>
      <w:r>
        <w:rPr>
          <w:noProof/>
          <w:lang w:val="fr-FR"/>
        </w:rPr>
        <w:tab/>
      </w:r>
      <w:r>
        <w:rPr>
          <w:noProof/>
          <w:lang w:val="fr-FR"/>
        </w:rPr>
        <w:tab/>
        <w:t>A.</w:t>
      </w:r>
      <w:r>
        <w:rPr>
          <w:noProof/>
          <w:lang w:val="fr-FR"/>
        </w:rPr>
        <w:tab/>
      </w:r>
      <w:r w:rsidRPr="0038518F">
        <w:rPr>
          <w:noProof/>
          <w:lang w:val="fr-FR"/>
        </w:rPr>
        <w:t>Travaux de la Réunion commune RID/ADR/ADN</w:t>
      </w:r>
      <w:r>
        <w:rPr>
          <w:noProof/>
          <w:lang w:val="fr-FR"/>
        </w:rPr>
        <w:tab/>
      </w:r>
      <w:r>
        <w:rPr>
          <w:noProof/>
          <w:lang w:val="fr-FR"/>
        </w:rPr>
        <w:tab/>
      </w:r>
      <w:r w:rsidR="002B72EF">
        <w:rPr>
          <w:noProof/>
          <w:lang w:val="fr-FR"/>
        </w:rPr>
        <w:t>46-50</w:t>
      </w:r>
      <w:r>
        <w:rPr>
          <w:noProof/>
          <w:lang w:val="fr-FR"/>
        </w:rPr>
        <w:tab/>
      </w:r>
      <w:r w:rsidR="00C278D4">
        <w:rPr>
          <w:noProof/>
          <w:lang w:val="fr-FR"/>
        </w:rPr>
        <w:t>11</w:t>
      </w:r>
    </w:p>
    <w:p w14:paraId="0193EF79" w14:textId="175989F3" w:rsidR="0038518F" w:rsidRDefault="0038518F" w:rsidP="00C278D4">
      <w:pPr>
        <w:keepNext/>
        <w:keepLines/>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fr-FR"/>
        </w:rPr>
      </w:pPr>
      <w:r>
        <w:rPr>
          <w:noProof/>
          <w:lang w:val="fr-FR"/>
        </w:rPr>
        <w:tab/>
      </w:r>
      <w:r>
        <w:rPr>
          <w:noProof/>
          <w:lang w:val="fr-FR"/>
        </w:rPr>
        <w:tab/>
      </w:r>
      <w:r>
        <w:rPr>
          <w:noProof/>
          <w:lang w:val="fr-FR"/>
        </w:rPr>
        <w:tab/>
        <w:t>1.</w:t>
      </w:r>
      <w:r>
        <w:rPr>
          <w:noProof/>
          <w:lang w:val="fr-FR"/>
        </w:rPr>
        <w:tab/>
      </w:r>
      <w:r w:rsidRPr="0038518F">
        <w:rPr>
          <w:noProof/>
          <w:lang w:val="fr-FR"/>
        </w:rPr>
        <w:t xml:space="preserve">Rapports de la Réunion commune sur sa session d'automne 2016 </w:t>
      </w:r>
      <w:r>
        <w:rPr>
          <w:noProof/>
          <w:lang w:val="fr-FR"/>
        </w:rPr>
        <w:br/>
      </w:r>
      <w:r w:rsidRPr="0038518F">
        <w:rPr>
          <w:noProof/>
          <w:lang w:val="fr-FR"/>
        </w:rPr>
        <w:t xml:space="preserve">et du Groupe de travail du transport des marchandises dangereuses de la </w:t>
      </w:r>
      <w:r>
        <w:rPr>
          <w:noProof/>
          <w:lang w:val="fr-FR"/>
        </w:rPr>
        <w:br/>
      </w:r>
      <w:r w:rsidRPr="0038518F">
        <w:rPr>
          <w:noProof/>
          <w:lang w:val="fr-FR"/>
        </w:rPr>
        <w:t>CEE-ONU sur sa 101ème session</w:t>
      </w:r>
      <w:r>
        <w:rPr>
          <w:noProof/>
          <w:lang w:val="fr-FR"/>
        </w:rPr>
        <w:tab/>
      </w:r>
      <w:r>
        <w:rPr>
          <w:noProof/>
          <w:lang w:val="fr-FR"/>
        </w:rPr>
        <w:tab/>
      </w:r>
      <w:r w:rsidR="002B72EF">
        <w:rPr>
          <w:noProof/>
          <w:lang w:val="fr-FR"/>
        </w:rPr>
        <w:t>46-47</w:t>
      </w:r>
      <w:r>
        <w:rPr>
          <w:noProof/>
          <w:lang w:val="fr-FR"/>
        </w:rPr>
        <w:tab/>
      </w:r>
      <w:r w:rsidR="00D63CEC">
        <w:rPr>
          <w:noProof/>
          <w:lang w:val="fr-FR"/>
        </w:rPr>
        <w:t>11</w:t>
      </w:r>
    </w:p>
    <w:p w14:paraId="2356987A" w14:textId="4E0C6AD2" w:rsidR="0038518F" w:rsidRDefault="0038518F" w:rsidP="0038518F">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fr-FR"/>
        </w:rPr>
      </w:pPr>
      <w:r>
        <w:rPr>
          <w:noProof/>
          <w:lang w:val="fr-FR"/>
        </w:rPr>
        <w:tab/>
      </w:r>
      <w:r>
        <w:rPr>
          <w:noProof/>
          <w:lang w:val="fr-FR"/>
        </w:rPr>
        <w:tab/>
      </w:r>
      <w:r>
        <w:rPr>
          <w:noProof/>
          <w:lang w:val="fr-FR"/>
        </w:rPr>
        <w:tab/>
        <w:t>2.</w:t>
      </w:r>
      <w:r>
        <w:rPr>
          <w:noProof/>
          <w:lang w:val="fr-FR"/>
        </w:rPr>
        <w:tab/>
      </w:r>
      <w:r w:rsidRPr="0038518F">
        <w:rPr>
          <w:noProof/>
          <w:lang w:val="fr-FR"/>
        </w:rPr>
        <w:t xml:space="preserve">Référence aux directives 67/548/CEE et 88/379/CEE du Conseil </w:t>
      </w:r>
      <w:r>
        <w:rPr>
          <w:noProof/>
          <w:lang w:val="fr-FR"/>
        </w:rPr>
        <w:br/>
      </w:r>
      <w:r w:rsidRPr="0038518F">
        <w:rPr>
          <w:noProof/>
          <w:lang w:val="fr-FR"/>
        </w:rPr>
        <w:t>de l'Union européenne</w:t>
      </w:r>
      <w:r w:rsidR="002B72EF">
        <w:rPr>
          <w:noProof/>
          <w:lang w:val="fr-FR"/>
        </w:rPr>
        <w:tab/>
      </w:r>
      <w:r w:rsidR="002B72EF">
        <w:rPr>
          <w:noProof/>
          <w:lang w:val="fr-FR"/>
        </w:rPr>
        <w:tab/>
        <w:t>48</w:t>
      </w:r>
      <w:r w:rsidR="002B72EF">
        <w:rPr>
          <w:noProof/>
          <w:lang w:val="fr-FR"/>
        </w:rPr>
        <w:tab/>
      </w:r>
      <w:r w:rsidR="00D63CEC">
        <w:rPr>
          <w:noProof/>
          <w:lang w:val="fr-FR"/>
        </w:rPr>
        <w:t>11</w:t>
      </w:r>
    </w:p>
    <w:p w14:paraId="4C24378B" w14:textId="0A5D2F36" w:rsidR="0038518F" w:rsidRDefault="0038518F" w:rsidP="0038518F">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fr-FR"/>
        </w:rPr>
      </w:pPr>
      <w:r>
        <w:rPr>
          <w:noProof/>
          <w:lang w:val="fr-FR"/>
        </w:rPr>
        <w:tab/>
      </w:r>
      <w:r>
        <w:rPr>
          <w:noProof/>
          <w:lang w:val="fr-FR"/>
        </w:rPr>
        <w:tab/>
      </w:r>
      <w:r>
        <w:rPr>
          <w:noProof/>
          <w:lang w:val="fr-FR"/>
        </w:rPr>
        <w:tab/>
        <w:t>3.</w:t>
      </w:r>
      <w:r>
        <w:rPr>
          <w:noProof/>
          <w:lang w:val="fr-FR"/>
        </w:rPr>
        <w:tab/>
      </w:r>
      <w:r w:rsidRPr="0038518F">
        <w:rPr>
          <w:noProof/>
          <w:lang w:val="fr-FR"/>
        </w:rPr>
        <w:t>Dispositions spéciale 665 – Transport de charbon</w:t>
      </w:r>
      <w:r>
        <w:rPr>
          <w:noProof/>
          <w:lang w:val="fr-FR"/>
        </w:rPr>
        <w:tab/>
      </w:r>
      <w:r>
        <w:rPr>
          <w:noProof/>
          <w:lang w:val="fr-FR"/>
        </w:rPr>
        <w:tab/>
      </w:r>
      <w:r w:rsidR="002B72EF">
        <w:rPr>
          <w:noProof/>
          <w:lang w:val="fr-FR"/>
        </w:rPr>
        <w:t>49-50</w:t>
      </w:r>
      <w:r>
        <w:rPr>
          <w:noProof/>
          <w:lang w:val="fr-FR"/>
        </w:rPr>
        <w:tab/>
      </w:r>
      <w:r w:rsidR="00D63CEC">
        <w:rPr>
          <w:noProof/>
          <w:lang w:val="fr-FR"/>
        </w:rPr>
        <w:t>11</w:t>
      </w:r>
    </w:p>
    <w:p w14:paraId="2473AFD2" w14:textId="39264045" w:rsidR="0038518F" w:rsidRDefault="0038518F" w:rsidP="0038518F">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fr-FR"/>
        </w:rPr>
      </w:pPr>
      <w:r>
        <w:rPr>
          <w:noProof/>
          <w:lang w:val="fr-FR"/>
        </w:rPr>
        <w:tab/>
      </w:r>
      <w:r>
        <w:rPr>
          <w:noProof/>
          <w:lang w:val="fr-FR"/>
        </w:rPr>
        <w:tab/>
        <w:t>B.</w:t>
      </w:r>
      <w:r>
        <w:rPr>
          <w:noProof/>
          <w:lang w:val="fr-FR"/>
        </w:rPr>
        <w:tab/>
      </w:r>
      <w:r w:rsidRPr="0038518F">
        <w:rPr>
          <w:noProof/>
          <w:lang w:val="fr-FR"/>
        </w:rPr>
        <w:t>Autres propositions d'amendements</w:t>
      </w:r>
      <w:r>
        <w:rPr>
          <w:noProof/>
          <w:lang w:val="fr-FR"/>
        </w:rPr>
        <w:tab/>
      </w:r>
      <w:r>
        <w:rPr>
          <w:noProof/>
          <w:lang w:val="fr-FR"/>
        </w:rPr>
        <w:tab/>
      </w:r>
      <w:r w:rsidR="002B72EF">
        <w:rPr>
          <w:noProof/>
          <w:lang w:val="fr-FR"/>
        </w:rPr>
        <w:t>51-67</w:t>
      </w:r>
      <w:r>
        <w:rPr>
          <w:noProof/>
          <w:lang w:val="fr-FR"/>
        </w:rPr>
        <w:tab/>
      </w:r>
      <w:r w:rsidR="00D63CEC">
        <w:rPr>
          <w:noProof/>
          <w:lang w:val="fr-FR"/>
        </w:rPr>
        <w:t>12</w:t>
      </w:r>
    </w:p>
    <w:p w14:paraId="052CBEB2" w14:textId="50AF62A8" w:rsidR="0038518F" w:rsidRDefault="0038518F" w:rsidP="0038518F">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fr-FR"/>
        </w:rPr>
      </w:pPr>
      <w:r>
        <w:rPr>
          <w:noProof/>
          <w:lang w:val="fr-FR"/>
        </w:rPr>
        <w:tab/>
      </w:r>
      <w:r>
        <w:rPr>
          <w:noProof/>
          <w:lang w:val="fr-FR"/>
        </w:rPr>
        <w:tab/>
      </w:r>
      <w:r>
        <w:rPr>
          <w:noProof/>
          <w:lang w:val="fr-FR"/>
        </w:rPr>
        <w:tab/>
        <w:t>1.</w:t>
      </w:r>
      <w:r>
        <w:rPr>
          <w:noProof/>
          <w:lang w:val="fr-FR"/>
        </w:rPr>
        <w:tab/>
      </w:r>
      <w:r w:rsidRPr="0038518F">
        <w:rPr>
          <w:noProof/>
          <w:lang w:val="fr-FR"/>
        </w:rPr>
        <w:t>Sous-section 3.2.3.1, explications concernant le tableau C</w:t>
      </w:r>
      <w:r>
        <w:rPr>
          <w:noProof/>
          <w:lang w:val="fr-FR"/>
        </w:rPr>
        <w:tab/>
      </w:r>
      <w:r>
        <w:rPr>
          <w:noProof/>
          <w:lang w:val="fr-FR"/>
        </w:rPr>
        <w:tab/>
      </w:r>
      <w:r w:rsidR="002B72EF">
        <w:rPr>
          <w:noProof/>
          <w:lang w:val="fr-FR"/>
        </w:rPr>
        <w:t>51</w:t>
      </w:r>
      <w:r>
        <w:rPr>
          <w:noProof/>
          <w:lang w:val="fr-FR"/>
        </w:rPr>
        <w:tab/>
      </w:r>
      <w:r w:rsidR="00D63CEC">
        <w:rPr>
          <w:noProof/>
          <w:lang w:val="fr-FR"/>
        </w:rPr>
        <w:t>12</w:t>
      </w:r>
    </w:p>
    <w:p w14:paraId="209C5702" w14:textId="765222AB" w:rsidR="0038518F" w:rsidRDefault="0038518F" w:rsidP="0038518F">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fr-FR"/>
        </w:rPr>
      </w:pPr>
      <w:r>
        <w:rPr>
          <w:noProof/>
          <w:lang w:val="fr-FR"/>
        </w:rPr>
        <w:tab/>
      </w:r>
      <w:r>
        <w:rPr>
          <w:noProof/>
          <w:lang w:val="fr-FR"/>
        </w:rPr>
        <w:tab/>
      </w:r>
      <w:r>
        <w:rPr>
          <w:noProof/>
          <w:lang w:val="fr-FR"/>
        </w:rPr>
        <w:tab/>
        <w:t>2.</w:t>
      </w:r>
      <w:r>
        <w:rPr>
          <w:noProof/>
          <w:lang w:val="fr-FR"/>
        </w:rPr>
        <w:tab/>
      </w:r>
      <w:r w:rsidR="00A64C3B" w:rsidRPr="00A64C3B">
        <w:rPr>
          <w:noProof/>
          <w:lang w:val="fr-FR"/>
        </w:rPr>
        <w:t>Agents extincteurs</w:t>
      </w:r>
      <w:r w:rsidR="00A64C3B">
        <w:rPr>
          <w:noProof/>
          <w:lang w:val="fr-FR"/>
        </w:rPr>
        <w:tab/>
      </w:r>
      <w:r w:rsidR="00A64C3B">
        <w:rPr>
          <w:noProof/>
          <w:lang w:val="fr-FR"/>
        </w:rPr>
        <w:tab/>
      </w:r>
      <w:r w:rsidR="002B72EF">
        <w:rPr>
          <w:noProof/>
          <w:lang w:val="fr-FR"/>
        </w:rPr>
        <w:t>52-54</w:t>
      </w:r>
      <w:r w:rsidR="00A64C3B">
        <w:rPr>
          <w:noProof/>
          <w:lang w:val="fr-FR"/>
        </w:rPr>
        <w:tab/>
      </w:r>
      <w:r w:rsidR="00D63CEC">
        <w:rPr>
          <w:noProof/>
          <w:lang w:val="fr-FR"/>
        </w:rPr>
        <w:t>12</w:t>
      </w:r>
    </w:p>
    <w:p w14:paraId="28C29EE0" w14:textId="7B3871CD" w:rsidR="00A64C3B" w:rsidRDefault="00A64C3B" w:rsidP="0038518F">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fr-FR"/>
        </w:rPr>
      </w:pPr>
      <w:r>
        <w:rPr>
          <w:noProof/>
          <w:lang w:val="fr-FR"/>
        </w:rPr>
        <w:tab/>
      </w:r>
      <w:r>
        <w:rPr>
          <w:noProof/>
          <w:lang w:val="fr-FR"/>
        </w:rPr>
        <w:tab/>
      </w:r>
      <w:r>
        <w:rPr>
          <w:noProof/>
          <w:lang w:val="fr-FR"/>
        </w:rPr>
        <w:tab/>
        <w:t>3.</w:t>
      </w:r>
      <w:r>
        <w:rPr>
          <w:noProof/>
          <w:lang w:val="fr-FR"/>
        </w:rPr>
        <w:tab/>
      </w:r>
      <w:r w:rsidRPr="00A64C3B">
        <w:rPr>
          <w:noProof/>
          <w:lang w:val="fr-FR"/>
        </w:rPr>
        <w:t>Corrections au Règlement annexé à l'ADN</w:t>
      </w:r>
      <w:r>
        <w:rPr>
          <w:noProof/>
          <w:lang w:val="fr-FR"/>
        </w:rPr>
        <w:tab/>
      </w:r>
      <w:r>
        <w:rPr>
          <w:noProof/>
          <w:lang w:val="fr-FR"/>
        </w:rPr>
        <w:tab/>
      </w:r>
      <w:r w:rsidR="002B72EF">
        <w:rPr>
          <w:noProof/>
          <w:lang w:val="fr-FR"/>
        </w:rPr>
        <w:t>55</w:t>
      </w:r>
      <w:r>
        <w:rPr>
          <w:noProof/>
          <w:lang w:val="fr-FR"/>
        </w:rPr>
        <w:tab/>
      </w:r>
      <w:r w:rsidR="00D63CEC">
        <w:rPr>
          <w:noProof/>
          <w:lang w:val="fr-FR"/>
        </w:rPr>
        <w:t>12</w:t>
      </w:r>
    </w:p>
    <w:p w14:paraId="4D55C53A" w14:textId="3F0048F2" w:rsidR="00A64C3B" w:rsidRDefault="00A64C3B" w:rsidP="0038518F">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fr-FR"/>
        </w:rPr>
      </w:pPr>
      <w:r>
        <w:rPr>
          <w:noProof/>
          <w:lang w:val="fr-FR"/>
        </w:rPr>
        <w:tab/>
      </w:r>
      <w:r>
        <w:rPr>
          <w:noProof/>
          <w:lang w:val="fr-FR"/>
        </w:rPr>
        <w:tab/>
      </w:r>
      <w:r>
        <w:rPr>
          <w:noProof/>
          <w:lang w:val="fr-FR"/>
        </w:rPr>
        <w:tab/>
        <w:t>4.</w:t>
      </w:r>
      <w:r>
        <w:rPr>
          <w:noProof/>
          <w:lang w:val="fr-FR"/>
        </w:rPr>
        <w:tab/>
      </w:r>
      <w:r w:rsidRPr="00A64C3B">
        <w:rPr>
          <w:noProof/>
          <w:lang w:val="fr-FR"/>
        </w:rPr>
        <w:t>Propositions de mise à jour de références</w:t>
      </w:r>
      <w:r>
        <w:rPr>
          <w:noProof/>
          <w:lang w:val="fr-FR"/>
        </w:rPr>
        <w:tab/>
      </w:r>
      <w:r>
        <w:rPr>
          <w:noProof/>
          <w:lang w:val="fr-FR"/>
        </w:rPr>
        <w:tab/>
      </w:r>
      <w:r w:rsidR="002B72EF">
        <w:rPr>
          <w:noProof/>
          <w:lang w:val="fr-FR"/>
        </w:rPr>
        <w:t>56-57</w:t>
      </w:r>
      <w:r>
        <w:rPr>
          <w:noProof/>
          <w:lang w:val="fr-FR"/>
        </w:rPr>
        <w:tab/>
      </w:r>
      <w:r w:rsidR="00D63CEC">
        <w:rPr>
          <w:noProof/>
          <w:lang w:val="fr-FR"/>
        </w:rPr>
        <w:t>12</w:t>
      </w:r>
    </w:p>
    <w:p w14:paraId="6E7C1158" w14:textId="1B5567BB" w:rsidR="00A64C3B" w:rsidRDefault="00A64C3B" w:rsidP="0038518F">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fr-FR"/>
        </w:rPr>
      </w:pPr>
      <w:r>
        <w:rPr>
          <w:noProof/>
          <w:lang w:val="fr-FR"/>
        </w:rPr>
        <w:tab/>
      </w:r>
      <w:r>
        <w:rPr>
          <w:noProof/>
          <w:lang w:val="fr-FR"/>
        </w:rPr>
        <w:tab/>
      </w:r>
      <w:r>
        <w:rPr>
          <w:noProof/>
          <w:lang w:val="fr-FR"/>
        </w:rPr>
        <w:tab/>
        <w:t>5.</w:t>
      </w:r>
      <w:r>
        <w:rPr>
          <w:noProof/>
          <w:lang w:val="fr-FR"/>
        </w:rPr>
        <w:tab/>
      </w:r>
      <w:r w:rsidRPr="00A64C3B">
        <w:rPr>
          <w:noProof/>
          <w:lang w:val="fr-FR"/>
        </w:rPr>
        <w:t xml:space="preserve">Corrections typographiques au chapitre 1.16 de la version 2017 </w:t>
      </w:r>
      <w:r>
        <w:rPr>
          <w:noProof/>
          <w:lang w:val="fr-FR"/>
        </w:rPr>
        <w:br/>
      </w:r>
      <w:r w:rsidRPr="00A64C3B">
        <w:rPr>
          <w:noProof/>
          <w:lang w:val="fr-FR"/>
        </w:rPr>
        <w:t>de l'ADN</w:t>
      </w:r>
      <w:r>
        <w:rPr>
          <w:noProof/>
          <w:lang w:val="fr-FR"/>
        </w:rPr>
        <w:tab/>
      </w:r>
      <w:r>
        <w:rPr>
          <w:noProof/>
          <w:lang w:val="fr-FR"/>
        </w:rPr>
        <w:tab/>
      </w:r>
      <w:r w:rsidR="002B72EF">
        <w:rPr>
          <w:noProof/>
          <w:lang w:val="fr-FR"/>
        </w:rPr>
        <w:t>58</w:t>
      </w:r>
      <w:r>
        <w:rPr>
          <w:noProof/>
          <w:lang w:val="fr-FR"/>
        </w:rPr>
        <w:tab/>
      </w:r>
      <w:r w:rsidR="00D63CEC">
        <w:rPr>
          <w:noProof/>
          <w:lang w:val="fr-FR"/>
        </w:rPr>
        <w:t>12</w:t>
      </w:r>
    </w:p>
    <w:p w14:paraId="28B23D8E" w14:textId="60168FCD" w:rsidR="00A64C3B" w:rsidRDefault="00A64C3B" w:rsidP="0038518F">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fr-FR"/>
        </w:rPr>
      </w:pPr>
      <w:r>
        <w:rPr>
          <w:noProof/>
          <w:lang w:val="fr-FR"/>
        </w:rPr>
        <w:tab/>
      </w:r>
      <w:r>
        <w:rPr>
          <w:noProof/>
          <w:lang w:val="fr-FR"/>
        </w:rPr>
        <w:tab/>
      </w:r>
      <w:r>
        <w:rPr>
          <w:noProof/>
          <w:lang w:val="fr-FR"/>
        </w:rPr>
        <w:tab/>
        <w:t>6.</w:t>
      </w:r>
      <w:r>
        <w:rPr>
          <w:noProof/>
          <w:lang w:val="fr-FR"/>
        </w:rPr>
        <w:tab/>
      </w:r>
      <w:r w:rsidRPr="00A64C3B">
        <w:rPr>
          <w:noProof/>
          <w:lang w:val="fr-FR"/>
        </w:rPr>
        <w:t xml:space="preserve">Amendements au tableau C concernant le transport du </w:t>
      </w:r>
      <w:r>
        <w:rPr>
          <w:noProof/>
          <w:lang w:val="fr-FR"/>
        </w:rPr>
        <w:br/>
      </w:r>
      <w:r w:rsidRPr="00A64C3B">
        <w:rPr>
          <w:noProof/>
          <w:lang w:val="fr-FR"/>
        </w:rPr>
        <w:t xml:space="preserve">No. ONU 1280 Oxyde de propylène et No. ONU 2983 </w:t>
      </w:r>
      <w:r>
        <w:rPr>
          <w:noProof/>
          <w:lang w:val="fr-FR"/>
        </w:rPr>
        <w:br/>
      </w:r>
      <w:r w:rsidRPr="00A64C3B">
        <w:rPr>
          <w:noProof/>
          <w:lang w:val="fr-FR"/>
        </w:rPr>
        <w:t>Oxyde d'éthylène et Oxyde de propylène en mélange</w:t>
      </w:r>
      <w:r>
        <w:rPr>
          <w:noProof/>
          <w:lang w:val="fr-FR"/>
        </w:rPr>
        <w:tab/>
      </w:r>
      <w:r>
        <w:rPr>
          <w:noProof/>
          <w:lang w:val="fr-FR"/>
        </w:rPr>
        <w:tab/>
      </w:r>
      <w:r w:rsidR="002B72EF">
        <w:rPr>
          <w:noProof/>
          <w:lang w:val="fr-FR"/>
        </w:rPr>
        <w:t>59-60</w:t>
      </w:r>
      <w:r>
        <w:rPr>
          <w:noProof/>
          <w:lang w:val="fr-FR"/>
        </w:rPr>
        <w:tab/>
      </w:r>
      <w:r w:rsidR="00D63CEC">
        <w:rPr>
          <w:noProof/>
          <w:lang w:val="fr-FR"/>
        </w:rPr>
        <w:t>13</w:t>
      </w:r>
    </w:p>
    <w:p w14:paraId="58F0294E" w14:textId="67D4710E" w:rsidR="00A64C3B" w:rsidRDefault="00A64C3B" w:rsidP="0038518F">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fr-FR"/>
        </w:rPr>
      </w:pPr>
      <w:r>
        <w:rPr>
          <w:noProof/>
          <w:lang w:val="fr-FR"/>
        </w:rPr>
        <w:tab/>
      </w:r>
      <w:r>
        <w:rPr>
          <w:noProof/>
          <w:lang w:val="fr-FR"/>
        </w:rPr>
        <w:tab/>
      </w:r>
      <w:r>
        <w:rPr>
          <w:noProof/>
          <w:lang w:val="fr-FR"/>
        </w:rPr>
        <w:tab/>
        <w:t>7.</w:t>
      </w:r>
      <w:r>
        <w:rPr>
          <w:noProof/>
          <w:lang w:val="fr-FR"/>
        </w:rPr>
        <w:tab/>
      </w:r>
      <w:r w:rsidRPr="00A64C3B">
        <w:rPr>
          <w:noProof/>
          <w:lang w:val="fr-FR"/>
        </w:rPr>
        <w:t>Systèmes de protection autonomes</w:t>
      </w:r>
      <w:r>
        <w:rPr>
          <w:noProof/>
          <w:lang w:val="fr-FR"/>
        </w:rPr>
        <w:tab/>
      </w:r>
      <w:r>
        <w:rPr>
          <w:noProof/>
          <w:lang w:val="fr-FR"/>
        </w:rPr>
        <w:tab/>
      </w:r>
      <w:r w:rsidR="002B72EF">
        <w:rPr>
          <w:noProof/>
          <w:lang w:val="fr-FR"/>
        </w:rPr>
        <w:t>61-62</w:t>
      </w:r>
      <w:r>
        <w:rPr>
          <w:noProof/>
          <w:lang w:val="fr-FR"/>
        </w:rPr>
        <w:tab/>
      </w:r>
      <w:r w:rsidR="00D63CEC">
        <w:rPr>
          <w:noProof/>
          <w:lang w:val="fr-FR"/>
        </w:rPr>
        <w:t>13</w:t>
      </w:r>
    </w:p>
    <w:p w14:paraId="106D826F" w14:textId="7601D4DD" w:rsidR="00A64C3B" w:rsidRDefault="00A64C3B" w:rsidP="0038518F">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fr-FR"/>
        </w:rPr>
      </w:pPr>
      <w:r>
        <w:rPr>
          <w:noProof/>
          <w:lang w:val="fr-FR"/>
        </w:rPr>
        <w:tab/>
      </w:r>
      <w:r>
        <w:rPr>
          <w:noProof/>
          <w:lang w:val="fr-FR"/>
        </w:rPr>
        <w:tab/>
      </w:r>
      <w:r>
        <w:rPr>
          <w:noProof/>
          <w:lang w:val="fr-FR"/>
        </w:rPr>
        <w:tab/>
        <w:t>8.</w:t>
      </w:r>
      <w:r>
        <w:rPr>
          <w:noProof/>
          <w:lang w:val="fr-FR"/>
        </w:rPr>
        <w:tab/>
      </w:r>
      <w:r w:rsidRPr="00A64C3B">
        <w:rPr>
          <w:noProof/>
          <w:lang w:val="fr-FR"/>
        </w:rPr>
        <w:t xml:space="preserve">Utilisation du courant électrique terrestre pour les bâtiments </w:t>
      </w:r>
      <w:r>
        <w:rPr>
          <w:noProof/>
          <w:lang w:val="fr-FR"/>
        </w:rPr>
        <w:br/>
      </w:r>
      <w:r w:rsidRPr="00A64C3B">
        <w:rPr>
          <w:noProof/>
          <w:lang w:val="fr-FR"/>
        </w:rPr>
        <w:t xml:space="preserve">transportant des marchandises dangereuses – Exigences applicables </w:t>
      </w:r>
      <w:r>
        <w:rPr>
          <w:noProof/>
          <w:lang w:val="fr-FR"/>
        </w:rPr>
        <w:br/>
      </w:r>
      <w:r w:rsidRPr="00A64C3B">
        <w:rPr>
          <w:noProof/>
          <w:lang w:val="fr-FR"/>
        </w:rPr>
        <w:t>au branchement et au câble de raccordement entre le bateau et la terre</w:t>
      </w:r>
      <w:r>
        <w:rPr>
          <w:noProof/>
          <w:lang w:val="fr-FR"/>
        </w:rPr>
        <w:tab/>
      </w:r>
      <w:r>
        <w:rPr>
          <w:noProof/>
          <w:lang w:val="fr-FR"/>
        </w:rPr>
        <w:tab/>
      </w:r>
      <w:r w:rsidR="002B72EF">
        <w:rPr>
          <w:noProof/>
          <w:lang w:val="fr-FR"/>
        </w:rPr>
        <w:t>63</w:t>
      </w:r>
      <w:r>
        <w:rPr>
          <w:noProof/>
          <w:lang w:val="fr-FR"/>
        </w:rPr>
        <w:tab/>
      </w:r>
      <w:r w:rsidR="00D63CEC">
        <w:rPr>
          <w:noProof/>
          <w:lang w:val="fr-FR"/>
        </w:rPr>
        <w:t>13</w:t>
      </w:r>
    </w:p>
    <w:p w14:paraId="5431A1C8" w14:textId="0B4D7C15" w:rsidR="00A64C3B" w:rsidRDefault="00A64C3B" w:rsidP="0038518F">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fr-FR"/>
        </w:rPr>
      </w:pPr>
      <w:r>
        <w:rPr>
          <w:noProof/>
          <w:lang w:val="fr-FR"/>
        </w:rPr>
        <w:tab/>
      </w:r>
      <w:r>
        <w:rPr>
          <w:noProof/>
          <w:lang w:val="fr-FR"/>
        </w:rPr>
        <w:tab/>
      </w:r>
      <w:r>
        <w:rPr>
          <w:noProof/>
          <w:lang w:val="fr-FR"/>
        </w:rPr>
        <w:tab/>
        <w:t>9.</w:t>
      </w:r>
      <w:r>
        <w:rPr>
          <w:noProof/>
          <w:lang w:val="fr-FR"/>
        </w:rPr>
        <w:tab/>
      </w:r>
      <w:r w:rsidRPr="00A64C3B">
        <w:rPr>
          <w:noProof/>
          <w:lang w:val="fr-FR"/>
        </w:rPr>
        <w:t xml:space="preserve">Corrections aux dispositions transitoires relatives aux définitions </w:t>
      </w:r>
      <w:r>
        <w:rPr>
          <w:noProof/>
          <w:lang w:val="fr-FR"/>
        </w:rPr>
        <w:br/>
      </w:r>
      <w:r w:rsidRPr="00A64C3B">
        <w:rPr>
          <w:noProof/>
          <w:lang w:val="fr-FR"/>
        </w:rPr>
        <w:t>de coupe-flammes et de soupapes de dégagement à grande vitesse</w:t>
      </w:r>
      <w:r>
        <w:rPr>
          <w:noProof/>
          <w:lang w:val="fr-FR"/>
        </w:rPr>
        <w:tab/>
      </w:r>
      <w:r>
        <w:rPr>
          <w:noProof/>
          <w:lang w:val="fr-FR"/>
        </w:rPr>
        <w:tab/>
      </w:r>
      <w:r w:rsidR="002B72EF">
        <w:rPr>
          <w:noProof/>
          <w:lang w:val="fr-FR"/>
        </w:rPr>
        <w:t>64-66</w:t>
      </w:r>
      <w:r>
        <w:rPr>
          <w:noProof/>
          <w:lang w:val="fr-FR"/>
        </w:rPr>
        <w:tab/>
      </w:r>
      <w:r w:rsidR="00D63CEC">
        <w:rPr>
          <w:noProof/>
          <w:lang w:val="fr-FR"/>
        </w:rPr>
        <w:t>13</w:t>
      </w:r>
    </w:p>
    <w:p w14:paraId="0F185E1C" w14:textId="2756F32B" w:rsidR="00A64C3B" w:rsidRDefault="00A64C3B" w:rsidP="0038518F">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fr-FR"/>
        </w:rPr>
      </w:pPr>
      <w:r>
        <w:rPr>
          <w:noProof/>
          <w:lang w:val="fr-FR"/>
        </w:rPr>
        <w:tab/>
      </w:r>
      <w:r>
        <w:rPr>
          <w:noProof/>
          <w:lang w:val="fr-FR"/>
        </w:rPr>
        <w:tab/>
      </w:r>
      <w:r>
        <w:rPr>
          <w:noProof/>
          <w:lang w:val="fr-FR"/>
        </w:rPr>
        <w:tab/>
        <w:t>10.</w:t>
      </w:r>
      <w:r>
        <w:rPr>
          <w:noProof/>
          <w:lang w:val="fr-FR"/>
        </w:rPr>
        <w:tab/>
      </w:r>
      <w:r w:rsidRPr="00A64C3B">
        <w:rPr>
          <w:noProof/>
          <w:lang w:val="fr-FR"/>
        </w:rPr>
        <w:t>Matériaux de construction</w:t>
      </w:r>
      <w:r>
        <w:rPr>
          <w:noProof/>
          <w:lang w:val="fr-FR"/>
        </w:rPr>
        <w:tab/>
      </w:r>
      <w:r>
        <w:rPr>
          <w:noProof/>
          <w:lang w:val="fr-FR"/>
        </w:rPr>
        <w:tab/>
      </w:r>
      <w:r w:rsidR="002B72EF">
        <w:rPr>
          <w:noProof/>
          <w:lang w:val="fr-FR"/>
        </w:rPr>
        <w:t>67</w:t>
      </w:r>
      <w:r>
        <w:rPr>
          <w:noProof/>
          <w:lang w:val="fr-FR"/>
        </w:rPr>
        <w:tab/>
      </w:r>
      <w:r w:rsidR="00D63CEC">
        <w:rPr>
          <w:noProof/>
          <w:lang w:val="fr-FR"/>
        </w:rPr>
        <w:t>14</w:t>
      </w:r>
    </w:p>
    <w:p w14:paraId="34DF1397" w14:textId="0ECF73D1" w:rsidR="00A64C3B" w:rsidRDefault="00A64C3B" w:rsidP="0038518F">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fr-FR"/>
        </w:rPr>
      </w:pPr>
      <w:r>
        <w:rPr>
          <w:noProof/>
          <w:lang w:val="fr-FR"/>
        </w:rPr>
        <w:tab/>
        <w:t>VII.</w:t>
      </w:r>
      <w:r>
        <w:rPr>
          <w:noProof/>
          <w:lang w:val="fr-FR"/>
        </w:rPr>
        <w:tab/>
      </w:r>
      <w:r w:rsidRPr="00A64C3B">
        <w:rPr>
          <w:noProof/>
          <w:lang w:val="fr-FR"/>
        </w:rPr>
        <w:t>Rapports des groupes de travail informels (point 6 de l'ordre du jour)</w:t>
      </w:r>
      <w:r>
        <w:rPr>
          <w:noProof/>
          <w:lang w:val="fr-FR"/>
        </w:rPr>
        <w:tab/>
      </w:r>
      <w:r>
        <w:rPr>
          <w:noProof/>
          <w:lang w:val="fr-FR"/>
        </w:rPr>
        <w:tab/>
      </w:r>
      <w:r w:rsidR="002B72EF">
        <w:rPr>
          <w:noProof/>
          <w:lang w:val="fr-FR"/>
        </w:rPr>
        <w:t>68-75</w:t>
      </w:r>
      <w:r>
        <w:rPr>
          <w:noProof/>
          <w:lang w:val="fr-FR"/>
        </w:rPr>
        <w:tab/>
      </w:r>
      <w:r w:rsidR="00D63CEC">
        <w:rPr>
          <w:noProof/>
          <w:lang w:val="fr-FR"/>
        </w:rPr>
        <w:t>14</w:t>
      </w:r>
    </w:p>
    <w:p w14:paraId="6CFF6344" w14:textId="6389E854" w:rsidR="00A64C3B" w:rsidRDefault="00A64C3B" w:rsidP="0038518F">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fr-FR"/>
        </w:rPr>
      </w:pPr>
      <w:r>
        <w:rPr>
          <w:noProof/>
          <w:lang w:val="fr-FR"/>
        </w:rPr>
        <w:tab/>
      </w:r>
      <w:r>
        <w:rPr>
          <w:noProof/>
          <w:lang w:val="fr-FR"/>
        </w:rPr>
        <w:tab/>
        <w:t>A.</w:t>
      </w:r>
      <w:r>
        <w:rPr>
          <w:noProof/>
          <w:lang w:val="fr-FR"/>
        </w:rPr>
        <w:tab/>
      </w:r>
      <w:r w:rsidRPr="00A64C3B">
        <w:rPr>
          <w:noProof/>
          <w:lang w:val="fr-FR"/>
        </w:rPr>
        <w:t>Groupe de travail informel sur le gaz naturel liquéfié</w:t>
      </w:r>
      <w:r>
        <w:rPr>
          <w:noProof/>
          <w:lang w:val="fr-FR"/>
        </w:rPr>
        <w:tab/>
      </w:r>
      <w:r>
        <w:rPr>
          <w:noProof/>
          <w:lang w:val="fr-FR"/>
        </w:rPr>
        <w:tab/>
      </w:r>
      <w:r w:rsidR="002B72EF">
        <w:rPr>
          <w:noProof/>
          <w:lang w:val="fr-FR"/>
        </w:rPr>
        <w:t>68-69</w:t>
      </w:r>
      <w:r>
        <w:rPr>
          <w:noProof/>
          <w:lang w:val="fr-FR"/>
        </w:rPr>
        <w:tab/>
      </w:r>
      <w:r w:rsidR="00D63CEC">
        <w:rPr>
          <w:noProof/>
          <w:lang w:val="fr-FR"/>
        </w:rPr>
        <w:t>14</w:t>
      </w:r>
    </w:p>
    <w:p w14:paraId="1C90189F" w14:textId="290C0752" w:rsidR="00A64C3B" w:rsidRDefault="00A64C3B" w:rsidP="00A64C3B">
      <w:pPr>
        <w:tabs>
          <w:tab w:val="right" w:pos="850"/>
          <w:tab w:val="left" w:pos="1134"/>
          <w:tab w:val="left" w:pos="1560"/>
          <w:tab w:val="left" w:leader="dot" w:pos="7654"/>
          <w:tab w:val="right" w:pos="8929"/>
          <w:tab w:val="right" w:pos="9638"/>
        </w:tabs>
        <w:spacing w:after="120" w:line="220" w:lineRule="atLeast"/>
        <w:ind w:left="1560" w:hanging="1560"/>
        <w:rPr>
          <w:noProof/>
          <w:lang w:val="fr-FR"/>
        </w:rPr>
      </w:pPr>
      <w:r>
        <w:rPr>
          <w:noProof/>
          <w:lang w:val="fr-FR"/>
        </w:rPr>
        <w:tab/>
      </w:r>
      <w:r>
        <w:rPr>
          <w:noProof/>
          <w:lang w:val="fr-FR"/>
        </w:rPr>
        <w:tab/>
        <w:t>B.</w:t>
      </w:r>
      <w:r>
        <w:rPr>
          <w:noProof/>
          <w:lang w:val="fr-FR"/>
        </w:rPr>
        <w:tab/>
      </w:r>
      <w:r w:rsidRPr="00A64C3B">
        <w:rPr>
          <w:noProof/>
          <w:lang w:val="fr-FR"/>
        </w:rPr>
        <w:t xml:space="preserve">Groupe de travail informel sur la protection contre les explosions </w:t>
      </w:r>
      <w:r>
        <w:rPr>
          <w:noProof/>
          <w:lang w:val="fr-FR"/>
        </w:rPr>
        <w:br/>
      </w:r>
      <w:r w:rsidRPr="00A64C3B">
        <w:rPr>
          <w:noProof/>
          <w:lang w:val="fr-FR"/>
        </w:rPr>
        <w:t>à bord des bateaux-citernes</w:t>
      </w:r>
      <w:r>
        <w:rPr>
          <w:noProof/>
          <w:lang w:val="fr-FR"/>
        </w:rPr>
        <w:tab/>
      </w:r>
      <w:r>
        <w:rPr>
          <w:noProof/>
          <w:lang w:val="fr-FR"/>
        </w:rPr>
        <w:tab/>
      </w:r>
      <w:r w:rsidR="002B72EF">
        <w:rPr>
          <w:noProof/>
          <w:lang w:val="fr-FR"/>
        </w:rPr>
        <w:t>70-72</w:t>
      </w:r>
      <w:r>
        <w:rPr>
          <w:noProof/>
          <w:lang w:val="fr-FR"/>
        </w:rPr>
        <w:tab/>
      </w:r>
      <w:r w:rsidR="00D63CEC">
        <w:rPr>
          <w:noProof/>
          <w:lang w:val="fr-FR"/>
        </w:rPr>
        <w:t>14</w:t>
      </w:r>
    </w:p>
    <w:p w14:paraId="5F0D5B69" w14:textId="3F0D8845" w:rsidR="00A64C3B" w:rsidRDefault="00A64C3B" w:rsidP="00A64C3B">
      <w:pPr>
        <w:tabs>
          <w:tab w:val="right" w:pos="850"/>
          <w:tab w:val="left" w:pos="1134"/>
          <w:tab w:val="left" w:pos="1560"/>
          <w:tab w:val="left" w:leader="dot" w:pos="7654"/>
          <w:tab w:val="right" w:pos="8929"/>
          <w:tab w:val="right" w:pos="9638"/>
        </w:tabs>
        <w:spacing w:after="120" w:line="220" w:lineRule="atLeast"/>
        <w:ind w:left="1560" w:hanging="1560"/>
        <w:rPr>
          <w:noProof/>
          <w:lang w:val="fr-FR"/>
        </w:rPr>
      </w:pPr>
      <w:r>
        <w:rPr>
          <w:noProof/>
          <w:lang w:val="fr-FR"/>
        </w:rPr>
        <w:tab/>
      </w:r>
      <w:r>
        <w:rPr>
          <w:noProof/>
          <w:lang w:val="fr-FR"/>
        </w:rPr>
        <w:tab/>
        <w:t>C.</w:t>
      </w:r>
      <w:r>
        <w:rPr>
          <w:noProof/>
          <w:lang w:val="fr-FR"/>
        </w:rPr>
        <w:tab/>
      </w:r>
      <w:r w:rsidRPr="00A64C3B">
        <w:rPr>
          <w:noProof/>
          <w:lang w:val="fr-FR"/>
        </w:rPr>
        <w:t>Groupe de travail informel des Sociétés de classification recommandées ADN</w:t>
      </w:r>
      <w:r>
        <w:rPr>
          <w:noProof/>
          <w:lang w:val="fr-FR"/>
        </w:rPr>
        <w:tab/>
      </w:r>
      <w:r w:rsidR="002B72EF">
        <w:rPr>
          <w:noProof/>
          <w:lang w:val="fr-FR"/>
        </w:rPr>
        <w:t>73-75</w:t>
      </w:r>
      <w:r>
        <w:rPr>
          <w:noProof/>
          <w:lang w:val="fr-FR"/>
        </w:rPr>
        <w:tab/>
      </w:r>
      <w:r w:rsidR="00D63CEC">
        <w:rPr>
          <w:noProof/>
          <w:lang w:val="fr-FR"/>
        </w:rPr>
        <w:t>15</w:t>
      </w:r>
    </w:p>
    <w:p w14:paraId="1E78A835" w14:textId="111ECCF8" w:rsidR="00A64C3B" w:rsidRDefault="00A64C3B" w:rsidP="00A64C3B">
      <w:pPr>
        <w:tabs>
          <w:tab w:val="right" w:pos="850"/>
          <w:tab w:val="left" w:pos="1134"/>
          <w:tab w:val="left" w:pos="1560"/>
          <w:tab w:val="left" w:leader="dot" w:pos="7654"/>
          <w:tab w:val="right" w:pos="8929"/>
          <w:tab w:val="right" w:pos="9638"/>
        </w:tabs>
        <w:spacing w:after="120" w:line="220" w:lineRule="atLeast"/>
        <w:ind w:left="1560" w:hanging="1560"/>
        <w:rPr>
          <w:noProof/>
          <w:lang w:val="fr-FR"/>
        </w:rPr>
      </w:pPr>
      <w:r>
        <w:rPr>
          <w:noProof/>
          <w:lang w:val="fr-FR"/>
        </w:rPr>
        <w:tab/>
        <w:t>VIII.</w:t>
      </w:r>
      <w:r>
        <w:rPr>
          <w:noProof/>
          <w:lang w:val="fr-FR"/>
        </w:rPr>
        <w:tab/>
      </w:r>
      <w:r w:rsidRPr="00A64C3B">
        <w:rPr>
          <w:noProof/>
          <w:lang w:val="fr-FR"/>
        </w:rPr>
        <w:t>Programme de travail et calendrier des réunions (point 7 de l'ordre de jour)</w:t>
      </w:r>
      <w:r>
        <w:rPr>
          <w:noProof/>
          <w:lang w:val="fr-FR"/>
        </w:rPr>
        <w:tab/>
      </w:r>
      <w:r>
        <w:rPr>
          <w:noProof/>
          <w:lang w:val="fr-FR"/>
        </w:rPr>
        <w:tab/>
      </w:r>
      <w:r w:rsidR="002B72EF">
        <w:rPr>
          <w:noProof/>
          <w:lang w:val="fr-FR"/>
        </w:rPr>
        <w:t>76</w:t>
      </w:r>
      <w:r>
        <w:rPr>
          <w:noProof/>
          <w:lang w:val="fr-FR"/>
        </w:rPr>
        <w:tab/>
      </w:r>
      <w:r w:rsidR="00D63CEC">
        <w:rPr>
          <w:noProof/>
          <w:lang w:val="fr-FR"/>
        </w:rPr>
        <w:t>15</w:t>
      </w:r>
    </w:p>
    <w:p w14:paraId="15D9C3A9" w14:textId="412C344A" w:rsidR="00A64C3B" w:rsidRDefault="00A64C3B" w:rsidP="00A64C3B">
      <w:pPr>
        <w:tabs>
          <w:tab w:val="right" w:pos="850"/>
          <w:tab w:val="left" w:pos="1134"/>
          <w:tab w:val="left" w:pos="1560"/>
          <w:tab w:val="left" w:leader="dot" w:pos="7654"/>
          <w:tab w:val="right" w:pos="8929"/>
          <w:tab w:val="right" w:pos="9638"/>
        </w:tabs>
        <w:spacing w:after="120" w:line="220" w:lineRule="atLeast"/>
        <w:ind w:left="1560" w:hanging="1560"/>
        <w:rPr>
          <w:noProof/>
          <w:lang w:val="fr-FR"/>
        </w:rPr>
      </w:pPr>
      <w:r>
        <w:rPr>
          <w:noProof/>
          <w:lang w:val="fr-FR"/>
        </w:rPr>
        <w:tab/>
        <w:t>IX.</w:t>
      </w:r>
      <w:r>
        <w:rPr>
          <w:noProof/>
          <w:lang w:val="fr-FR"/>
        </w:rPr>
        <w:tab/>
      </w:r>
      <w:r w:rsidRPr="00A64C3B">
        <w:rPr>
          <w:noProof/>
          <w:lang w:val="fr-FR"/>
        </w:rPr>
        <w:t>Questions diverses (point 8 de l'ordre du jour)</w:t>
      </w:r>
      <w:r>
        <w:rPr>
          <w:noProof/>
          <w:lang w:val="fr-FR"/>
        </w:rPr>
        <w:tab/>
      </w:r>
      <w:r>
        <w:rPr>
          <w:noProof/>
          <w:lang w:val="fr-FR"/>
        </w:rPr>
        <w:tab/>
      </w:r>
      <w:r w:rsidR="002B72EF">
        <w:rPr>
          <w:noProof/>
          <w:lang w:val="fr-FR"/>
        </w:rPr>
        <w:t>77</w:t>
      </w:r>
      <w:r>
        <w:rPr>
          <w:noProof/>
          <w:lang w:val="fr-FR"/>
        </w:rPr>
        <w:tab/>
      </w:r>
      <w:r w:rsidR="00D63CEC">
        <w:rPr>
          <w:noProof/>
          <w:lang w:val="fr-FR"/>
        </w:rPr>
        <w:t>15</w:t>
      </w:r>
    </w:p>
    <w:p w14:paraId="5E33EC08" w14:textId="24530486" w:rsidR="00A64C3B" w:rsidRDefault="00A64C3B" w:rsidP="00A64C3B">
      <w:pPr>
        <w:tabs>
          <w:tab w:val="right" w:pos="850"/>
          <w:tab w:val="left" w:pos="1134"/>
          <w:tab w:val="left" w:pos="1560"/>
          <w:tab w:val="left" w:leader="dot" w:pos="7654"/>
          <w:tab w:val="right" w:pos="8929"/>
          <w:tab w:val="right" w:pos="9638"/>
        </w:tabs>
        <w:spacing w:after="120" w:line="220" w:lineRule="atLeast"/>
        <w:ind w:left="1560" w:hanging="1560"/>
        <w:rPr>
          <w:noProof/>
          <w:lang w:val="fr-FR"/>
        </w:rPr>
      </w:pPr>
      <w:r>
        <w:rPr>
          <w:noProof/>
          <w:lang w:val="fr-FR"/>
        </w:rPr>
        <w:tab/>
        <w:t>X.</w:t>
      </w:r>
      <w:r>
        <w:rPr>
          <w:noProof/>
          <w:lang w:val="fr-FR"/>
        </w:rPr>
        <w:tab/>
      </w:r>
      <w:r w:rsidRPr="00A64C3B">
        <w:rPr>
          <w:noProof/>
          <w:lang w:val="fr-FR"/>
        </w:rPr>
        <w:t>Adoption du rapport</w:t>
      </w:r>
      <w:r>
        <w:rPr>
          <w:noProof/>
          <w:lang w:val="fr-FR"/>
        </w:rPr>
        <w:tab/>
      </w:r>
      <w:r>
        <w:rPr>
          <w:noProof/>
          <w:lang w:val="fr-FR"/>
        </w:rPr>
        <w:tab/>
      </w:r>
      <w:r w:rsidR="002B72EF">
        <w:rPr>
          <w:noProof/>
          <w:lang w:val="fr-FR"/>
        </w:rPr>
        <w:t>78</w:t>
      </w:r>
      <w:r>
        <w:rPr>
          <w:noProof/>
          <w:lang w:val="fr-FR"/>
        </w:rPr>
        <w:tab/>
      </w:r>
      <w:r w:rsidR="00D63CEC">
        <w:rPr>
          <w:noProof/>
          <w:lang w:val="fr-FR"/>
        </w:rPr>
        <w:t>15</w:t>
      </w:r>
    </w:p>
    <w:p w14:paraId="08F2CD3F" w14:textId="77777777" w:rsidR="00B84024" w:rsidRPr="008D4F13" w:rsidRDefault="00B84024" w:rsidP="00B84024">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fr-CH"/>
        </w:rPr>
      </w:pPr>
      <w:r w:rsidRPr="008D4F13">
        <w:rPr>
          <w:lang w:val="fr-CH"/>
        </w:rPr>
        <w:t>Annexes</w:t>
      </w:r>
    </w:p>
    <w:p w14:paraId="65B8914C" w14:textId="0F2C91E1" w:rsidR="00B84024" w:rsidRPr="002B72EF" w:rsidRDefault="00B84024" w:rsidP="00B84024">
      <w:pPr>
        <w:tabs>
          <w:tab w:val="right" w:pos="850"/>
          <w:tab w:val="left" w:pos="1134"/>
          <w:tab w:val="left" w:pos="1559"/>
          <w:tab w:val="left" w:pos="1984"/>
          <w:tab w:val="left" w:leader="dot" w:pos="8900"/>
          <w:tab w:val="right" w:pos="9638"/>
        </w:tabs>
        <w:spacing w:after="120"/>
        <w:ind w:left="1134" w:hanging="1134"/>
        <w:rPr>
          <w:lang w:val="fr-CH"/>
        </w:rPr>
      </w:pPr>
      <w:r w:rsidRPr="008D4F13">
        <w:rPr>
          <w:lang w:val="fr-CH"/>
        </w:rPr>
        <w:tab/>
      </w:r>
      <w:r w:rsidRPr="002B72EF">
        <w:rPr>
          <w:lang w:val="fr-CH"/>
        </w:rPr>
        <w:t>I.</w:t>
      </w:r>
      <w:r w:rsidRPr="002B72EF">
        <w:rPr>
          <w:lang w:val="fr-CH"/>
        </w:rPr>
        <w:tab/>
      </w:r>
      <w:r w:rsidR="002B72EF" w:rsidRPr="002B72EF">
        <w:rPr>
          <w:lang w:val="fr-CH"/>
        </w:rPr>
        <w:t>Corrections au Règlement annexé à l'ADN</w:t>
      </w:r>
      <w:r w:rsidRPr="002B72EF">
        <w:rPr>
          <w:lang w:val="fr-CH"/>
        </w:rPr>
        <w:tab/>
      </w:r>
      <w:r w:rsidRPr="002B72EF">
        <w:rPr>
          <w:lang w:val="fr-CH"/>
        </w:rPr>
        <w:tab/>
        <w:t>16</w:t>
      </w:r>
    </w:p>
    <w:p w14:paraId="74AAFF47" w14:textId="17C8B2EE" w:rsidR="00B84024" w:rsidRPr="002B72EF" w:rsidRDefault="00B84024" w:rsidP="00B84024">
      <w:pPr>
        <w:tabs>
          <w:tab w:val="right" w:pos="850"/>
          <w:tab w:val="left" w:pos="1134"/>
          <w:tab w:val="left" w:pos="1559"/>
          <w:tab w:val="left" w:pos="1984"/>
          <w:tab w:val="left" w:leader="dot" w:pos="8900"/>
          <w:tab w:val="right" w:pos="9638"/>
        </w:tabs>
        <w:spacing w:after="120"/>
        <w:ind w:left="1134" w:hanging="1134"/>
        <w:rPr>
          <w:lang w:val="fr-CH"/>
        </w:rPr>
      </w:pPr>
      <w:r w:rsidRPr="002B72EF">
        <w:rPr>
          <w:lang w:val="fr-CH"/>
        </w:rPr>
        <w:tab/>
        <w:t>II.</w:t>
      </w:r>
      <w:r w:rsidRPr="002B72EF">
        <w:rPr>
          <w:lang w:val="fr-CH"/>
        </w:rPr>
        <w:tab/>
      </w:r>
      <w:r w:rsidR="002B72EF" w:rsidRPr="002B72EF">
        <w:rPr>
          <w:lang w:val="fr-CH"/>
        </w:rPr>
        <w:t xml:space="preserve">Projet d’amendements au Règlement annexé à l’ADN pour entrée en vigueur </w:t>
      </w:r>
      <w:r w:rsidR="002B72EF">
        <w:rPr>
          <w:lang w:val="fr-CH"/>
        </w:rPr>
        <w:br/>
      </w:r>
      <w:r w:rsidR="002B72EF" w:rsidRPr="002B72EF">
        <w:rPr>
          <w:lang w:val="fr-CH"/>
        </w:rPr>
        <w:t>le 1er janvier 2019</w:t>
      </w:r>
      <w:r w:rsidRPr="002B72EF">
        <w:rPr>
          <w:lang w:val="fr-CH"/>
        </w:rPr>
        <w:tab/>
      </w:r>
      <w:r w:rsidRPr="002B72EF">
        <w:rPr>
          <w:lang w:val="fr-CH"/>
        </w:rPr>
        <w:tab/>
        <w:t>18</w:t>
      </w:r>
    </w:p>
    <w:p w14:paraId="5A55C037" w14:textId="77777777" w:rsidR="0075471E" w:rsidRDefault="00602D50" w:rsidP="00602D50">
      <w:pPr>
        <w:pStyle w:val="HChG"/>
        <w:ind w:hanging="283"/>
        <w:rPr>
          <w:lang w:val="fr-FR"/>
        </w:rPr>
      </w:pPr>
      <w:r w:rsidRPr="002B72EF">
        <w:rPr>
          <w:lang w:val="fr-CH"/>
        </w:rPr>
        <w:br w:type="page"/>
      </w:r>
      <w:r>
        <w:rPr>
          <w:lang w:val="fr-CH"/>
        </w:rPr>
        <w:lastRenderedPageBreak/>
        <w:t>I.</w:t>
      </w:r>
      <w:r>
        <w:rPr>
          <w:lang w:val="fr-CH"/>
        </w:rPr>
        <w:tab/>
      </w:r>
      <w:r w:rsidR="0075471E" w:rsidRPr="00C7790C">
        <w:rPr>
          <w:lang w:val="fr-FR"/>
        </w:rPr>
        <w:t>Participation</w:t>
      </w:r>
    </w:p>
    <w:p w14:paraId="26BBDC2B" w14:textId="09E7DB15" w:rsidR="00FB5453" w:rsidRDefault="00D15C92" w:rsidP="00FB5453">
      <w:pPr>
        <w:pStyle w:val="SingleTxtG"/>
        <w:rPr>
          <w:lang w:val="fr-CH"/>
        </w:rPr>
      </w:pPr>
      <w:r w:rsidRPr="00AA47CD">
        <w:rPr>
          <w:lang w:val="fr-CH"/>
        </w:rPr>
        <w:t>1.</w:t>
      </w:r>
      <w:r w:rsidRPr="00AA47CD">
        <w:rPr>
          <w:lang w:val="fr-CH"/>
        </w:rPr>
        <w:tab/>
        <w:t xml:space="preserve">La Réunion commune d’experts sur le Règlement annexé à l’Accord européen relatif au transport international des marchandises dangereuses par voies de navigation intérieures (ADN) (Comité de sécurité de l’ADN) a tenu sa </w:t>
      </w:r>
      <w:r w:rsidR="00F03CF2">
        <w:rPr>
          <w:lang w:val="fr-CH"/>
        </w:rPr>
        <w:t>trentième</w:t>
      </w:r>
      <w:r w:rsidRPr="00AA47CD">
        <w:rPr>
          <w:lang w:val="fr-CH"/>
        </w:rPr>
        <w:t xml:space="preserve"> session à Genève du 2</w:t>
      </w:r>
      <w:r w:rsidR="00F03CF2">
        <w:rPr>
          <w:lang w:val="fr-CH"/>
        </w:rPr>
        <w:t>3</w:t>
      </w:r>
      <w:r w:rsidRPr="00AA47CD">
        <w:rPr>
          <w:lang w:val="fr-CH"/>
        </w:rPr>
        <w:t xml:space="preserve"> au </w:t>
      </w:r>
      <w:r w:rsidR="00F03CF2">
        <w:rPr>
          <w:lang w:val="fr-CH"/>
        </w:rPr>
        <w:t>27</w:t>
      </w:r>
      <w:r w:rsidR="00D21084">
        <w:rPr>
          <w:lang w:val="fr-CH"/>
        </w:rPr>
        <w:t xml:space="preserve"> janvier</w:t>
      </w:r>
      <w:r w:rsidR="00E93BF3">
        <w:rPr>
          <w:lang w:val="fr-CH"/>
        </w:rPr>
        <w:t xml:space="preserve"> 201</w:t>
      </w:r>
      <w:r w:rsidR="00F03CF2">
        <w:rPr>
          <w:lang w:val="fr-CH"/>
        </w:rPr>
        <w:t>7</w:t>
      </w:r>
      <w:r w:rsidRPr="00AA47CD">
        <w:rPr>
          <w:lang w:val="fr-CH"/>
        </w:rPr>
        <w:t xml:space="preserve">. Des représentants des pays suivants ont pris part aux travaux de cette session: Allemagne, Autriche, </w:t>
      </w:r>
      <w:r w:rsidR="00781790">
        <w:rPr>
          <w:lang w:val="fr-CH"/>
        </w:rPr>
        <w:t>Belgique</w:t>
      </w:r>
      <w:r w:rsidRPr="00AA47CD">
        <w:rPr>
          <w:lang w:val="fr-CH"/>
        </w:rPr>
        <w:t xml:space="preserve">, </w:t>
      </w:r>
      <w:r w:rsidR="00285D26" w:rsidRPr="00AA47CD">
        <w:rPr>
          <w:lang w:val="fr-CH"/>
        </w:rPr>
        <w:t>Bulgarie,</w:t>
      </w:r>
      <w:r w:rsidR="00F207BA" w:rsidRPr="00AA47CD">
        <w:rPr>
          <w:lang w:val="fr-CH"/>
        </w:rPr>
        <w:t xml:space="preserve"> </w:t>
      </w:r>
      <w:r w:rsidRPr="00AA47CD">
        <w:rPr>
          <w:lang w:val="fr-CH"/>
        </w:rPr>
        <w:t xml:space="preserve">Croatie, France, </w:t>
      </w:r>
      <w:r w:rsidR="004B1000">
        <w:rPr>
          <w:lang w:val="fr-CH"/>
        </w:rPr>
        <w:t xml:space="preserve">Luxembourg, </w:t>
      </w:r>
      <w:r w:rsidRPr="00AA47CD">
        <w:rPr>
          <w:lang w:val="fr-CH"/>
        </w:rPr>
        <w:t>Pays-Bas,</w:t>
      </w:r>
      <w:r w:rsidR="00285D26" w:rsidRPr="00AA47CD">
        <w:rPr>
          <w:lang w:val="fr-CH"/>
        </w:rPr>
        <w:t xml:space="preserve"> </w:t>
      </w:r>
      <w:r w:rsidRPr="00AA47CD">
        <w:rPr>
          <w:lang w:val="fr-CH"/>
        </w:rPr>
        <w:t xml:space="preserve">Roumanie, </w:t>
      </w:r>
      <w:r w:rsidR="008F2ECC" w:rsidRPr="008F2ECC">
        <w:rPr>
          <w:lang w:val="fr-CH"/>
        </w:rPr>
        <w:t>Slovaquie</w:t>
      </w:r>
      <w:r w:rsidR="00285D26" w:rsidRPr="00AA47CD">
        <w:rPr>
          <w:lang w:val="fr-CH"/>
        </w:rPr>
        <w:t xml:space="preserve">, </w:t>
      </w:r>
      <w:r w:rsidRPr="00AA47CD">
        <w:rPr>
          <w:lang w:val="fr-CH"/>
        </w:rPr>
        <w:t>Suisse, et Ukraine. Étaient représentées les organisations intergouvernementales suivantes: la Commission centrale po</w:t>
      </w:r>
      <w:r w:rsidR="00FB5453">
        <w:rPr>
          <w:lang w:val="fr-CH"/>
        </w:rPr>
        <w:t xml:space="preserve">ur la navigation du Rhin (CCNR), </w:t>
      </w:r>
      <w:r w:rsidRPr="00AA47CD">
        <w:rPr>
          <w:lang w:val="fr-CH"/>
        </w:rPr>
        <w:t>la Commission du Danube (CD)</w:t>
      </w:r>
      <w:r w:rsidR="00FB5453">
        <w:rPr>
          <w:lang w:val="fr-CH"/>
        </w:rPr>
        <w:t xml:space="preserve"> </w:t>
      </w:r>
      <w:r w:rsidR="00FB5453" w:rsidRPr="00572350">
        <w:rPr>
          <w:lang w:val="fr-CH"/>
        </w:rPr>
        <w:t xml:space="preserve">et l’Union </w:t>
      </w:r>
      <w:r w:rsidR="00572350">
        <w:rPr>
          <w:lang w:val="fr-CH"/>
        </w:rPr>
        <w:t>e</w:t>
      </w:r>
      <w:r w:rsidR="00FB5453" w:rsidRPr="00572350">
        <w:rPr>
          <w:lang w:val="fr-CH"/>
        </w:rPr>
        <w:t>uropéenne</w:t>
      </w:r>
      <w:r w:rsidRPr="00AA47CD">
        <w:rPr>
          <w:lang w:val="fr-CH"/>
        </w:rPr>
        <w:t>. Les organisations non gouvernementales suivantes étaient également représentées:</w:t>
      </w:r>
      <w:r w:rsidRPr="00C7790C">
        <w:rPr>
          <w:lang w:val="fr-FR"/>
        </w:rPr>
        <w:t xml:space="preserve"> </w:t>
      </w:r>
      <w:r w:rsidR="00FB5453">
        <w:rPr>
          <w:lang w:val="fr-FR"/>
        </w:rPr>
        <w:t xml:space="preserve">le </w:t>
      </w:r>
      <w:r w:rsidR="00FB5453" w:rsidRPr="00781790">
        <w:rPr>
          <w:bCs/>
          <w:lang w:val="fr-CH"/>
        </w:rPr>
        <w:t>Comité</w:t>
      </w:r>
      <w:r w:rsidR="00FB5453" w:rsidRPr="00781790">
        <w:rPr>
          <w:lang w:val="fr-CH"/>
        </w:rPr>
        <w:t xml:space="preserve"> International de </w:t>
      </w:r>
      <w:r w:rsidR="00FB5453" w:rsidRPr="00781790">
        <w:rPr>
          <w:bCs/>
          <w:lang w:val="fr-CH"/>
        </w:rPr>
        <w:t>Prévention des Accidents du Travail</w:t>
      </w:r>
      <w:r w:rsidR="00FB5453" w:rsidRPr="00781790">
        <w:rPr>
          <w:lang w:val="fr-CH"/>
        </w:rPr>
        <w:t xml:space="preserve"> de la Navigation Intérieure (</w:t>
      </w:r>
      <w:r w:rsidR="00FB5453" w:rsidRPr="00781790">
        <w:rPr>
          <w:bCs/>
          <w:lang w:val="fr-CH"/>
        </w:rPr>
        <w:t>CIPA</w:t>
      </w:r>
      <w:r w:rsidR="00FB5453" w:rsidRPr="00781790">
        <w:rPr>
          <w:lang w:val="fr-CH"/>
        </w:rPr>
        <w:t xml:space="preserve">), </w:t>
      </w:r>
      <w:r w:rsidR="00FB5453" w:rsidRPr="00AA47CD">
        <w:rPr>
          <w:lang w:val="fr-CH"/>
        </w:rPr>
        <w:t>le Conseil européen d</w:t>
      </w:r>
      <w:r w:rsidR="00FB5453">
        <w:rPr>
          <w:lang w:val="fr-CH"/>
        </w:rPr>
        <w:t>e l’industrie chimique (CEFIC),</w:t>
      </w:r>
      <w:r w:rsidR="00FB5453" w:rsidRPr="00AA47CD">
        <w:rPr>
          <w:lang w:val="fr-CH"/>
        </w:rPr>
        <w:t xml:space="preserve"> </w:t>
      </w:r>
      <w:r w:rsidR="004629BE">
        <w:rPr>
          <w:lang w:val="fr-CH"/>
        </w:rPr>
        <w:t>la</w:t>
      </w:r>
      <w:r w:rsidR="004629BE" w:rsidRPr="0084360A">
        <w:rPr>
          <w:lang w:val="fr-CH"/>
        </w:rPr>
        <w:t xml:space="preserve"> European Bulk Oil Traders' Association (</w:t>
      </w:r>
      <w:r w:rsidR="004629BE" w:rsidRPr="0084360A">
        <w:rPr>
          <w:bCs/>
          <w:lang w:val="fr-CH"/>
        </w:rPr>
        <w:t>EBOTA</w:t>
      </w:r>
      <w:r w:rsidR="004629BE" w:rsidRPr="0084360A">
        <w:rPr>
          <w:lang w:val="fr-CH"/>
        </w:rPr>
        <w:t>)</w:t>
      </w:r>
      <w:r w:rsidR="004629BE">
        <w:rPr>
          <w:lang w:val="fr-CH"/>
        </w:rPr>
        <w:t xml:space="preserve">, </w:t>
      </w:r>
      <w:r w:rsidR="00FB5453" w:rsidRPr="00F26C35">
        <w:rPr>
          <w:lang w:val="fr-CH"/>
        </w:rPr>
        <w:t xml:space="preserve">la European River-Sea-Transport Union (ERSTU), </w:t>
      </w:r>
      <w:r w:rsidR="00F77E67">
        <w:rPr>
          <w:lang w:val="fr-CH"/>
        </w:rPr>
        <w:t>l'Association européenne du charbon et du lignite (</w:t>
      </w:r>
      <w:r w:rsidR="00C112DB">
        <w:rPr>
          <w:lang w:val="fr-CH"/>
        </w:rPr>
        <w:t>EURACOAL</w:t>
      </w:r>
      <w:r w:rsidR="00F77E67">
        <w:rPr>
          <w:lang w:val="fr-CH"/>
        </w:rPr>
        <w:t>)</w:t>
      </w:r>
      <w:r w:rsidR="00FB5453">
        <w:rPr>
          <w:lang w:val="fr-CH"/>
        </w:rPr>
        <w:t xml:space="preserve">, </w:t>
      </w:r>
      <w:r w:rsidR="004629BE">
        <w:rPr>
          <w:lang w:val="fr-CH"/>
        </w:rPr>
        <w:t xml:space="preserve">la </w:t>
      </w:r>
      <w:r w:rsidR="004629BE" w:rsidRPr="004629BE">
        <w:rPr>
          <w:lang w:val="fr-CH"/>
        </w:rPr>
        <w:t xml:space="preserve">Federation of European Tank Storage </w:t>
      </w:r>
      <w:r w:rsidR="00B84024">
        <w:rPr>
          <w:lang w:val="fr-CH"/>
        </w:rPr>
        <w:t>A</w:t>
      </w:r>
      <w:r w:rsidR="00B84024" w:rsidRPr="004629BE">
        <w:rPr>
          <w:lang w:val="fr-CH"/>
        </w:rPr>
        <w:t>ssociations</w:t>
      </w:r>
      <w:r w:rsidR="00B84024">
        <w:rPr>
          <w:lang w:val="fr-CH"/>
        </w:rPr>
        <w:t xml:space="preserve"> </w:t>
      </w:r>
      <w:r w:rsidR="004629BE">
        <w:rPr>
          <w:lang w:val="fr-CH"/>
        </w:rPr>
        <w:t xml:space="preserve">(FETSA), FuelsEurope, </w:t>
      </w:r>
      <w:r w:rsidR="00283944">
        <w:rPr>
          <w:lang w:val="fr-CH"/>
        </w:rPr>
        <w:t>l</w:t>
      </w:r>
      <w:r w:rsidR="00FC0D31">
        <w:rPr>
          <w:lang w:val="fr-CH"/>
        </w:rPr>
        <w:t xml:space="preserve">'Organisation </w:t>
      </w:r>
      <w:r w:rsidR="00283944">
        <w:rPr>
          <w:lang w:val="fr-CH"/>
        </w:rPr>
        <w:t>E</w:t>
      </w:r>
      <w:r w:rsidR="00FC0D31">
        <w:rPr>
          <w:lang w:val="fr-CH"/>
        </w:rPr>
        <w:t xml:space="preserve">uropéenne des </w:t>
      </w:r>
      <w:r w:rsidR="00283944">
        <w:rPr>
          <w:lang w:val="fr-CH"/>
        </w:rPr>
        <w:t>B</w:t>
      </w:r>
      <w:r w:rsidR="00FC0D31">
        <w:rPr>
          <w:lang w:val="fr-CH"/>
        </w:rPr>
        <w:t xml:space="preserve">ateliers (OEB), </w:t>
      </w:r>
      <w:r w:rsidR="00FB5453">
        <w:rPr>
          <w:lang w:val="fr-FR"/>
        </w:rPr>
        <w:t>les S</w:t>
      </w:r>
      <w:r w:rsidR="00FB5453" w:rsidRPr="001B75EF">
        <w:rPr>
          <w:lang w:val="fr-FR"/>
        </w:rPr>
        <w:t>ociétés de classification recommandées ADN</w:t>
      </w:r>
      <w:r w:rsidR="00FB5453">
        <w:rPr>
          <w:lang w:val="fr-FR"/>
        </w:rPr>
        <w:t xml:space="preserve"> et </w:t>
      </w:r>
      <w:r w:rsidR="00FB5453" w:rsidRPr="00F26C35">
        <w:rPr>
          <w:lang w:val="fr-CH"/>
        </w:rPr>
        <w:t>l'Union européenne de navigation fluviale (UENF)</w:t>
      </w:r>
      <w:r w:rsidR="00FB5453" w:rsidRPr="00AA47CD">
        <w:rPr>
          <w:lang w:val="fr-CH"/>
        </w:rPr>
        <w:t>.</w:t>
      </w:r>
    </w:p>
    <w:p w14:paraId="0FFA1D77" w14:textId="77777777" w:rsidR="00D15C92" w:rsidRPr="00C7790C" w:rsidRDefault="00D15C92" w:rsidP="00D15C92">
      <w:pPr>
        <w:pStyle w:val="HChG"/>
        <w:rPr>
          <w:lang w:val="fr-FR"/>
        </w:rPr>
      </w:pPr>
      <w:r w:rsidRPr="00C7790C">
        <w:rPr>
          <w:lang w:val="fr-FR"/>
        </w:rPr>
        <w:tab/>
        <w:t>II.</w:t>
      </w:r>
      <w:r w:rsidRPr="00C7790C">
        <w:rPr>
          <w:lang w:val="fr-FR"/>
        </w:rPr>
        <w:tab/>
        <w:t>Adoption de</w:t>
      </w:r>
      <w:r w:rsidRPr="00675D50">
        <w:rPr>
          <w:lang w:val="fr-BE"/>
        </w:rPr>
        <w:t xml:space="preserve"> l’ordre</w:t>
      </w:r>
      <w:r w:rsidRPr="00C7790C">
        <w:rPr>
          <w:lang w:val="fr-FR"/>
        </w:rPr>
        <w:t xml:space="preserve"> du jour (point 1 de</w:t>
      </w:r>
      <w:r w:rsidRPr="00675D50">
        <w:rPr>
          <w:lang w:val="fr-BE"/>
        </w:rPr>
        <w:t xml:space="preserve"> l’ordre</w:t>
      </w:r>
      <w:r w:rsidRPr="00C7790C">
        <w:rPr>
          <w:lang w:val="fr-FR"/>
        </w:rPr>
        <w:t xml:space="preserve"> du jour)</w:t>
      </w:r>
    </w:p>
    <w:p w14:paraId="0949086B" w14:textId="77777777" w:rsidR="00D15C92" w:rsidRPr="00C7790C" w:rsidRDefault="00D15C92" w:rsidP="00D15C92">
      <w:pPr>
        <w:pStyle w:val="SingleTxtG"/>
        <w:spacing w:after="0"/>
        <w:rPr>
          <w:lang w:val="fr-FR"/>
        </w:rPr>
      </w:pPr>
      <w:r w:rsidRPr="00C7790C">
        <w:rPr>
          <w:i/>
          <w:lang w:val="fr-FR"/>
        </w:rPr>
        <w:t>Documents</w:t>
      </w:r>
      <w:r w:rsidRPr="00C7790C">
        <w:rPr>
          <w:lang w:val="fr-FR"/>
        </w:rPr>
        <w:t>:</w:t>
      </w:r>
      <w:r w:rsidRPr="00C7790C">
        <w:rPr>
          <w:lang w:val="fr-FR"/>
        </w:rPr>
        <w:tab/>
      </w:r>
      <w:r w:rsidRPr="00C7790C">
        <w:rPr>
          <w:lang w:val="fr-FR"/>
        </w:rPr>
        <w:tab/>
        <w:t>ECE/TRANS/WP</w:t>
      </w:r>
      <w:r w:rsidR="006A500D">
        <w:rPr>
          <w:lang w:val="fr-FR"/>
        </w:rPr>
        <w:t>.15/AC.2/</w:t>
      </w:r>
      <w:r w:rsidR="004629BE">
        <w:rPr>
          <w:lang w:val="fr-FR"/>
        </w:rPr>
        <w:t>61</w:t>
      </w:r>
      <w:r w:rsidR="006A500D">
        <w:rPr>
          <w:lang w:val="fr-FR"/>
        </w:rPr>
        <w:t xml:space="preserve"> </w:t>
      </w:r>
      <w:r w:rsidRPr="00C7790C">
        <w:rPr>
          <w:lang w:val="fr-FR"/>
        </w:rPr>
        <w:t>et Add.1</w:t>
      </w:r>
    </w:p>
    <w:p w14:paraId="51D4AE76" w14:textId="77777777" w:rsidR="00D15C92" w:rsidRPr="00C7790C" w:rsidRDefault="00D15C92" w:rsidP="00D15C92">
      <w:pPr>
        <w:pStyle w:val="SingleTxtG"/>
        <w:rPr>
          <w:lang w:val="fr-FR"/>
        </w:rPr>
      </w:pPr>
      <w:r w:rsidRPr="00C7790C">
        <w:rPr>
          <w:i/>
          <w:lang w:val="fr-FR"/>
        </w:rPr>
        <w:t>Document informel</w:t>
      </w:r>
      <w:r w:rsidRPr="00C7790C">
        <w:rPr>
          <w:lang w:val="fr-FR"/>
        </w:rPr>
        <w:t>:</w:t>
      </w:r>
      <w:r w:rsidRPr="00C7790C">
        <w:rPr>
          <w:lang w:val="fr-FR"/>
        </w:rPr>
        <w:tab/>
        <w:t>INF.</w:t>
      </w:r>
      <w:r w:rsidR="00AA47CD">
        <w:rPr>
          <w:lang w:val="fr-FR"/>
        </w:rPr>
        <w:t>1</w:t>
      </w:r>
      <w:r w:rsidRPr="00C7790C">
        <w:rPr>
          <w:lang w:val="fr-FR"/>
        </w:rPr>
        <w:t xml:space="preserve"> (Secrétariat)</w:t>
      </w:r>
    </w:p>
    <w:p w14:paraId="6735CA8B" w14:textId="7CF0787E" w:rsidR="00D15C92" w:rsidRDefault="00781790" w:rsidP="00D15C92">
      <w:pPr>
        <w:pStyle w:val="SingleTxtG"/>
        <w:rPr>
          <w:lang w:val="fr-FR"/>
        </w:rPr>
      </w:pPr>
      <w:r>
        <w:rPr>
          <w:lang w:val="fr-FR"/>
        </w:rPr>
        <w:t>2</w:t>
      </w:r>
      <w:r w:rsidR="00D15C92" w:rsidRPr="00C7790C">
        <w:rPr>
          <w:lang w:val="fr-FR"/>
        </w:rPr>
        <w:t>.</w:t>
      </w:r>
      <w:r w:rsidR="00D15C92" w:rsidRPr="00C7790C">
        <w:rPr>
          <w:lang w:val="fr-FR"/>
        </w:rPr>
        <w:tab/>
        <w:t>Le Comité de sécurité a</w:t>
      </w:r>
      <w:r w:rsidR="00D15C92" w:rsidRPr="00675D50">
        <w:rPr>
          <w:lang w:val="fr-BE"/>
        </w:rPr>
        <w:t xml:space="preserve"> adopté l’ordre</w:t>
      </w:r>
      <w:r w:rsidR="00D15C92" w:rsidRPr="00C7790C">
        <w:rPr>
          <w:lang w:val="fr-FR"/>
        </w:rPr>
        <w:t xml:space="preserve"> du jour établi par le secr</w:t>
      </w:r>
      <w:r w:rsidR="00D15C92">
        <w:rPr>
          <w:lang w:val="fr-FR"/>
        </w:rPr>
        <w:t>é</w:t>
      </w:r>
      <w:r w:rsidR="00D15C92" w:rsidRPr="00C7790C">
        <w:rPr>
          <w:lang w:val="fr-FR"/>
        </w:rPr>
        <w:t>tariat, tel que modifié par le document informel INF.</w:t>
      </w:r>
      <w:r w:rsidR="00AA47CD">
        <w:rPr>
          <w:lang w:val="fr-FR"/>
        </w:rPr>
        <w:t>1</w:t>
      </w:r>
      <w:r w:rsidR="004629BE">
        <w:rPr>
          <w:lang w:val="fr-FR"/>
        </w:rPr>
        <w:t xml:space="preserve"> </w:t>
      </w:r>
      <w:r w:rsidR="00D15C92" w:rsidRPr="00C7790C">
        <w:rPr>
          <w:lang w:val="fr-FR"/>
        </w:rPr>
        <w:t>pour tenir comp</w:t>
      </w:r>
      <w:r w:rsidR="00D15C92">
        <w:rPr>
          <w:lang w:val="fr-FR"/>
        </w:rPr>
        <w:t>te des documents informels INF.1 à INF.</w:t>
      </w:r>
      <w:r w:rsidR="00176DF1" w:rsidRPr="00176DF1">
        <w:rPr>
          <w:lang w:val="fr-CH"/>
        </w:rPr>
        <w:t xml:space="preserve"> </w:t>
      </w:r>
      <w:r w:rsidR="00B84024">
        <w:rPr>
          <w:lang w:val="fr-CH"/>
        </w:rPr>
        <w:t>28</w:t>
      </w:r>
      <w:r w:rsidR="00B84024" w:rsidRPr="00C7790C">
        <w:rPr>
          <w:lang w:val="fr-FR"/>
        </w:rPr>
        <w:t>.</w:t>
      </w:r>
    </w:p>
    <w:p w14:paraId="15A822FF" w14:textId="77777777" w:rsidR="00D21084" w:rsidRDefault="00D21084" w:rsidP="00D21084">
      <w:pPr>
        <w:pStyle w:val="HChG"/>
        <w:rPr>
          <w:lang w:val="fr-FR"/>
        </w:rPr>
      </w:pPr>
      <w:r>
        <w:rPr>
          <w:lang w:val="fr-FR"/>
        </w:rPr>
        <w:tab/>
        <w:t xml:space="preserve">III. </w:t>
      </w:r>
      <w:r>
        <w:rPr>
          <w:lang w:val="fr-FR"/>
        </w:rPr>
        <w:tab/>
        <w:t>Élection du Bureau pour 201</w:t>
      </w:r>
      <w:r w:rsidR="004629BE">
        <w:rPr>
          <w:lang w:val="fr-FR"/>
        </w:rPr>
        <w:t>7</w:t>
      </w:r>
      <w:r>
        <w:rPr>
          <w:lang w:val="fr-FR"/>
        </w:rPr>
        <w:t xml:space="preserve"> </w:t>
      </w:r>
      <w:r w:rsidRPr="004C68D7">
        <w:rPr>
          <w:lang w:val="fr-FR"/>
        </w:rPr>
        <w:t>(point 2 de l'ordre du jour)</w:t>
      </w:r>
    </w:p>
    <w:p w14:paraId="6E5344B6" w14:textId="77777777" w:rsidR="00D21084" w:rsidRPr="004C68D7" w:rsidRDefault="00D21084" w:rsidP="00D21084">
      <w:pPr>
        <w:pStyle w:val="SingleTxtG"/>
        <w:rPr>
          <w:lang w:val="fr-FR"/>
        </w:rPr>
      </w:pPr>
      <w:r>
        <w:rPr>
          <w:lang w:val="fr-FR"/>
        </w:rPr>
        <w:t>3.</w:t>
      </w:r>
      <w:r>
        <w:rPr>
          <w:lang w:val="fr-FR"/>
        </w:rPr>
        <w:tab/>
        <w:t xml:space="preserve">Sur proposition du représentant </w:t>
      </w:r>
      <w:r w:rsidR="004629BE">
        <w:rPr>
          <w:lang w:val="fr-FR"/>
        </w:rPr>
        <w:t>du Luxembourg</w:t>
      </w:r>
      <w:r>
        <w:rPr>
          <w:lang w:val="fr-FR"/>
        </w:rPr>
        <w:t>, M. H. Rein (Allemagne) et M. B. Birklhüber (Autriche) ont été élus respectivement Président et Vice-Président pour 201</w:t>
      </w:r>
      <w:r w:rsidR="004629BE">
        <w:rPr>
          <w:lang w:val="fr-FR"/>
        </w:rPr>
        <w:t>7</w:t>
      </w:r>
      <w:r>
        <w:rPr>
          <w:lang w:val="fr-FR"/>
        </w:rPr>
        <w:t>.</w:t>
      </w:r>
    </w:p>
    <w:p w14:paraId="0B7FDD2D" w14:textId="77777777" w:rsidR="00D15C92" w:rsidRPr="00C7790C" w:rsidRDefault="004C68D7" w:rsidP="00D15C92">
      <w:pPr>
        <w:pStyle w:val="HChG"/>
        <w:rPr>
          <w:lang w:val="fr-FR"/>
        </w:rPr>
      </w:pPr>
      <w:r>
        <w:rPr>
          <w:lang w:val="fr-FR"/>
        </w:rPr>
        <w:tab/>
        <w:t>I</w:t>
      </w:r>
      <w:r w:rsidR="00D21084">
        <w:rPr>
          <w:lang w:val="fr-FR"/>
        </w:rPr>
        <w:t>V</w:t>
      </w:r>
      <w:r w:rsidR="00D15C92" w:rsidRPr="00C7790C">
        <w:rPr>
          <w:lang w:val="fr-FR"/>
        </w:rPr>
        <w:t>.</w:t>
      </w:r>
      <w:r w:rsidR="00D15C92" w:rsidRPr="00C7790C">
        <w:rPr>
          <w:lang w:val="fr-FR"/>
        </w:rPr>
        <w:tab/>
      </w:r>
      <w:r w:rsidR="00127049">
        <w:rPr>
          <w:lang w:val="fr-FR"/>
        </w:rPr>
        <w:t>Question</w:t>
      </w:r>
      <w:r w:rsidR="00AC00F1">
        <w:rPr>
          <w:lang w:val="fr-FR"/>
        </w:rPr>
        <w:t>s</w:t>
      </w:r>
      <w:r w:rsidR="00127049">
        <w:rPr>
          <w:lang w:val="fr-FR"/>
        </w:rPr>
        <w:t xml:space="preserve"> découlant des travaux d'organes des Nations Unies et d'autres organisations (point </w:t>
      </w:r>
      <w:r w:rsidR="00D21084">
        <w:rPr>
          <w:lang w:val="fr-FR"/>
        </w:rPr>
        <w:t>3</w:t>
      </w:r>
      <w:r w:rsidR="00127049">
        <w:rPr>
          <w:lang w:val="fr-FR"/>
        </w:rPr>
        <w:t xml:space="preserve"> de l'ordre du jour)</w:t>
      </w:r>
      <w:r w:rsidR="00D15C92" w:rsidRPr="00C7790C">
        <w:rPr>
          <w:lang w:val="fr-FR"/>
        </w:rPr>
        <w:t xml:space="preserve"> </w:t>
      </w:r>
    </w:p>
    <w:p w14:paraId="4354BFEB" w14:textId="77777777" w:rsidR="002D345D" w:rsidRDefault="006B06A7" w:rsidP="004C68D7">
      <w:pPr>
        <w:pStyle w:val="SingleTxtG"/>
        <w:rPr>
          <w:lang w:val="fr-FR"/>
        </w:rPr>
      </w:pPr>
      <w:r>
        <w:rPr>
          <w:lang w:val="fr-FR"/>
        </w:rPr>
        <w:t>4</w:t>
      </w:r>
      <w:r w:rsidR="004C68D7" w:rsidRPr="004C68D7">
        <w:rPr>
          <w:lang w:val="fr-FR"/>
        </w:rPr>
        <w:t>.</w:t>
      </w:r>
      <w:r w:rsidR="004C68D7" w:rsidRPr="004C68D7">
        <w:rPr>
          <w:lang w:val="fr-FR"/>
        </w:rPr>
        <w:tab/>
      </w:r>
      <w:r w:rsidR="004629BE">
        <w:rPr>
          <w:lang w:val="fr-FR"/>
        </w:rPr>
        <w:t xml:space="preserve">La directrice de la Division des transports durables de la CEE-ONU, Mme Eva Molnar, a informé le Comité de sécurité du programme de la soixante dix-neuvième session du Comité des transports intérieurs et des évènements prévus pour célébrer son soixante-dixième anniversaire du 20 au 24 février 2017. Cette session revêtait </w:t>
      </w:r>
      <w:r w:rsidR="003B027B">
        <w:rPr>
          <w:lang w:val="fr-FR"/>
        </w:rPr>
        <w:t>une importance particulière puisqu'elle comportera un segment ministériel et que s'y discutera la stratégie du Comité pour les années à venir. Les évènements parallèles comporteraient également une Conférence internationale de haut niveau sur le transport par voies navigables (le 22 février au matin).</w:t>
      </w:r>
    </w:p>
    <w:p w14:paraId="25537988" w14:textId="77777777" w:rsidR="003B027B" w:rsidRPr="004C68D7" w:rsidRDefault="003B027B" w:rsidP="004C68D7">
      <w:pPr>
        <w:pStyle w:val="SingleTxtG"/>
        <w:rPr>
          <w:lang w:val="fr-CH"/>
        </w:rPr>
      </w:pPr>
      <w:r>
        <w:rPr>
          <w:lang w:val="fr-FR"/>
        </w:rPr>
        <w:t>5.</w:t>
      </w:r>
      <w:r>
        <w:rPr>
          <w:lang w:val="fr-FR"/>
        </w:rPr>
        <w:tab/>
        <w:t xml:space="preserve">La secrétaire du Groupe de travail des transports par voies navigables (SC.3) et du Groupe de travail de l'unifications des prescriptions techniques et de sécurité en navigation intérieure (SC.3/WP.3) a informé le Comité de sécurité des derniers développements concernant ces groupes, notamment de la mise à jour de leurs mandats et des travaux sur l'harmonisation des prescriptions techniques contenues dans la Résolution No. 61 avec celles de la norme européenne ES-TRIN. Le Comité de sécurité a noté en particulier un </w:t>
      </w:r>
      <w:r>
        <w:rPr>
          <w:lang w:val="fr-FR"/>
        </w:rPr>
        <w:lastRenderedPageBreak/>
        <w:t xml:space="preserve">projet du chapitre X, inspiré du chapitre 30 </w:t>
      </w:r>
      <w:r w:rsidR="00B84024">
        <w:rPr>
          <w:lang w:val="fr-FR"/>
        </w:rPr>
        <w:t xml:space="preserve">et de l'annexe 8 </w:t>
      </w:r>
      <w:r>
        <w:rPr>
          <w:lang w:val="fr-FR"/>
        </w:rPr>
        <w:t>de la norme ES-TRIN (document ECE/TRANS/SC.3/WP.3/2017/8) relatif aux dispositions particulières pour les bateaux munis de systèmes de propulsion ou de systèmes auxiliaires utilisant des combustibles dont le point éclair est égal ou inférieur à 55°C, élaboré en réponse à la demande du Comité de sécurité de disposer de ces textes dans ses langues de travail (ECE/TRANS/WP.15/AC.2/60, paragraphe 51).</w:t>
      </w:r>
    </w:p>
    <w:p w14:paraId="0E6A241C" w14:textId="77777777" w:rsidR="007D0DAA" w:rsidRPr="00C7790C" w:rsidRDefault="007D0DAA" w:rsidP="007D0DAA">
      <w:pPr>
        <w:pStyle w:val="HChG"/>
        <w:rPr>
          <w:lang w:val="fr-FR"/>
        </w:rPr>
      </w:pPr>
      <w:r>
        <w:rPr>
          <w:lang w:val="fr-FR"/>
        </w:rPr>
        <w:tab/>
      </w:r>
      <w:r w:rsidRPr="00C7790C">
        <w:rPr>
          <w:lang w:val="fr-FR"/>
        </w:rPr>
        <w:t>V.</w:t>
      </w:r>
      <w:r>
        <w:rPr>
          <w:lang w:val="fr-FR"/>
        </w:rPr>
        <w:tab/>
      </w:r>
      <w:r w:rsidR="00127049">
        <w:rPr>
          <w:lang w:val="fr-FR"/>
        </w:rPr>
        <w:t>Mise en œuvre de l'Accord européen relatif au transport international des marchandises dangereuses par voies de navigation intérieures (ADN)</w:t>
      </w:r>
      <w:r w:rsidRPr="00C7790C">
        <w:rPr>
          <w:lang w:val="fr-FR"/>
        </w:rPr>
        <w:t xml:space="preserve"> </w:t>
      </w:r>
      <w:r w:rsidR="00A02421">
        <w:rPr>
          <w:lang w:val="fr-FR"/>
        </w:rPr>
        <w:t xml:space="preserve">(point </w:t>
      </w:r>
      <w:r w:rsidR="006B06A7">
        <w:rPr>
          <w:lang w:val="fr-FR"/>
        </w:rPr>
        <w:t>4</w:t>
      </w:r>
      <w:r w:rsidR="00A02421">
        <w:rPr>
          <w:lang w:val="fr-FR"/>
        </w:rPr>
        <w:t xml:space="preserve"> de l’ordre du jour)</w:t>
      </w:r>
    </w:p>
    <w:p w14:paraId="18F80783" w14:textId="77777777" w:rsidR="007D0DAA" w:rsidRDefault="007D0DAA" w:rsidP="007D0DAA">
      <w:pPr>
        <w:pStyle w:val="H1G"/>
        <w:rPr>
          <w:lang w:val="fr-FR"/>
        </w:rPr>
      </w:pPr>
      <w:r>
        <w:rPr>
          <w:lang w:val="fr-FR"/>
        </w:rPr>
        <w:tab/>
        <w:t>A.</w:t>
      </w:r>
      <w:r>
        <w:rPr>
          <w:lang w:val="fr-FR"/>
        </w:rPr>
        <w:tab/>
      </w:r>
      <w:r w:rsidR="00127049">
        <w:rPr>
          <w:lang w:val="fr-FR"/>
        </w:rPr>
        <w:t>Statut de l'ADN</w:t>
      </w:r>
    </w:p>
    <w:p w14:paraId="7E44EF0C" w14:textId="77777777" w:rsidR="00453AAC" w:rsidRDefault="00241EB6" w:rsidP="00D908A9">
      <w:pPr>
        <w:pStyle w:val="SingleTxtG"/>
        <w:spacing w:before="120"/>
        <w:rPr>
          <w:lang w:val="fr-FR"/>
        </w:rPr>
      </w:pPr>
      <w:r>
        <w:rPr>
          <w:lang w:val="fr-FR"/>
        </w:rPr>
        <w:t>6</w:t>
      </w:r>
      <w:r w:rsidR="00C413F6" w:rsidRPr="00C7790C">
        <w:rPr>
          <w:lang w:val="fr-FR"/>
        </w:rPr>
        <w:t>.</w:t>
      </w:r>
      <w:r w:rsidR="00C413F6" w:rsidRPr="00C7790C">
        <w:rPr>
          <w:lang w:val="fr-FR"/>
        </w:rPr>
        <w:tab/>
      </w:r>
      <w:r w:rsidR="00D908A9">
        <w:rPr>
          <w:lang w:val="fr-FR"/>
        </w:rPr>
        <w:t xml:space="preserve">Le Comité de sécurité a </w:t>
      </w:r>
      <w:r w:rsidR="00A02421">
        <w:rPr>
          <w:lang w:val="fr-FR"/>
        </w:rPr>
        <w:t xml:space="preserve">noté </w:t>
      </w:r>
      <w:r>
        <w:rPr>
          <w:lang w:val="fr-FR"/>
        </w:rPr>
        <w:t>qu'il n'y avait pas de nouvelles Parties contractantes à l'Accord.</w:t>
      </w:r>
      <w:r w:rsidR="006B06A7">
        <w:rPr>
          <w:lang w:val="fr-FR"/>
        </w:rPr>
        <w:t xml:space="preserve"> </w:t>
      </w:r>
    </w:p>
    <w:p w14:paraId="3593A3FC" w14:textId="304B7B40" w:rsidR="006B06A7" w:rsidRDefault="00241EB6" w:rsidP="00D908A9">
      <w:pPr>
        <w:pStyle w:val="SingleTxtG"/>
        <w:spacing w:before="120"/>
        <w:rPr>
          <w:lang w:val="fr-FR"/>
        </w:rPr>
      </w:pPr>
      <w:r>
        <w:rPr>
          <w:lang w:val="fr-FR"/>
        </w:rPr>
        <w:t>7</w:t>
      </w:r>
      <w:r w:rsidR="006B06A7">
        <w:rPr>
          <w:lang w:val="fr-FR"/>
        </w:rPr>
        <w:t>.</w:t>
      </w:r>
      <w:r w:rsidR="006B06A7">
        <w:rPr>
          <w:lang w:val="fr-FR"/>
        </w:rPr>
        <w:tab/>
        <w:t xml:space="preserve">Le Comité a noté également que les amendements </w:t>
      </w:r>
      <w:r w:rsidR="00DE1486">
        <w:rPr>
          <w:lang w:val="fr-FR"/>
        </w:rPr>
        <w:t xml:space="preserve">proposés par le Comité administratif </w:t>
      </w:r>
      <w:r>
        <w:rPr>
          <w:lang w:val="fr-FR"/>
        </w:rPr>
        <w:t>(ECE/ADN/36 et Add.1 et Corr.1)</w:t>
      </w:r>
      <w:r w:rsidR="00DE1486">
        <w:rPr>
          <w:lang w:val="fr-FR"/>
        </w:rPr>
        <w:t xml:space="preserve"> sont réputés acceptés et sont entrés en vigueur le 1</w:t>
      </w:r>
      <w:r w:rsidR="00DE1486" w:rsidRPr="00DE1486">
        <w:rPr>
          <w:vertAlign w:val="superscript"/>
          <w:lang w:val="fr-FR"/>
        </w:rPr>
        <w:t>er</w:t>
      </w:r>
      <w:r w:rsidR="00DE1486">
        <w:rPr>
          <w:lang w:val="fr-FR"/>
        </w:rPr>
        <w:t xml:space="preserve"> janvier 201</w:t>
      </w:r>
      <w:r>
        <w:rPr>
          <w:lang w:val="fr-FR"/>
        </w:rPr>
        <w:t>7</w:t>
      </w:r>
      <w:r w:rsidR="00DE1486">
        <w:rPr>
          <w:lang w:val="fr-FR"/>
        </w:rPr>
        <w:t xml:space="preserve"> (Notification</w:t>
      </w:r>
      <w:r>
        <w:rPr>
          <w:lang w:val="fr-FR"/>
        </w:rPr>
        <w:t>s</w:t>
      </w:r>
      <w:r w:rsidR="00DE1486">
        <w:rPr>
          <w:lang w:val="fr-FR"/>
        </w:rPr>
        <w:t xml:space="preserve"> dépositaire</w:t>
      </w:r>
      <w:r>
        <w:rPr>
          <w:lang w:val="fr-FR"/>
        </w:rPr>
        <w:t>s</w:t>
      </w:r>
      <w:r w:rsidR="00DE1486">
        <w:rPr>
          <w:lang w:val="fr-FR"/>
        </w:rPr>
        <w:t xml:space="preserve"> C.N.</w:t>
      </w:r>
      <w:r>
        <w:rPr>
          <w:lang w:val="fr-FR"/>
        </w:rPr>
        <w:t>743</w:t>
      </w:r>
      <w:r w:rsidR="00DE1486">
        <w:rPr>
          <w:lang w:val="fr-FR"/>
        </w:rPr>
        <w:t>.201</w:t>
      </w:r>
      <w:r>
        <w:rPr>
          <w:lang w:val="fr-FR"/>
        </w:rPr>
        <w:t>6</w:t>
      </w:r>
      <w:r w:rsidR="00DE1486">
        <w:rPr>
          <w:lang w:val="fr-FR"/>
        </w:rPr>
        <w:t>.TREATIES-XI.D.6</w:t>
      </w:r>
      <w:r>
        <w:rPr>
          <w:lang w:val="fr-FR"/>
        </w:rPr>
        <w:t xml:space="preserve"> et C.N.897.2016.TREATIES-XI.D.6</w:t>
      </w:r>
      <w:r w:rsidR="00DE1486">
        <w:rPr>
          <w:lang w:val="fr-FR"/>
        </w:rPr>
        <w:t>). De même les corrections proposées ont été effectuées (C.N</w:t>
      </w:r>
      <w:r w:rsidR="00DE1486" w:rsidRPr="00283944">
        <w:rPr>
          <w:lang w:val="fr-FR"/>
        </w:rPr>
        <w:t>.</w:t>
      </w:r>
      <w:r>
        <w:rPr>
          <w:lang w:val="fr-FR"/>
        </w:rPr>
        <w:t>980</w:t>
      </w:r>
      <w:r w:rsidR="00DE1486">
        <w:rPr>
          <w:lang w:val="fr-FR"/>
        </w:rPr>
        <w:t>.201</w:t>
      </w:r>
      <w:r>
        <w:rPr>
          <w:lang w:val="fr-FR"/>
        </w:rPr>
        <w:t>6</w:t>
      </w:r>
      <w:r w:rsidR="00DE1486">
        <w:rPr>
          <w:lang w:val="fr-FR"/>
        </w:rPr>
        <w:t>.TREATIES-XI.D.6</w:t>
      </w:r>
      <w:r>
        <w:rPr>
          <w:lang w:val="fr-FR"/>
        </w:rPr>
        <w:t>). Les dernières corrections (</w:t>
      </w:r>
      <w:r w:rsidR="00DE1486">
        <w:rPr>
          <w:lang w:val="fr-FR"/>
        </w:rPr>
        <w:t>C.N.</w:t>
      </w:r>
      <w:r>
        <w:rPr>
          <w:lang w:val="fr-FR"/>
        </w:rPr>
        <w:t>823</w:t>
      </w:r>
      <w:r w:rsidR="00DE1486">
        <w:rPr>
          <w:lang w:val="fr-FR"/>
        </w:rPr>
        <w:t>.201</w:t>
      </w:r>
      <w:r>
        <w:rPr>
          <w:lang w:val="fr-FR"/>
        </w:rPr>
        <w:t>6</w:t>
      </w:r>
      <w:r w:rsidR="00DE1486">
        <w:rPr>
          <w:lang w:val="fr-FR"/>
        </w:rPr>
        <w:t>.TREATIES-XI.D.6)</w:t>
      </w:r>
      <w:r>
        <w:rPr>
          <w:lang w:val="fr-FR"/>
        </w:rPr>
        <w:t xml:space="preserve"> ne seront réputées acceptées que s'il n'y a pas d'objection d'ici le 1er février 2017</w:t>
      </w:r>
      <w:r w:rsidR="00DE1486">
        <w:rPr>
          <w:lang w:val="fr-FR"/>
        </w:rPr>
        <w:t xml:space="preserve">. </w:t>
      </w:r>
    </w:p>
    <w:p w14:paraId="7C06C180" w14:textId="77777777" w:rsidR="00A21959" w:rsidRPr="00C7790C" w:rsidRDefault="00A21959" w:rsidP="008B03B2">
      <w:pPr>
        <w:pStyle w:val="SingleTxtG"/>
        <w:keepNext/>
        <w:keepLines/>
        <w:tabs>
          <w:tab w:val="left" w:pos="3402"/>
        </w:tabs>
        <w:rPr>
          <w:lang w:val="fr-FR"/>
        </w:rPr>
      </w:pPr>
      <w:r w:rsidRPr="00C7790C">
        <w:rPr>
          <w:i/>
          <w:lang w:val="fr-FR"/>
        </w:rPr>
        <w:t>Document informel</w:t>
      </w:r>
      <w:r w:rsidRPr="00C7790C">
        <w:rPr>
          <w:lang w:val="fr-FR"/>
        </w:rPr>
        <w:t>:</w:t>
      </w:r>
      <w:r w:rsidRPr="00C7790C">
        <w:rPr>
          <w:lang w:val="fr-FR"/>
        </w:rPr>
        <w:tab/>
      </w:r>
      <w:r w:rsidR="008B03B2">
        <w:rPr>
          <w:lang w:val="fr-FR"/>
        </w:rPr>
        <w:t>I</w:t>
      </w:r>
      <w:r w:rsidRPr="00C7790C">
        <w:rPr>
          <w:lang w:val="fr-FR"/>
        </w:rPr>
        <w:t>NF.</w:t>
      </w:r>
      <w:r>
        <w:rPr>
          <w:lang w:val="fr-FR"/>
        </w:rPr>
        <w:t>22</w:t>
      </w:r>
      <w:r w:rsidRPr="00C7790C">
        <w:rPr>
          <w:lang w:val="fr-FR"/>
        </w:rPr>
        <w:t xml:space="preserve"> (Secrétariat)</w:t>
      </w:r>
    </w:p>
    <w:p w14:paraId="2A3A4C3A" w14:textId="77777777" w:rsidR="00A21959" w:rsidRDefault="00A21959" w:rsidP="008B03B2">
      <w:pPr>
        <w:pStyle w:val="SingleTxtG"/>
        <w:keepNext/>
        <w:keepLines/>
        <w:spacing w:before="120"/>
        <w:rPr>
          <w:lang w:val="fr-FR"/>
        </w:rPr>
      </w:pPr>
      <w:r>
        <w:rPr>
          <w:lang w:val="fr-FR"/>
        </w:rPr>
        <w:t>8.</w:t>
      </w:r>
      <w:r>
        <w:rPr>
          <w:lang w:val="fr-FR"/>
        </w:rPr>
        <w:tab/>
        <w:t xml:space="preserve">Le Comité de sécurité a noté </w:t>
      </w:r>
      <w:r w:rsidR="008B03B2">
        <w:rPr>
          <w:lang w:val="fr-FR"/>
        </w:rPr>
        <w:t>l</w:t>
      </w:r>
      <w:r>
        <w:rPr>
          <w:lang w:val="fr-FR"/>
        </w:rPr>
        <w:t>es modifications au site web de la CEE-ONU apportées par le</w:t>
      </w:r>
      <w:r w:rsidR="00AA756C">
        <w:rPr>
          <w:lang w:val="fr-FR"/>
        </w:rPr>
        <w:t xml:space="preserve"> Secrétariat en ce qui concerne:</w:t>
      </w:r>
    </w:p>
    <w:p w14:paraId="198B294F" w14:textId="77777777" w:rsidR="00AA756C" w:rsidRDefault="00AA756C" w:rsidP="00AA756C">
      <w:pPr>
        <w:pStyle w:val="Bullet1G"/>
        <w:rPr>
          <w:lang w:val="fr-FR"/>
        </w:rPr>
      </w:pPr>
      <w:r>
        <w:rPr>
          <w:lang w:val="fr-FR"/>
        </w:rPr>
        <w:t>Les consignes écrites</w:t>
      </w:r>
    </w:p>
    <w:p w14:paraId="0ABC862E" w14:textId="77777777" w:rsidR="00AA756C" w:rsidRDefault="00AA756C" w:rsidP="00AA756C">
      <w:pPr>
        <w:pStyle w:val="Bullet1G"/>
        <w:rPr>
          <w:lang w:val="fr-FR"/>
        </w:rPr>
      </w:pPr>
      <w:r>
        <w:rPr>
          <w:lang w:val="fr-FR"/>
        </w:rPr>
        <w:t>La liste des autorités compétentes en fonction du mode de transport</w:t>
      </w:r>
    </w:p>
    <w:p w14:paraId="7D745B50" w14:textId="77777777" w:rsidR="00AA756C" w:rsidRDefault="00AA756C" w:rsidP="00AA756C">
      <w:pPr>
        <w:pStyle w:val="Bullet1G"/>
        <w:rPr>
          <w:lang w:val="fr-FR"/>
        </w:rPr>
      </w:pPr>
      <w:r>
        <w:rPr>
          <w:lang w:val="fr-FR"/>
        </w:rPr>
        <w:t>Les interprétations de l'ADN</w:t>
      </w:r>
    </w:p>
    <w:p w14:paraId="73E00CA3" w14:textId="5AC41B4B" w:rsidR="00AA756C" w:rsidRDefault="00AA756C" w:rsidP="00D908A9">
      <w:pPr>
        <w:pStyle w:val="SingleTxtG"/>
        <w:spacing w:before="120"/>
        <w:rPr>
          <w:lang w:val="fr-FR"/>
        </w:rPr>
      </w:pPr>
      <w:r>
        <w:rPr>
          <w:lang w:val="fr-FR"/>
        </w:rPr>
        <w:t>9.</w:t>
      </w:r>
      <w:r>
        <w:rPr>
          <w:lang w:val="fr-FR"/>
        </w:rPr>
        <w:tab/>
        <w:t>Le Comité de sécurité a prié les autorités compétentes de vérifier les informations qui les concernai</w:t>
      </w:r>
      <w:r w:rsidR="008B03B2">
        <w:rPr>
          <w:lang w:val="fr-FR"/>
        </w:rPr>
        <w:t>en</w:t>
      </w:r>
      <w:r>
        <w:rPr>
          <w:lang w:val="fr-FR"/>
        </w:rPr>
        <w:t xml:space="preserve">t, et </w:t>
      </w:r>
      <w:r w:rsidR="00B84024">
        <w:rPr>
          <w:lang w:val="fr-FR"/>
        </w:rPr>
        <w:t xml:space="preserve">de </w:t>
      </w:r>
      <w:r>
        <w:rPr>
          <w:lang w:val="fr-FR"/>
        </w:rPr>
        <w:t>transmettre au secrétariat, si elles ne l'ont pas déjà fait, leur version des consignes écrites conformément aux exigences du 5.4.3.5.</w:t>
      </w:r>
    </w:p>
    <w:p w14:paraId="7551BDBA" w14:textId="77777777" w:rsidR="00FB47DC" w:rsidRPr="00FB47DC" w:rsidRDefault="00FB47DC" w:rsidP="006C25E0">
      <w:pPr>
        <w:keepNext/>
        <w:keepLines/>
        <w:tabs>
          <w:tab w:val="right" w:pos="851"/>
        </w:tabs>
        <w:spacing w:before="360" w:line="270" w:lineRule="exact"/>
        <w:ind w:left="1134" w:right="1134" w:hanging="1134"/>
        <w:rPr>
          <w:b/>
          <w:sz w:val="24"/>
          <w:lang w:val="fr-CH"/>
        </w:rPr>
      </w:pPr>
      <w:r w:rsidRPr="00FB47DC">
        <w:rPr>
          <w:b/>
          <w:sz w:val="24"/>
          <w:lang w:val="fr-CH"/>
        </w:rPr>
        <w:tab/>
        <w:t xml:space="preserve">B. </w:t>
      </w:r>
      <w:r w:rsidRPr="00FB47DC">
        <w:rPr>
          <w:b/>
          <w:sz w:val="24"/>
          <w:lang w:val="fr-CH"/>
        </w:rPr>
        <w:tab/>
        <w:t>Autorisations spéciales, dérogations et équivalences</w:t>
      </w:r>
    </w:p>
    <w:p w14:paraId="5BE873CB" w14:textId="77777777" w:rsidR="00FB47DC" w:rsidRPr="00FB47DC" w:rsidRDefault="00FB47DC" w:rsidP="00EF623D">
      <w:pPr>
        <w:pStyle w:val="H23G"/>
        <w:rPr>
          <w:lang w:val="fr-CH"/>
        </w:rPr>
      </w:pPr>
      <w:r w:rsidRPr="00FB47DC">
        <w:rPr>
          <w:lang w:val="fr-CH"/>
        </w:rPr>
        <w:tab/>
      </w:r>
      <w:r w:rsidRPr="00FB47DC">
        <w:rPr>
          <w:lang w:val="fr-CH"/>
        </w:rPr>
        <w:tab/>
        <w:t>Dérogation pour le "Don Quichot" (ENI 02336771)</w:t>
      </w:r>
    </w:p>
    <w:p w14:paraId="7FAF09E2" w14:textId="77777777" w:rsidR="00FB47DC" w:rsidRPr="00FB47DC" w:rsidRDefault="00FB47DC" w:rsidP="00FB47DC">
      <w:pPr>
        <w:ind w:left="1134" w:right="1134"/>
        <w:jc w:val="both"/>
        <w:rPr>
          <w:lang w:val="fr-CH"/>
        </w:rPr>
      </w:pPr>
      <w:r w:rsidRPr="00FB47DC">
        <w:rPr>
          <w:i/>
          <w:lang w:val="fr-FR"/>
        </w:rPr>
        <w:t>Document</w:t>
      </w:r>
      <w:r w:rsidRPr="00FB47DC">
        <w:rPr>
          <w:lang w:val="fr-FR"/>
        </w:rPr>
        <w:t>:</w:t>
      </w:r>
      <w:r w:rsidRPr="00FB47DC">
        <w:rPr>
          <w:lang w:val="fr-FR"/>
        </w:rPr>
        <w:tab/>
      </w:r>
      <w:r w:rsidRPr="00FB47DC">
        <w:rPr>
          <w:lang w:val="fr-FR"/>
        </w:rPr>
        <w:tab/>
      </w:r>
      <w:r w:rsidRPr="00FB47DC">
        <w:rPr>
          <w:lang w:val="fr-FR"/>
        </w:rPr>
        <w:tab/>
        <w:t>ECE/TRANS/WP.15/AC.2/2017/15 (Pays-Bas)</w:t>
      </w:r>
    </w:p>
    <w:p w14:paraId="791B2CD1" w14:textId="77777777" w:rsidR="00FB47DC" w:rsidRPr="00FB47DC" w:rsidRDefault="00FB47DC" w:rsidP="00FB47DC">
      <w:pPr>
        <w:spacing w:after="120"/>
        <w:ind w:left="1134" w:right="1134"/>
        <w:jc w:val="both"/>
        <w:rPr>
          <w:lang w:val="fr-CH"/>
        </w:rPr>
      </w:pPr>
      <w:r w:rsidRPr="00FB47DC">
        <w:rPr>
          <w:i/>
          <w:lang w:val="fr-FR"/>
        </w:rPr>
        <w:t>Document informel</w:t>
      </w:r>
      <w:r w:rsidRPr="00FB47DC">
        <w:rPr>
          <w:lang w:val="fr-FR"/>
        </w:rPr>
        <w:t>:</w:t>
      </w:r>
      <w:r w:rsidRPr="00FB47DC">
        <w:rPr>
          <w:lang w:val="fr-FR"/>
        </w:rPr>
        <w:tab/>
      </w:r>
      <w:r w:rsidRPr="00FB47DC">
        <w:rPr>
          <w:lang w:val="fr-FR"/>
        </w:rPr>
        <w:tab/>
        <w:t>INF.12 (Pays-Bas)</w:t>
      </w:r>
    </w:p>
    <w:p w14:paraId="229348BC" w14:textId="381140EE" w:rsidR="00FB47DC" w:rsidRPr="00FB47DC" w:rsidRDefault="00B84024" w:rsidP="00FB47DC">
      <w:pPr>
        <w:spacing w:after="120"/>
        <w:ind w:left="1134" w:right="1134"/>
        <w:jc w:val="both"/>
        <w:rPr>
          <w:lang w:val="fr-CH"/>
        </w:rPr>
      </w:pPr>
      <w:r>
        <w:rPr>
          <w:lang w:val="fr-CH"/>
        </w:rPr>
        <w:t>10</w:t>
      </w:r>
      <w:r w:rsidR="00FB47DC" w:rsidRPr="00FB47DC">
        <w:rPr>
          <w:lang w:val="fr-CH"/>
        </w:rPr>
        <w:t>.</w:t>
      </w:r>
      <w:r w:rsidR="00FB47DC" w:rsidRPr="00FB47DC">
        <w:rPr>
          <w:lang w:val="fr-CH"/>
        </w:rPr>
        <w:tab/>
        <w:t xml:space="preserve">Le Gouvernement des Pays-Bas demandait une dérogation à titre d'essai pour une barge poussée de type C, en cours de construction, mais qui ne répond pas à toutes les prescriptions applicables aux bateaux-citernes de type C du fait d'arrangements prévus pour la récupération de gaz provenant d'autres bateaux. L'utilisation de cette barge vise à prévenir le dégazage de vapeurs dans l'atmosphère. Le représentant des Pays-Bas a dit qu'il souhaitait qu'une dérogation soit accordée pour que la barge puisse </w:t>
      </w:r>
      <w:r>
        <w:rPr>
          <w:lang w:val="fr-CH"/>
        </w:rPr>
        <w:t>naviguer</w:t>
      </w:r>
      <w:r w:rsidRPr="00FB47DC">
        <w:rPr>
          <w:lang w:val="fr-CH"/>
        </w:rPr>
        <w:t xml:space="preserve"> </w:t>
      </w:r>
      <w:r w:rsidR="00FB47DC" w:rsidRPr="00FB47DC">
        <w:rPr>
          <w:lang w:val="fr-CH"/>
        </w:rPr>
        <w:t xml:space="preserve">sur le Rhin, et que si elle n'était pas accordée, il aurait recours à la procédure prévue à la directive européenne 2008/68/CE pour qu'elle puisse au moins </w:t>
      </w:r>
      <w:r>
        <w:rPr>
          <w:lang w:val="fr-CH"/>
        </w:rPr>
        <w:t xml:space="preserve">naviguer et </w:t>
      </w:r>
      <w:r w:rsidR="00FB47DC" w:rsidRPr="00FB47DC">
        <w:rPr>
          <w:lang w:val="fr-CH"/>
        </w:rPr>
        <w:t>opérer dans les eaux néerlandaises.</w:t>
      </w:r>
    </w:p>
    <w:p w14:paraId="075A230D" w14:textId="08F4C713" w:rsidR="00FB47DC" w:rsidRPr="00FB47DC" w:rsidRDefault="00B84024" w:rsidP="00FB47DC">
      <w:pPr>
        <w:spacing w:after="120"/>
        <w:ind w:left="1134" w:right="1134"/>
        <w:jc w:val="both"/>
        <w:rPr>
          <w:lang w:val="fr-CH"/>
        </w:rPr>
      </w:pPr>
      <w:r>
        <w:rPr>
          <w:lang w:val="fr-CH"/>
        </w:rPr>
        <w:lastRenderedPageBreak/>
        <w:t>11</w:t>
      </w:r>
      <w:r w:rsidR="00FB47DC" w:rsidRPr="00FB47DC">
        <w:rPr>
          <w:lang w:val="fr-CH"/>
        </w:rPr>
        <w:t>.</w:t>
      </w:r>
      <w:r w:rsidR="00FB47DC" w:rsidRPr="00FB47DC">
        <w:rPr>
          <w:lang w:val="fr-CH"/>
        </w:rPr>
        <w:tab/>
        <w:t>Plusieurs délégations ont indiqué qu'elles n'étaient pas opposées à ce projet mais qu'elles avaient certaines réserves. Elle</w:t>
      </w:r>
      <w:r w:rsidR="00006EF7">
        <w:rPr>
          <w:lang w:val="fr-CH"/>
        </w:rPr>
        <w:t>s</w:t>
      </w:r>
      <w:r w:rsidR="00FB47DC" w:rsidRPr="00FB47DC">
        <w:rPr>
          <w:lang w:val="fr-CH"/>
        </w:rPr>
        <w:t xml:space="preserve"> se demandaient par exemple si les opérations de dégazage qui seraient effectuées par ce bateau relevaient du transport au sens de l'ADN. Elles souhaitaient donc davantage de précisions d'une part sur l'aspect construction du bateau, d'autre part sur l'aspect utilisation,</w:t>
      </w:r>
    </w:p>
    <w:p w14:paraId="27FF5987" w14:textId="3185EADC" w:rsidR="00FB47DC" w:rsidRPr="00FB47DC" w:rsidRDefault="00B84024" w:rsidP="00FB47DC">
      <w:pPr>
        <w:spacing w:after="120"/>
        <w:ind w:left="1134" w:right="1134"/>
        <w:jc w:val="both"/>
        <w:rPr>
          <w:lang w:val="fr-CH"/>
        </w:rPr>
      </w:pPr>
      <w:r>
        <w:rPr>
          <w:lang w:val="fr-CH"/>
        </w:rPr>
        <w:t>12</w:t>
      </w:r>
      <w:r w:rsidR="00FB47DC" w:rsidRPr="00FB47DC">
        <w:rPr>
          <w:lang w:val="fr-CH"/>
        </w:rPr>
        <w:t xml:space="preserve">. </w:t>
      </w:r>
      <w:r w:rsidR="00FB47DC" w:rsidRPr="00FB47DC">
        <w:rPr>
          <w:lang w:val="fr-CH"/>
        </w:rPr>
        <w:tab/>
        <w:t>Le représentant des Pays-Bas a indiqué qu'il serait disposé à organiser des sessions de groupe de travail informel pour fournir davantage d'explications, mais qu'il souhaitait néanmoins que sa proposition de dérogation soit mise aux voix. Le Président a donc mis aux voix la proposition, qui a été rejetée par la majorité des représentants des Etats présents et votants. Le Président en a conclu que la question n'était pas mûre et que davantage de travail serait nécessaire.</w:t>
      </w:r>
      <w:r>
        <w:rPr>
          <w:lang w:val="fr-CH"/>
        </w:rPr>
        <w:t xml:space="preserve"> Une réunion du </w:t>
      </w:r>
      <w:r w:rsidR="00A3640F">
        <w:rPr>
          <w:lang w:val="fr-CH"/>
        </w:rPr>
        <w:t>g</w:t>
      </w:r>
      <w:r>
        <w:rPr>
          <w:lang w:val="fr-CH"/>
        </w:rPr>
        <w:t>roupe de travail informel sera organisée par les Pays-Bas du 28 au 30 mars 2017.</w:t>
      </w:r>
    </w:p>
    <w:p w14:paraId="0A1A658A" w14:textId="77777777" w:rsidR="00602D50" w:rsidRPr="00602D50" w:rsidRDefault="00602D50" w:rsidP="00602D50">
      <w:pPr>
        <w:keepNext/>
        <w:keepLines/>
        <w:tabs>
          <w:tab w:val="right" w:pos="851"/>
        </w:tabs>
        <w:spacing w:before="360" w:after="240" w:line="270" w:lineRule="exact"/>
        <w:ind w:left="1134" w:right="1134" w:hanging="1134"/>
        <w:rPr>
          <w:b/>
          <w:sz w:val="24"/>
          <w:lang w:val="fr-FR"/>
        </w:rPr>
      </w:pPr>
      <w:r w:rsidRPr="00602D50">
        <w:rPr>
          <w:b/>
          <w:sz w:val="24"/>
          <w:lang w:val="fr-FR"/>
        </w:rPr>
        <w:tab/>
        <w:t xml:space="preserve">C. </w:t>
      </w:r>
      <w:r w:rsidRPr="00602D50">
        <w:rPr>
          <w:b/>
          <w:sz w:val="24"/>
          <w:lang w:val="fr-FR"/>
        </w:rPr>
        <w:tab/>
        <w:t>Interprétation du Règlement annexé à l'ADN</w:t>
      </w:r>
    </w:p>
    <w:p w14:paraId="31B61C47" w14:textId="77777777" w:rsidR="00602D50" w:rsidRPr="00602D50" w:rsidRDefault="00602D50" w:rsidP="00602D50">
      <w:pPr>
        <w:keepNext/>
        <w:keepLines/>
        <w:tabs>
          <w:tab w:val="right" w:pos="851"/>
        </w:tabs>
        <w:spacing w:before="240" w:after="120" w:line="240" w:lineRule="exact"/>
        <w:ind w:left="1134" w:right="1134" w:hanging="1134"/>
        <w:rPr>
          <w:b/>
          <w:lang w:val="fr-FR"/>
        </w:rPr>
      </w:pPr>
      <w:r w:rsidRPr="00602D50">
        <w:rPr>
          <w:b/>
          <w:lang w:val="fr-FR"/>
        </w:rPr>
        <w:tab/>
        <w:t>1.</w:t>
      </w:r>
      <w:r w:rsidRPr="00602D50">
        <w:rPr>
          <w:b/>
          <w:lang w:val="fr-FR"/>
        </w:rPr>
        <w:tab/>
        <w:t>Dangers causés par les travaux à bord, section 8.3.5 du Règlement</w:t>
      </w:r>
    </w:p>
    <w:p w14:paraId="32678BA9" w14:textId="77777777" w:rsidR="00602D50" w:rsidRPr="00602D50" w:rsidRDefault="00602D50" w:rsidP="00602D50">
      <w:pPr>
        <w:spacing w:after="120"/>
        <w:ind w:left="1134" w:right="1134"/>
        <w:jc w:val="both"/>
        <w:rPr>
          <w:lang w:val="fr-FR"/>
        </w:rPr>
      </w:pPr>
      <w:r w:rsidRPr="00602D50">
        <w:rPr>
          <w:i/>
          <w:lang w:val="fr-FR"/>
        </w:rPr>
        <w:t>Document</w:t>
      </w:r>
      <w:r w:rsidRPr="00602D50">
        <w:rPr>
          <w:lang w:val="fr-FR"/>
        </w:rPr>
        <w:t>:</w:t>
      </w:r>
      <w:r w:rsidRPr="00602D50">
        <w:rPr>
          <w:lang w:val="fr-FR"/>
        </w:rPr>
        <w:tab/>
      </w:r>
      <w:r w:rsidRPr="00602D50">
        <w:rPr>
          <w:lang w:val="fr-FR"/>
        </w:rPr>
        <w:tab/>
        <w:t>ECE/TRANS/WP.15/AC.2/2017/5 (Allemagne)</w:t>
      </w:r>
    </w:p>
    <w:p w14:paraId="4965B141" w14:textId="798FD448" w:rsidR="00602D50" w:rsidRPr="00602D50" w:rsidRDefault="00B84024" w:rsidP="00602D50">
      <w:pPr>
        <w:spacing w:after="120"/>
        <w:ind w:left="1134" w:right="1134"/>
        <w:jc w:val="both"/>
        <w:rPr>
          <w:lang w:val="fr-FR"/>
        </w:rPr>
      </w:pPr>
      <w:r w:rsidRPr="00602D50">
        <w:rPr>
          <w:lang w:val="fr-FR"/>
        </w:rPr>
        <w:t>1</w:t>
      </w:r>
      <w:r>
        <w:rPr>
          <w:lang w:val="fr-FR"/>
        </w:rPr>
        <w:t>3</w:t>
      </w:r>
      <w:r w:rsidR="00602D50" w:rsidRPr="00602D50">
        <w:rPr>
          <w:lang w:val="fr-FR"/>
        </w:rPr>
        <w:t>.</w:t>
      </w:r>
      <w:r w:rsidR="00602D50" w:rsidRPr="00602D50">
        <w:rPr>
          <w:lang w:val="fr-FR"/>
        </w:rPr>
        <w:tab/>
        <w:t>Le Comité de sécurité a estimé que le terme "travaux à bord" couvrait tous les travaux effectués sur la structure du bateau et ses équipements, y compris par exemple l'hélice et la chaîne d'ancre.</w:t>
      </w:r>
    </w:p>
    <w:p w14:paraId="5D4DE2CD" w14:textId="7B7FF35E" w:rsidR="00602D50" w:rsidRPr="00602D50" w:rsidRDefault="00B84024" w:rsidP="00602D50">
      <w:pPr>
        <w:spacing w:after="120"/>
        <w:ind w:left="1134" w:right="1134"/>
        <w:jc w:val="both"/>
        <w:rPr>
          <w:lang w:val="fr-FR"/>
        </w:rPr>
      </w:pPr>
      <w:r w:rsidRPr="00602D50">
        <w:rPr>
          <w:lang w:val="fr-FR"/>
        </w:rPr>
        <w:t>1</w:t>
      </w:r>
      <w:r>
        <w:rPr>
          <w:lang w:val="fr-FR"/>
        </w:rPr>
        <w:t>4</w:t>
      </w:r>
      <w:r w:rsidR="00602D50" w:rsidRPr="00602D50">
        <w:rPr>
          <w:lang w:val="fr-FR"/>
        </w:rPr>
        <w:t>.</w:t>
      </w:r>
      <w:r w:rsidR="00602D50" w:rsidRPr="00602D50">
        <w:rPr>
          <w:lang w:val="fr-FR"/>
        </w:rPr>
        <w:tab/>
        <w:t xml:space="preserve">Pour la question de savoir si la condition d'absence de gaz doit être certifié pour l'ensemble du bateau ou seulement pour la zone où sont effectués les travaux, la plupart des délégations estimaient que le certificat de dégazage était requis pour l'ensemble du bateau, sauf autorisation spéciale de l'autorité compétente. Dans </w:t>
      </w:r>
      <w:r>
        <w:rPr>
          <w:lang w:val="fr-FR"/>
        </w:rPr>
        <w:t>tous les</w:t>
      </w:r>
      <w:r w:rsidRPr="00602D50">
        <w:rPr>
          <w:lang w:val="fr-FR"/>
        </w:rPr>
        <w:t xml:space="preserve"> </w:t>
      </w:r>
      <w:r w:rsidR="00602D50" w:rsidRPr="00602D50">
        <w:rPr>
          <w:lang w:val="fr-FR"/>
        </w:rPr>
        <w:t xml:space="preserve">cas, il </w:t>
      </w:r>
      <w:r w:rsidRPr="00602D50">
        <w:rPr>
          <w:lang w:val="fr-FR"/>
        </w:rPr>
        <w:t>conven</w:t>
      </w:r>
      <w:r>
        <w:rPr>
          <w:lang w:val="fr-FR"/>
        </w:rPr>
        <w:t>ait</w:t>
      </w:r>
      <w:r w:rsidR="00A3640F">
        <w:rPr>
          <w:lang w:val="fr-FR"/>
        </w:rPr>
        <w:t xml:space="preserve"> </w:t>
      </w:r>
      <w:r w:rsidR="00602D50" w:rsidRPr="00602D50">
        <w:rPr>
          <w:lang w:val="fr-FR"/>
        </w:rPr>
        <w:t xml:space="preserve">de tenir compte de toutes les dispositions règlementaires applicables, notamment celles relatives à la sécurité sur le lieu de travail. Les représentants de l'Allemagne et des Pays-Bas </w:t>
      </w:r>
      <w:r w:rsidRPr="00602D50">
        <w:rPr>
          <w:lang w:val="fr-FR"/>
        </w:rPr>
        <w:t>préparer</w:t>
      </w:r>
      <w:r>
        <w:rPr>
          <w:lang w:val="fr-FR"/>
        </w:rPr>
        <w:t>aient</w:t>
      </w:r>
      <w:r w:rsidRPr="00602D50">
        <w:rPr>
          <w:lang w:val="fr-FR"/>
        </w:rPr>
        <w:t xml:space="preserve"> </w:t>
      </w:r>
      <w:r w:rsidR="00602D50" w:rsidRPr="00602D50">
        <w:rPr>
          <w:lang w:val="fr-FR"/>
        </w:rPr>
        <w:t>une disposition pour refléter cette interprétation dans le texte.</w:t>
      </w:r>
    </w:p>
    <w:p w14:paraId="1002CAA9" w14:textId="77777777" w:rsidR="00602D50" w:rsidRPr="00602D50" w:rsidRDefault="00602D50" w:rsidP="00602D50">
      <w:pPr>
        <w:keepNext/>
        <w:keepLines/>
        <w:tabs>
          <w:tab w:val="right" w:pos="851"/>
        </w:tabs>
        <w:spacing w:before="240" w:after="120" w:line="240" w:lineRule="exact"/>
        <w:ind w:left="1134" w:right="1134" w:hanging="1134"/>
        <w:rPr>
          <w:b/>
          <w:lang w:val="fr-FR"/>
        </w:rPr>
      </w:pPr>
      <w:r w:rsidRPr="00602D50">
        <w:rPr>
          <w:b/>
          <w:lang w:val="fr-FR"/>
        </w:rPr>
        <w:tab/>
        <w:t>2.</w:t>
      </w:r>
      <w:r w:rsidRPr="00602D50">
        <w:rPr>
          <w:b/>
          <w:lang w:val="fr-FR"/>
        </w:rPr>
        <w:tab/>
        <w:t>Sous-section 7.1.4.7 de l'ADN, lieux de chargement et de déchargement pour des bateaux à marchandises sèches</w:t>
      </w:r>
    </w:p>
    <w:p w14:paraId="5625765B" w14:textId="77777777" w:rsidR="00602D50" w:rsidRPr="00602D50" w:rsidRDefault="00602D50" w:rsidP="00602D50">
      <w:pPr>
        <w:spacing w:after="120"/>
        <w:ind w:left="1134" w:right="1134"/>
        <w:jc w:val="both"/>
        <w:rPr>
          <w:lang w:val="fr-FR"/>
        </w:rPr>
      </w:pPr>
      <w:r w:rsidRPr="00602D50">
        <w:rPr>
          <w:i/>
          <w:lang w:val="fr-FR"/>
        </w:rPr>
        <w:t>Document</w:t>
      </w:r>
      <w:r w:rsidRPr="00602D50">
        <w:rPr>
          <w:lang w:val="fr-FR"/>
        </w:rPr>
        <w:t>:</w:t>
      </w:r>
      <w:r w:rsidRPr="00602D50">
        <w:rPr>
          <w:lang w:val="fr-FR"/>
        </w:rPr>
        <w:tab/>
      </w:r>
      <w:r w:rsidRPr="00602D50">
        <w:rPr>
          <w:lang w:val="fr-FR"/>
        </w:rPr>
        <w:tab/>
        <w:t>ECE/TRANS/WP.15/AC.2/2017/11 (Allemagne)</w:t>
      </w:r>
    </w:p>
    <w:p w14:paraId="763A6D67" w14:textId="76A85914" w:rsidR="00602D50" w:rsidRPr="00602D50" w:rsidRDefault="00B84024" w:rsidP="00602D50">
      <w:pPr>
        <w:spacing w:after="120"/>
        <w:ind w:left="1134" w:right="1134"/>
        <w:jc w:val="both"/>
        <w:rPr>
          <w:lang w:val="fr-FR"/>
        </w:rPr>
      </w:pPr>
      <w:r>
        <w:rPr>
          <w:lang w:val="fr-FR"/>
        </w:rPr>
        <w:t>15</w:t>
      </w:r>
      <w:r w:rsidR="00602D50" w:rsidRPr="00602D50">
        <w:rPr>
          <w:lang w:val="fr-FR"/>
        </w:rPr>
        <w:t>.</w:t>
      </w:r>
      <w:r w:rsidR="00602D50" w:rsidRPr="00602D50">
        <w:rPr>
          <w:lang w:val="fr-FR"/>
        </w:rPr>
        <w:tab/>
        <w:t>Plusieurs délégations étaient d'avis que le paragraphe 7.1.4.7.2, tel que libellé, n'impose pas la présence de moyens d'évacuation lors du chargement ou du déchargement de marchandises non dangereuses à bord de bateaux transportant des marchandises des classes 1, 4.1 ou 5.2 pour lesquelles trois cônes bleus/feux bleus sont prescrits. Cependant, l'emplacement de ces opérations de chargement/déchargement devant être agréé par l'autorité compétente, cette autorité peut imposer que l'opération ne soit effectuée que dans des lieux où des moyens d'évacuation appropriés sont disponibles.</w:t>
      </w:r>
    </w:p>
    <w:p w14:paraId="3A83FB49" w14:textId="336E3EE4" w:rsidR="00602D50" w:rsidRPr="00602D50" w:rsidRDefault="00B84024" w:rsidP="00602D50">
      <w:pPr>
        <w:spacing w:after="120"/>
        <w:ind w:left="1134" w:right="1134"/>
        <w:jc w:val="both"/>
        <w:rPr>
          <w:lang w:val="fr-FR"/>
        </w:rPr>
      </w:pPr>
      <w:r>
        <w:rPr>
          <w:lang w:val="fr-FR"/>
        </w:rPr>
        <w:t>16</w:t>
      </w:r>
      <w:r w:rsidR="00602D50" w:rsidRPr="00602D50">
        <w:rPr>
          <w:lang w:val="fr-FR"/>
        </w:rPr>
        <w:t>.</w:t>
      </w:r>
      <w:r w:rsidR="00602D50" w:rsidRPr="00602D50">
        <w:rPr>
          <w:lang w:val="fr-FR"/>
        </w:rPr>
        <w:tab/>
        <w:t>Le représentant de l'Allemagne a dit qu'il préparerait une proposition visant à rendre obligatoire la présence de moyens d'évacuation sur les lieux de chargement/déchargement visés au 7.1.4.7.2.</w:t>
      </w:r>
    </w:p>
    <w:p w14:paraId="744BE487" w14:textId="77777777" w:rsidR="00602D50" w:rsidRPr="00602D50" w:rsidRDefault="00602D50" w:rsidP="00602D50">
      <w:pPr>
        <w:keepNext/>
        <w:keepLines/>
        <w:tabs>
          <w:tab w:val="right" w:pos="851"/>
        </w:tabs>
        <w:spacing w:before="240" w:after="120" w:line="240" w:lineRule="exact"/>
        <w:ind w:left="1134" w:right="1134" w:hanging="1134"/>
        <w:rPr>
          <w:b/>
          <w:lang w:val="fr-FR"/>
        </w:rPr>
      </w:pPr>
      <w:r w:rsidRPr="00602D50">
        <w:rPr>
          <w:b/>
          <w:lang w:val="fr-FR"/>
        </w:rPr>
        <w:tab/>
        <w:t xml:space="preserve">3. </w:t>
      </w:r>
      <w:r w:rsidRPr="00602D50">
        <w:rPr>
          <w:b/>
          <w:lang w:val="fr-FR"/>
        </w:rPr>
        <w:tab/>
        <w:t>Transport de véhicules et d'appareils</w:t>
      </w:r>
    </w:p>
    <w:p w14:paraId="1E8AF40C" w14:textId="77777777" w:rsidR="00602D50" w:rsidRPr="00602D50" w:rsidRDefault="00602D50" w:rsidP="00602D50">
      <w:pPr>
        <w:spacing w:after="120"/>
        <w:ind w:left="1134" w:right="1134"/>
        <w:jc w:val="both"/>
        <w:rPr>
          <w:lang w:val="fr-FR"/>
        </w:rPr>
      </w:pPr>
      <w:r w:rsidRPr="00602D50">
        <w:rPr>
          <w:i/>
          <w:lang w:val="fr-FR"/>
        </w:rPr>
        <w:t>Document</w:t>
      </w:r>
      <w:r w:rsidRPr="00602D50">
        <w:rPr>
          <w:lang w:val="fr-FR"/>
        </w:rPr>
        <w:t>:</w:t>
      </w:r>
      <w:r w:rsidRPr="00602D50">
        <w:rPr>
          <w:lang w:val="fr-FR"/>
        </w:rPr>
        <w:tab/>
      </w:r>
      <w:r w:rsidRPr="00602D50">
        <w:rPr>
          <w:lang w:val="fr-FR"/>
        </w:rPr>
        <w:tab/>
        <w:t>ECE/TRANS/WP.15/AC.2/2017/12 (Allemagne)</w:t>
      </w:r>
    </w:p>
    <w:p w14:paraId="53C14481" w14:textId="00A6D171" w:rsidR="00602D50" w:rsidRPr="00602D50" w:rsidRDefault="00B84024" w:rsidP="00602D50">
      <w:pPr>
        <w:spacing w:after="120"/>
        <w:ind w:left="1134" w:right="1134"/>
        <w:jc w:val="both"/>
        <w:rPr>
          <w:lang w:val="fr-FR"/>
        </w:rPr>
      </w:pPr>
      <w:r>
        <w:rPr>
          <w:lang w:val="fr-FR"/>
        </w:rPr>
        <w:t>17</w:t>
      </w:r>
      <w:r w:rsidR="00602D50" w:rsidRPr="00602D50">
        <w:rPr>
          <w:lang w:val="fr-FR"/>
        </w:rPr>
        <w:t>.</w:t>
      </w:r>
      <w:r w:rsidR="00602D50" w:rsidRPr="00602D50">
        <w:rPr>
          <w:lang w:val="fr-FR"/>
        </w:rPr>
        <w:tab/>
        <w:t xml:space="preserve">Le Comité de sécurité est convenu que la question des exemptions de véhicules et appareils pouvant être classés sous les Nos ONU 3528, 3529, 3530, 3166 et 3171, compte tenu des dispositions spéciales 240, 312, 363, 385, 665 et 666 et des dispositions de la section 1.1.3, méritait davantage de réflexion dans le cadre spécifique de la navigation </w:t>
      </w:r>
      <w:r w:rsidR="00602D50" w:rsidRPr="00602D50">
        <w:rPr>
          <w:lang w:val="fr-FR"/>
        </w:rPr>
        <w:lastRenderedPageBreak/>
        <w:t>intérieure et pouvait être examinée par un groupe informel en vue de l'élaboration de propositions d'amendements au Règlement annexé à l'ADN qui clarifieraient l'interprétation.</w:t>
      </w:r>
    </w:p>
    <w:p w14:paraId="386DE207" w14:textId="77777777" w:rsidR="00602D50" w:rsidRPr="00602D50" w:rsidRDefault="00602D50" w:rsidP="00602D50">
      <w:pPr>
        <w:keepNext/>
        <w:keepLines/>
        <w:tabs>
          <w:tab w:val="right" w:pos="851"/>
        </w:tabs>
        <w:spacing w:before="240" w:after="120" w:line="240" w:lineRule="exact"/>
        <w:ind w:left="1134" w:right="1134" w:hanging="1134"/>
        <w:rPr>
          <w:b/>
          <w:lang w:val="fr-FR"/>
        </w:rPr>
      </w:pPr>
      <w:r w:rsidRPr="00602D50">
        <w:rPr>
          <w:b/>
          <w:lang w:val="fr-FR"/>
        </w:rPr>
        <w:tab/>
        <w:t>4.</w:t>
      </w:r>
      <w:r w:rsidRPr="00602D50">
        <w:rPr>
          <w:b/>
          <w:lang w:val="fr-FR"/>
        </w:rPr>
        <w:tab/>
        <w:t>7.2.4.1.1 de l'ADN, transport de colis sur les bateaux-citernes</w:t>
      </w:r>
    </w:p>
    <w:p w14:paraId="6A850639" w14:textId="77777777" w:rsidR="00602D50" w:rsidRPr="00602D50" w:rsidRDefault="00602D50" w:rsidP="00602D50">
      <w:pPr>
        <w:spacing w:after="120"/>
        <w:ind w:left="1134" w:right="1134"/>
        <w:jc w:val="both"/>
        <w:rPr>
          <w:lang w:val="fr-FR"/>
        </w:rPr>
      </w:pPr>
      <w:r w:rsidRPr="00602D50">
        <w:rPr>
          <w:i/>
          <w:lang w:val="fr-FR"/>
        </w:rPr>
        <w:t>Document</w:t>
      </w:r>
      <w:r w:rsidRPr="00602D50">
        <w:rPr>
          <w:lang w:val="fr-FR"/>
        </w:rPr>
        <w:t>:</w:t>
      </w:r>
      <w:r w:rsidRPr="00602D50">
        <w:rPr>
          <w:lang w:val="fr-FR"/>
        </w:rPr>
        <w:tab/>
      </w:r>
      <w:r w:rsidRPr="00602D50">
        <w:rPr>
          <w:lang w:val="fr-FR"/>
        </w:rPr>
        <w:tab/>
        <w:t>ECE/TRANS/WP.15/AC.2/2017/13 (Allemagne)</w:t>
      </w:r>
    </w:p>
    <w:p w14:paraId="0C4CB731" w14:textId="1ABD92AD" w:rsidR="00602D50" w:rsidRPr="00602D50" w:rsidRDefault="00B84024" w:rsidP="00602D50">
      <w:pPr>
        <w:spacing w:after="120"/>
        <w:ind w:left="1134" w:right="1134"/>
        <w:jc w:val="both"/>
        <w:rPr>
          <w:lang w:val="fr-FR"/>
        </w:rPr>
      </w:pPr>
      <w:r w:rsidRPr="00602D50">
        <w:rPr>
          <w:lang w:val="fr-FR"/>
        </w:rPr>
        <w:t>1</w:t>
      </w:r>
      <w:r>
        <w:rPr>
          <w:lang w:val="fr-FR"/>
        </w:rPr>
        <w:t>8</w:t>
      </w:r>
      <w:r w:rsidR="00602D50" w:rsidRPr="00602D50">
        <w:rPr>
          <w:lang w:val="fr-FR"/>
        </w:rPr>
        <w:t>.</w:t>
      </w:r>
      <w:r w:rsidR="00602D50" w:rsidRPr="00602D50">
        <w:rPr>
          <w:lang w:val="fr-FR"/>
        </w:rPr>
        <w:tab/>
        <w:t>Ce document posait la question de savoir quel type d'emballage</w:t>
      </w:r>
      <w:r>
        <w:rPr>
          <w:lang w:val="fr-FR"/>
        </w:rPr>
        <w:t>,</w:t>
      </w:r>
      <w:r w:rsidR="00602D50" w:rsidRPr="00602D50">
        <w:rPr>
          <w:lang w:val="fr-FR"/>
        </w:rPr>
        <w:t xml:space="preserve"> GRV, et citernes est autorisé pour faire office de récipients pour produits résiduaires ou pour slops à bord des bateaux-citernes, et quelles dispositions leur sont applicables.</w:t>
      </w:r>
    </w:p>
    <w:p w14:paraId="761C774A" w14:textId="75B0BA48" w:rsidR="00602D50" w:rsidRPr="00602D50" w:rsidRDefault="00B84024" w:rsidP="00602D50">
      <w:pPr>
        <w:spacing w:after="120"/>
        <w:ind w:left="1134" w:right="1134"/>
        <w:jc w:val="both"/>
        <w:rPr>
          <w:lang w:val="fr-FR"/>
        </w:rPr>
      </w:pPr>
      <w:r w:rsidRPr="00602D50">
        <w:rPr>
          <w:lang w:val="fr-FR"/>
        </w:rPr>
        <w:t>1</w:t>
      </w:r>
      <w:r>
        <w:rPr>
          <w:lang w:val="fr-FR"/>
        </w:rPr>
        <w:t>9</w:t>
      </w:r>
      <w:r w:rsidR="00602D50" w:rsidRPr="00602D50">
        <w:rPr>
          <w:lang w:val="fr-FR"/>
        </w:rPr>
        <w:t>.</w:t>
      </w:r>
      <w:r w:rsidR="00602D50" w:rsidRPr="00602D50">
        <w:rPr>
          <w:lang w:val="fr-FR"/>
        </w:rPr>
        <w:tab/>
        <w:t>Suite aux discussions, le représentant des Pays-Bas a dit qu'il soumettrait une proposition pour définir les récipients autorisés, leur étiquetage, et pour réintroduire éventuellement les obligations de cahier de chargement prévues autrefois au 7.2.4.1.1.</w:t>
      </w:r>
    </w:p>
    <w:p w14:paraId="3D193D55" w14:textId="17E753C8" w:rsidR="00602D50" w:rsidRPr="00602D50" w:rsidRDefault="00602D50" w:rsidP="00602D50">
      <w:pPr>
        <w:keepNext/>
        <w:keepLines/>
        <w:tabs>
          <w:tab w:val="right" w:pos="851"/>
        </w:tabs>
        <w:spacing w:before="240" w:after="120" w:line="240" w:lineRule="exact"/>
        <w:ind w:left="1134" w:right="1134" w:hanging="1134"/>
        <w:rPr>
          <w:b/>
          <w:lang w:val="fr-FR"/>
        </w:rPr>
      </w:pPr>
      <w:r w:rsidRPr="00602D50">
        <w:rPr>
          <w:b/>
          <w:lang w:val="fr-FR"/>
        </w:rPr>
        <w:tab/>
        <w:t>5.</w:t>
      </w:r>
      <w:r w:rsidRPr="00602D50">
        <w:rPr>
          <w:b/>
          <w:lang w:val="fr-FR"/>
        </w:rPr>
        <w:tab/>
        <w:t>Stabilité (9.3.3.13.3), dispositions transitoires pour les bateaux-citernes de type N</w:t>
      </w:r>
    </w:p>
    <w:p w14:paraId="0C52ABA4" w14:textId="77777777" w:rsidR="00602D50" w:rsidRPr="00602D50" w:rsidRDefault="00602D50" w:rsidP="00602D50">
      <w:pPr>
        <w:spacing w:after="120"/>
        <w:ind w:left="1134" w:right="1134"/>
        <w:jc w:val="both"/>
        <w:rPr>
          <w:lang w:val="fr-FR"/>
        </w:rPr>
      </w:pPr>
      <w:r w:rsidRPr="00602D50">
        <w:rPr>
          <w:i/>
          <w:lang w:val="fr-FR"/>
        </w:rPr>
        <w:t>Document informel</w:t>
      </w:r>
      <w:r w:rsidRPr="00602D50">
        <w:rPr>
          <w:lang w:val="fr-FR"/>
        </w:rPr>
        <w:t>:</w:t>
      </w:r>
      <w:r w:rsidRPr="00602D50">
        <w:rPr>
          <w:lang w:val="fr-FR"/>
        </w:rPr>
        <w:tab/>
        <w:t>INF.2 (Allemagne)</w:t>
      </w:r>
    </w:p>
    <w:p w14:paraId="5A8F6A2C" w14:textId="2085E604" w:rsidR="00602D50" w:rsidRPr="00602D50" w:rsidRDefault="00B84024" w:rsidP="00602D50">
      <w:pPr>
        <w:spacing w:after="120"/>
        <w:ind w:left="1134" w:right="1134"/>
        <w:jc w:val="both"/>
        <w:rPr>
          <w:lang w:val="fr-FR"/>
        </w:rPr>
      </w:pPr>
      <w:r>
        <w:rPr>
          <w:lang w:val="fr-FR"/>
        </w:rPr>
        <w:t>20</w:t>
      </w:r>
      <w:r w:rsidR="00602D50" w:rsidRPr="00602D50">
        <w:rPr>
          <w:lang w:val="fr-FR"/>
        </w:rPr>
        <w:t>.</w:t>
      </w:r>
      <w:r w:rsidR="00602D50" w:rsidRPr="00602D50">
        <w:rPr>
          <w:lang w:val="fr-FR"/>
        </w:rPr>
        <w:tab/>
        <w:t>Comme il n'y avait pas de consensus sur l'interprétation proposée, les Sociétés de classifications recommandées ADN ont été invitées à examiner la question à leur réunion de mars 2017, et il serait souhaitable d'aborder le sujet sur la base d'un document officiel à la prochaine session.</w:t>
      </w:r>
    </w:p>
    <w:p w14:paraId="4AE911A5" w14:textId="77777777" w:rsidR="00602D50" w:rsidRPr="00602D50" w:rsidRDefault="00602D50" w:rsidP="00602D50">
      <w:pPr>
        <w:keepNext/>
        <w:keepLines/>
        <w:tabs>
          <w:tab w:val="right" w:pos="851"/>
        </w:tabs>
        <w:spacing w:before="240" w:after="120" w:line="240" w:lineRule="exact"/>
        <w:ind w:left="1134" w:right="1134" w:hanging="1134"/>
        <w:rPr>
          <w:b/>
          <w:lang w:val="fr-FR"/>
        </w:rPr>
      </w:pPr>
      <w:r w:rsidRPr="00602D50">
        <w:rPr>
          <w:b/>
          <w:lang w:val="fr-FR"/>
        </w:rPr>
        <w:tab/>
        <w:t>6.</w:t>
      </w:r>
      <w:r w:rsidRPr="00602D50">
        <w:rPr>
          <w:b/>
          <w:lang w:val="fr-FR"/>
        </w:rPr>
        <w:tab/>
        <w:t>Preuve de stabilité (9.3.X.13 de l'ADN)</w:t>
      </w:r>
    </w:p>
    <w:p w14:paraId="6A56C3DA" w14:textId="77777777" w:rsidR="00602D50" w:rsidRPr="00602D50" w:rsidRDefault="00602D50" w:rsidP="00602D50">
      <w:pPr>
        <w:spacing w:after="120"/>
        <w:ind w:left="1134" w:right="1134"/>
        <w:jc w:val="both"/>
        <w:rPr>
          <w:lang w:val="fr-FR"/>
        </w:rPr>
      </w:pPr>
      <w:r w:rsidRPr="00602D50">
        <w:rPr>
          <w:i/>
          <w:lang w:val="fr-FR"/>
        </w:rPr>
        <w:t>Document informel</w:t>
      </w:r>
      <w:r w:rsidRPr="00602D50">
        <w:rPr>
          <w:lang w:val="fr-FR"/>
        </w:rPr>
        <w:t>:</w:t>
      </w:r>
      <w:r w:rsidRPr="00602D50">
        <w:rPr>
          <w:lang w:val="fr-FR"/>
        </w:rPr>
        <w:tab/>
        <w:t>INF.3 (Allemagne)</w:t>
      </w:r>
    </w:p>
    <w:p w14:paraId="1DA46507" w14:textId="4BD5F06F" w:rsidR="00602D50" w:rsidRPr="00602D50" w:rsidRDefault="00B84024" w:rsidP="00602D50">
      <w:pPr>
        <w:spacing w:after="120"/>
        <w:ind w:left="1134" w:right="1134"/>
        <w:jc w:val="both"/>
        <w:rPr>
          <w:lang w:val="fr-FR"/>
        </w:rPr>
      </w:pPr>
      <w:r>
        <w:rPr>
          <w:lang w:val="fr-FR"/>
        </w:rPr>
        <w:t>21</w:t>
      </w:r>
      <w:r w:rsidR="00602D50" w:rsidRPr="00602D50">
        <w:rPr>
          <w:lang w:val="fr-FR"/>
        </w:rPr>
        <w:t>.</w:t>
      </w:r>
      <w:r w:rsidR="00602D50" w:rsidRPr="00602D50">
        <w:rPr>
          <w:lang w:val="fr-FR"/>
        </w:rPr>
        <w:tab/>
        <w:t>Les Sociétés de classifications recommandées ADN ont été priées de préparer un rapport sur la mise en œuvre effective des nouvelles dispositions en matière de contrôle de stabilité, à la session de janvier 2018, en relation avec l'application de l'accord multilatéral M 016.</w:t>
      </w:r>
    </w:p>
    <w:p w14:paraId="46C4876C" w14:textId="77777777" w:rsidR="00602D50" w:rsidRPr="00602D50" w:rsidRDefault="00602D50" w:rsidP="00602D50">
      <w:pPr>
        <w:keepNext/>
        <w:keepLines/>
        <w:tabs>
          <w:tab w:val="right" w:pos="851"/>
        </w:tabs>
        <w:spacing w:before="240" w:after="120" w:line="240" w:lineRule="exact"/>
        <w:ind w:left="1134" w:right="1134" w:hanging="1134"/>
        <w:rPr>
          <w:b/>
          <w:lang w:val="fr-FR"/>
        </w:rPr>
      </w:pPr>
      <w:r w:rsidRPr="00602D50">
        <w:rPr>
          <w:b/>
          <w:lang w:val="fr-FR"/>
        </w:rPr>
        <w:tab/>
        <w:t>7.</w:t>
      </w:r>
      <w:r w:rsidRPr="00602D50">
        <w:rPr>
          <w:b/>
          <w:lang w:val="fr-FR"/>
        </w:rPr>
        <w:tab/>
        <w:t>Interprétation du 1.15.2.4 et du 9.2.0.88.1</w:t>
      </w:r>
    </w:p>
    <w:p w14:paraId="7C8C17D1" w14:textId="77777777" w:rsidR="00602D50" w:rsidRPr="00602D50" w:rsidRDefault="00602D50" w:rsidP="00602D50">
      <w:pPr>
        <w:spacing w:after="120"/>
        <w:ind w:left="1134" w:right="1134"/>
        <w:jc w:val="both"/>
        <w:rPr>
          <w:lang w:val="fr-FR"/>
        </w:rPr>
      </w:pPr>
      <w:r w:rsidRPr="00602D50">
        <w:rPr>
          <w:i/>
          <w:lang w:val="fr-FR"/>
        </w:rPr>
        <w:t>Document informel</w:t>
      </w:r>
      <w:r w:rsidRPr="00602D50">
        <w:rPr>
          <w:lang w:val="fr-FR"/>
        </w:rPr>
        <w:t>:</w:t>
      </w:r>
      <w:r w:rsidRPr="00602D50">
        <w:rPr>
          <w:lang w:val="fr-FR"/>
        </w:rPr>
        <w:tab/>
        <w:t>INF.7 (France)</w:t>
      </w:r>
    </w:p>
    <w:p w14:paraId="257AA81C" w14:textId="6975A904" w:rsidR="00602D50" w:rsidRPr="00602D50" w:rsidRDefault="00B84024" w:rsidP="00602D50">
      <w:pPr>
        <w:spacing w:after="120"/>
        <w:ind w:left="1134" w:right="1134"/>
        <w:jc w:val="both"/>
        <w:rPr>
          <w:lang w:val="fr-FR"/>
        </w:rPr>
      </w:pPr>
      <w:r>
        <w:rPr>
          <w:lang w:val="fr-FR"/>
        </w:rPr>
        <w:t>22</w:t>
      </w:r>
      <w:r w:rsidR="00602D50" w:rsidRPr="00602D50">
        <w:rPr>
          <w:lang w:val="fr-FR"/>
        </w:rPr>
        <w:t>.</w:t>
      </w:r>
      <w:r w:rsidR="00602D50" w:rsidRPr="00602D50">
        <w:rPr>
          <w:lang w:val="fr-FR"/>
        </w:rPr>
        <w:tab/>
        <w:t>Le Comité de sécurité a confirmé que les Parties contractantes peuvent choisir dans la liste des sociétés de classification recommandées sur la base du 1.15.2.3 celles qu'elles acceptent d'agréer, et n'ont pas l'obligation d'agréer l'ensemble de ces sociétés.</w:t>
      </w:r>
    </w:p>
    <w:p w14:paraId="6D900553" w14:textId="311C5C72" w:rsidR="00602D50" w:rsidRPr="00602D50" w:rsidRDefault="00B84024" w:rsidP="00602D50">
      <w:pPr>
        <w:spacing w:after="120"/>
        <w:ind w:left="1134" w:right="1134"/>
        <w:jc w:val="both"/>
        <w:rPr>
          <w:lang w:val="fr-FR"/>
        </w:rPr>
      </w:pPr>
      <w:r>
        <w:rPr>
          <w:lang w:val="fr-FR"/>
        </w:rPr>
        <w:t>23</w:t>
      </w:r>
      <w:r w:rsidR="00602D50" w:rsidRPr="00602D50">
        <w:rPr>
          <w:lang w:val="fr-FR"/>
        </w:rPr>
        <w:t>.</w:t>
      </w:r>
      <w:r w:rsidR="00602D50" w:rsidRPr="00602D50">
        <w:rPr>
          <w:lang w:val="fr-FR"/>
        </w:rPr>
        <w:tab/>
        <w:t xml:space="preserve">Le Comité de sécurité a confirmé que le chapitre 9.2 ne s'applique qu'aux navires de mer. Pour éviter toute confusion, le terme "bateau" lorsqu'il est employé dans ce chapitre, devrait être remplacé par "navire de mer" (voir annexe </w:t>
      </w:r>
      <w:r>
        <w:rPr>
          <w:lang w:val="fr-FR"/>
        </w:rPr>
        <w:t>I</w:t>
      </w:r>
      <w:r w:rsidRPr="00602D50">
        <w:rPr>
          <w:lang w:val="fr-FR"/>
        </w:rPr>
        <w:t xml:space="preserve">). </w:t>
      </w:r>
      <w:r w:rsidR="00602D50" w:rsidRPr="00602D50">
        <w:rPr>
          <w:lang w:val="fr-FR"/>
        </w:rPr>
        <w:t>Le certificat requis au 9.2.0.88.1 doit être délivré par une des sociétés de classification agréées dans le cadre de l'ADN.</w:t>
      </w:r>
    </w:p>
    <w:p w14:paraId="4929221C" w14:textId="77777777" w:rsidR="00602D50" w:rsidRPr="00602D50" w:rsidRDefault="00602D50" w:rsidP="00602D50">
      <w:pPr>
        <w:keepNext/>
        <w:keepLines/>
        <w:tabs>
          <w:tab w:val="right" w:pos="851"/>
        </w:tabs>
        <w:spacing w:before="240" w:after="120" w:line="240" w:lineRule="exact"/>
        <w:ind w:left="1134" w:right="1134" w:hanging="1134"/>
        <w:rPr>
          <w:b/>
          <w:lang w:val="fr-FR"/>
        </w:rPr>
      </w:pPr>
      <w:r w:rsidRPr="00602D50">
        <w:rPr>
          <w:b/>
          <w:lang w:val="fr-FR"/>
        </w:rPr>
        <w:tab/>
        <w:t>8.</w:t>
      </w:r>
      <w:r w:rsidRPr="00602D50">
        <w:rPr>
          <w:b/>
          <w:lang w:val="fr-FR"/>
        </w:rPr>
        <w:tab/>
        <w:t>Mélanges de cargaisons effectuées à bord de bateaux-citernes</w:t>
      </w:r>
    </w:p>
    <w:p w14:paraId="4A0E67CF" w14:textId="77777777" w:rsidR="00602D50" w:rsidRPr="00602D50" w:rsidRDefault="00602D50" w:rsidP="00602D50">
      <w:pPr>
        <w:spacing w:after="120"/>
        <w:ind w:left="1134" w:right="1134"/>
        <w:jc w:val="both"/>
        <w:rPr>
          <w:lang w:val="fr-FR"/>
        </w:rPr>
      </w:pPr>
      <w:r w:rsidRPr="00602D50">
        <w:rPr>
          <w:i/>
          <w:lang w:val="fr-FR"/>
        </w:rPr>
        <w:t>Document informel</w:t>
      </w:r>
      <w:r w:rsidRPr="00602D50">
        <w:rPr>
          <w:lang w:val="fr-FR"/>
        </w:rPr>
        <w:t>:</w:t>
      </w:r>
      <w:r w:rsidRPr="00602D50">
        <w:rPr>
          <w:lang w:val="fr-FR"/>
        </w:rPr>
        <w:tab/>
        <w:t>INF.15 (FETSA)</w:t>
      </w:r>
    </w:p>
    <w:p w14:paraId="25B14FA9" w14:textId="28133FE8" w:rsidR="00602D50" w:rsidRPr="00602D50" w:rsidRDefault="00B84024" w:rsidP="00602D50">
      <w:pPr>
        <w:spacing w:after="120"/>
        <w:ind w:left="1134" w:right="1134"/>
        <w:jc w:val="both"/>
        <w:rPr>
          <w:lang w:val="fr-FR"/>
        </w:rPr>
      </w:pPr>
      <w:r>
        <w:rPr>
          <w:lang w:val="fr-FR"/>
        </w:rPr>
        <w:t>24</w:t>
      </w:r>
      <w:r w:rsidR="00602D50" w:rsidRPr="00602D50">
        <w:rPr>
          <w:lang w:val="fr-FR"/>
        </w:rPr>
        <w:t>.</w:t>
      </w:r>
      <w:r w:rsidR="00602D50" w:rsidRPr="00602D50">
        <w:rPr>
          <w:lang w:val="fr-FR"/>
        </w:rPr>
        <w:tab/>
        <w:t>De manière générale, les représentant de Parties contractantes à l'ADN estimaient que les mélanges effectués à bord de bateaux-citernes en cours de navigation n'étaient pas autorisés dans le cadre de l'ADN, étant donné que l'ADN s'applique au transport d'une marchandise donnée d'un point A au point B sous couvert d'un document de transport fournissant des indications précises sur la matière de la cargaison qu'il n'est pas concevable de modifier en cours de transport.</w:t>
      </w:r>
    </w:p>
    <w:p w14:paraId="1E49C99C" w14:textId="05876D7E" w:rsidR="00602D50" w:rsidRDefault="00B84024" w:rsidP="00602D50">
      <w:pPr>
        <w:pStyle w:val="SingleTxtG"/>
        <w:spacing w:before="120"/>
        <w:rPr>
          <w:lang w:val="fr-FR"/>
        </w:rPr>
      </w:pPr>
      <w:r>
        <w:rPr>
          <w:lang w:val="fr-FR"/>
        </w:rPr>
        <w:t>25</w:t>
      </w:r>
      <w:r w:rsidR="00602D50" w:rsidRPr="00602D50">
        <w:rPr>
          <w:lang w:val="fr-FR"/>
        </w:rPr>
        <w:t>.</w:t>
      </w:r>
      <w:r w:rsidR="00602D50" w:rsidRPr="00602D50">
        <w:rPr>
          <w:lang w:val="fr-FR"/>
        </w:rPr>
        <w:tab/>
        <w:t xml:space="preserve">Le Comité de sécurité a relevé cependant que des opérations de mélange particulières pourraient être admises sous réserve qu'elles soient effectuées à quai avant </w:t>
      </w:r>
      <w:r w:rsidR="00602D50" w:rsidRPr="00602D50">
        <w:rPr>
          <w:lang w:val="fr-FR"/>
        </w:rPr>
        <w:lastRenderedPageBreak/>
        <w:t>l'opération de transport proprement dite. Le représentant de la FETSA a donc été invité à fournir davantage de précisions sur les opérations de mélange envisagées.</w:t>
      </w:r>
    </w:p>
    <w:p w14:paraId="0FC81687" w14:textId="77777777" w:rsidR="00270343" w:rsidRPr="00270343" w:rsidRDefault="00270343" w:rsidP="00270343">
      <w:pPr>
        <w:keepNext/>
        <w:keepLines/>
        <w:tabs>
          <w:tab w:val="right" w:pos="851"/>
        </w:tabs>
        <w:spacing w:before="240" w:after="120" w:line="240" w:lineRule="exact"/>
        <w:ind w:left="1134" w:right="1134" w:hanging="1134"/>
        <w:rPr>
          <w:b/>
          <w:lang w:val="fr-FR"/>
        </w:rPr>
      </w:pPr>
      <w:r w:rsidRPr="00270343">
        <w:rPr>
          <w:b/>
          <w:lang w:val="fr-FR"/>
        </w:rPr>
        <w:tab/>
        <w:t>9.</w:t>
      </w:r>
      <w:r w:rsidRPr="00270343">
        <w:rPr>
          <w:b/>
          <w:lang w:val="fr-FR"/>
        </w:rPr>
        <w:tab/>
        <w:t>Transport du No. ONU 2057 TRIPROPYLÈNE en bateaux-citernes</w:t>
      </w:r>
    </w:p>
    <w:p w14:paraId="0A14FD02" w14:textId="77777777" w:rsidR="00270343" w:rsidRPr="00270343" w:rsidRDefault="00270343" w:rsidP="00270343">
      <w:pPr>
        <w:spacing w:after="120"/>
        <w:ind w:left="1134" w:right="1134"/>
        <w:jc w:val="both"/>
        <w:rPr>
          <w:lang w:val="fr-FR"/>
        </w:rPr>
      </w:pPr>
      <w:r w:rsidRPr="00270343">
        <w:rPr>
          <w:i/>
          <w:lang w:val="fr-FR"/>
        </w:rPr>
        <w:t>Document informel</w:t>
      </w:r>
      <w:r w:rsidRPr="00270343">
        <w:rPr>
          <w:lang w:val="fr-FR"/>
        </w:rPr>
        <w:t>:</w:t>
      </w:r>
      <w:r w:rsidRPr="00270343">
        <w:rPr>
          <w:lang w:val="fr-FR"/>
        </w:rPr>
        <w:tab/>
        <w:t>INF.25 (CEFIC)</w:t>
      </w:r>
    </w:p>
    <w:p w14:paraId="623ADF89" w14:textId="4F25E415" w:rsidR="00270343" w:rsidRPr="00270343" w:rsidRDefault="00B84024" w:rsidP="00270343">
      <w:pPr>
        <w:spacing w:after="120"/>
        <w:ind w:left="1134" w:right="1134"/>
        <w:jc w:val="both"/>
        <w:rPr>
          <w:lang w:val="fr-FR"/>
        </w:rPr>
      </w:pPr>
      <w:r>
        <w:rPr>
          <w:lang w:val="fr-FR"/>
        </w:rPr>
        <w:t>26</w:t>
      </w:r>
      <w:r w:rsidR="00270343" w:rsidRPr="00270343">
        <w:rPr>
          <w:lang w:val="fr-FR"/>
        </w:rPr>
        <w:t>.</w:t>
      </w:r>
      <w:r w:rsidR="00270343" w:rsidRPr="00270343">
        <w:rPr>
          <w:lang w:val="fr-FR"/>
        </w:rPr>
        <w:tab/>
        <w:t xml:space="preserve">Plusieurs délégations ne partageaient pas l'avis du CEFIC que l'on pouvait accepter une modification de la classification d'une matière dans le tableau C sur la base des nouvelles dispositions du 2.1.2.8. En effet, le 2.1.2.8 n'est applicable que s'il est démontré, sur la base d'épreuves, qu'une matière énumérée au tableau A répond aux critères de classification d'une classe supplémentaire non mentionnée au tableau A, ce qui n'était pas le cas en l'occurrence. </w:t>
      </w:r>
      <w:r>
        <w:rPr>
          <w:lang w:val="fr-FR"/>
        </w:rPr>
        <w:t>Le Comité de sécurité a confirmé que, sur la base des informations fournies par le CEFIC, l'indication "N3" dans la colonne (5) du tableau C pour le No. ON</w:t>
      </w:r>
      <w:r w:rsidR="00504BF9">
        <w:rPr>
          <w:lang w:val="fr-FR"/>
        </w:rPr>
        <w:t>U</w:t>
      </w:r>
      <w:r>
        <w:rPr>
          <w:lang w:val="fr-FR"/>
        </w:rPr>
        <w:t xml:space="preserve"> 2057 devrait être remplacé par "N1" et que, en conséquence, un bateau de type C devrait être utilisé pour le transport de cette matière plutôt qu'un bateau de type N. Comme les prescriptions applicables aux bateaux de type C sont plus sévères que celles applicables aux bateaux de type N, il est possible d'utiliser un bateau de type C conformément au 7.2.1.21.5, mais il conviendrait d'initier un accord multilatéral pour permettre d'indiquer "N1" plutôt que "N3" dans le document de transport.</w:t>
      </w:r>
    </w:p>
    <w:p w14:paraId="079E7240" w14:textId="7BABC754" w:rsidR="00270343" w:rsidRPr="00270343" w:rsidRDefault="00B84024" w:rsidP="00270343">
      <w:pPr>
        <w:spacing w:after="120"/>
        <w:ind w:left="1134" w:right="1134"/>
        <w:jc w:val="both"/>
        <w:rPr>
          <w:lang w:val="fr-FR"/>
        </w:rPr>
      </w:pPr>
      <w:r>
        <w:rPr>
          <w:lang w:val="fr-FR"/>
        </w:rPr>
        <w:t>27</w:t>
      </w:r>
      <w:r w:rsidR="00270343" w:rsidRPr="00270343">
        <w:rPr>
          <w:lang w:val="fr-FR"/>
        </w:rPr>
        <w:t>.</w:t>
      </w:r>
      <w:r w:rsidR="00270343" w:rsidRPr="00270343">
        <w:rPr>
          <w:lang w:val="fr-FR"/>
        </w:rPr>
        <w:tab/>
        <w:t>Le représentant du CEFIC a donc été prié de soumettre une proposition officielle d'amendement au tableau C en fournissant les données nécessaires sur les propriétés de la matière qui pourraient justifier une classification différente.</w:t>
      </w:r>
    </w:p>
    <w:p w14:paraId="6491AECE" w14:textId="77777777" w:rsidR="00270343" w:rsidRPr="00270343" w:rsidRDefault="00270343" w:rsidP="00270343">
      <w:pPr>
        <w:keepNext/>
        <w:keepLines/>
        <w:tabs>
          <w:tab w:val="right" w:pos="851"/>
        </w:tabs>
        <w:spacing w:before="360" w:after="240" w:line="270" w:lineRule="exact"/>
        <w:ind w:left="1134" w:right="1134" w:hanging="1134"/>
        <w:rPr>
          <w:b/>
          <w:sz w:val="24"/>
          <w:lang w:val="fr-FR"/>
        </w:rPr>
      </w:pPr>
      <w:r w:rsidRPr="00270343">
        <w:rPr>
          <w:b/>
          <w:sz w:val="24"/>
          <w:lang w:val="fr-FR"/>
        </w:rPr>
        <w:tab/>
        <w:t>D.</w:t>
      </w:r>
      <w:r w:rsidRPr="00270343">
        <w:rPr>
          <w:b/>
          <w:sz w:val="24"/>
          <w:lang w:val="fr-FR"/>
        </w:rPr>
        <w:tab/>
        <w:t>Formation des experts</w:t>
      </w:r>
    </w:p>
    <w:p w14:paraId="43EBFF75" w14:textId="77777777" w:rsidR="00270343" w:rsidRPr="00270343" w:rsidRDefault="00270343" w:rsidP="00270343">
      <w:pPr>
        <w:keepNext/>
        <w:keepLines/>
        <w:tabs>
          <w:tab w:val="right" w:pos="851"/>
        </w:tabs>
        <w:spacing w:before="240" w:after="120" w:line="240" w:lineRule="exact"/>
        <w:ind w:left="1134" w:right="1134" w:hanging="1134"/>
        <w:rPr>
          <w:b/>
          <w:lang w:val="fr-FR"/>
        </w:rPr>
      </w:pPr>
      <w:r w:rsidRPr="00270343">
        <w:rPr>
          <w:b/>
          <w:lang w:val="fr-FR"/>
        </w:rPr>
        <w:tab/>
        <w:t>1.</w:t>
      </w:r>
      <w:r w:rsidRPr="00270343">
        <w:rPr>
          <w:b/>
          <w:lang w:val="fr-FR"/>
        </w:rPr>
        <w:tab/>
        <w:t>Rapport du Groupe de travail informel sur la formation des experts sur sa seizième session</w:t>
      </w:r>
    </w:p>
    <w:p w14:paraId="4FB4178D" w14:textId="77777777" w:rsidR="00270343" w:rsidRPr="00270343" w:rsidRDefault="00270343" w:rsidP="00270343">
      <w:pPr>
        <w:ind w:left="1134" w:right="1134"/>
        <w:jc w:val="both"/>
        <w:rPr>
          <w:lang w:val="fr-FR"/>
        </w:rPr>
      </w:pPr>
      <w:r w:rsidRPr="00270343">
        <w:rPr>
          <w:i/>
          <w:lang w:val="fr-FR"/>
        </w:rPr>
        <w:t>Document</w:t>
      </w:r>
      <w:r w:rsidRPr="00270343">
        <w:rPr>
          <w:lang w:val="fr-FR"/>
        </w:rPr>
        <w:t>:</w:t>
      </w:r>
      <w:r w:rsidRPr="00270343">
        <w:rPr>
          <w:lang w:val="fr-FR"/>
        </w:rPr>
        <w:tab/>
      </w:r>
      <w:r w:rsidRPr="00270343">
        <w:rPr>
          <w:lang w:val="fr-FR"/>
        </w:rPr>
        <w:tab/>
        <w:t>ECE/TRANS/WP.15/AC.2/2017/4 (CCNR)</w:t>
      </w:r>
    </w:p>
    <w:p w14:paraId="4AF85337" w14:textId="080AC938" w:rsidR="00270343" w:rsidRPr="00270343" w:rsidRDefault="00270343" w:rsidP="00270343">
      <w:pPr>
        <w:spacing w:after="120"/>
        <w:ind w:left="1134" w:right="1134"/>
        <w:jc w:val="both"/>
        <w:rPr>
          <w:lang w:val="fr-FR"/>
        </w:rPr>
      </w:pPr>
      <w:r w:rsidRPr="00270343">
        <w:rPr>
          <w:i/>
          <w:lang w:val="fr-FR"/>
        </w:rPr>
        <w:t>Document informel</w:t>
      </w:r>
      <w:r w:rsidRPr="00270343">
        <w:rPr>
          <w:lang w:val="fr-FR"/>
        </w:rPr>
        <w:t>:</w:t>
      </w:r>
      <w:r w:rsidRPr="00270343">
        <w:rPr>
          <w:lang w:val="fr-FR"/>
        </w:rPr>
        <w:tab/>
        <w:t xml:space="preserve">INF.19 (UENF, </w:t>
      </w:r>
      <w:r w:rsidR="00B84024" w:rsidRPr="00270343">
        <w:rPr>
          <w:lang w:val="fr-FR"/>
        </w:rPr>
        <w:t>O</w:t>
      </w:r>
      <w:r w:rsidR="00B84024">
        <w:rPr>
          <w:lang w:val="fr-FR"/>
        </w:rPr>
        <w:t>EB</w:t>
      </w:r>
      <w:r w:rsidR="00B84024" w:rsidRPr="00270343">
        <w:rPr>
          <w:lang w:val="fr-FR"/>
        </w:rPr>
        <w:t xml:space="preserve"> </w:t>
      </w:r>
      <w:r w:rsidRPr="00270343">
        <w:rPr>
          <w:lang w:val="fr-FR"/>
        </w:rPr>
        <w:t>et ERSTU)</w:t>
      </w:r>
    </w:p>
    <w:p w14:paraId="339D3A66" w14:textId="20D62BCF" w:rsidR="00270343" w:rsidRPr="00270343" w:rsidRDefault="00504BF9" w:rsidP="00270343">
      <w:pPr>
        <w:spacing w:after="120"/>
        <w:ind w:left="1134" w:right="1134"/>
        <w:jc w:val="both"/>
        <w:rPr>
          <w:lang w:val="fr-FR"/>
        </w:rPr>
      </w:pPr>
      <w:r w:rsidRPr="00270343">
        <w:rPr>
          <w:lang w:val="fr-FR"/>
        </w:rPr>
        <w:t>2</w:t>
      </w:r>
      <w:r>
        <w:rPr>
          <w:lang w:val="fr-FR"/>
        </w:rPr>
        <w:t>8</w:t>
      </w:r>
      <w:r w:rsidR="00270343" w:rsidRPr="00270343">
        <w:rPr>
          <w:lang w:val="fr-FR"/>
        </w:rPr>
        <w:t>.</w:t>
      </w:r>
      <w:r w:rsidR="00270343" w:rsidRPr="00270343">
        <w:rPr>
          <w:lang w:val="fr-FR"/>
        </w:rPr>
        <w:tab/>
        <w:t>Le Comité de sécurité a examiné en détail les conclusions du Groupe de travail et les a approuvées sous réserve de ce qui suit.</w:t>
      </w:r>
    </w:p>
    <w:p w14:paraId="31D63798" w14:textId="72E8F1E3" w:rsidR="00270343" w:rsidRPr="00270343" w:rsidRDefault="00504BF9" w:rsidP="00270343">
      <w:pPr>
        <w:spacing w:after="120"/>
        <w:ind w:left="1134" w:right="1134"/>
        <w:jc w:val="both"/>
        <w:rPr>
          <w:lang w:val="fr-FR"/>
        </w:rPr>
      </w:pPr>
      <w:r w:rsidRPr="00270343">
        <w:rPr>
          <w:lang w:val="fr-FR"/>
        </w:rPr>
        <w:t>2</w:t>
      </w:r>
      <w:r>
        <w:rPr>
          <w:lang w:val="fr-FR"/>
        </w:rPr>
        <w:t>9</w:t>
      </w:r>
      <w:r w:rsidR="00270343" w:rsidRPr="00270343">
        <w:rPr>
          <w:lang w:val="fr-FR"/>
        </w:rPr>
        <w:t>.</w:t>
      </w:r>
      <w:r w:rsidR="00270343" w:rsidRPr="00270343">
        <w:rPr>
          <w:lang w:val="fr-FR"/>
        </w:rPr>
        <w:tab/>
        <w:t>Pour le paragraphe 3 b), le Comité de sécurité a décidé que le terme «conteneur à parois métalliques pleines» au paragraphe 7.1.4.4.2 doit être remplacé par «conteneur fermé» compte tenu de la définition figurant au 1.2.1 (voir annexe</w:t>
      </w:r>
      <w:r>
        <w:rPr>
          <w:lang w:val="fr-FR"/>
        </w:rPr>
        <w:t>II</w:t>
      </w:r>
      <w:r w:rsidRPr="00270343">
        <w:rPr>
          <w:lang w:val="fr-FR"/>
        </w:rPr>
        <w:t>).</w:t>
      </w:r>
    </w:p>
    <w:p w14:paraId="021F8236" w14:textId="6D948441" w:rsidR="00270343" w:rsidRPr="00270343" w:rsidRDefault="00504BF9" w:rsidP="00270343">
      <w:pPr>
        <w:spacing w:after="120"/>
        <w:ind w:left="1134" w:right="1134"/>
        <w:jc w:val="both"/>
        <w:rPr>
          <w:lang w:val="fr-FR"/>
        </w:rPr>
      </w:pPr>
      <w:r>
        <w:rPr>
          <w:lang w:val="fr-FR"/>
        </w:rPr>
        <w:t>30</w:t>
      </w:r>
      <w:r w:rsidR="00270343" w:rsidRPr="00270343">
        <w:rPr>
          <w:lang w:val="fr-FR"/>
        </w:rPr>
        <w:t>.</w:t>
      </w:r>
      <w:r w:rsidR="00270343" w:rsidRPr="00270343">
        <w:rPr>
          <w:lang w:val="fr-FR"/>
        </w:rPr>
        <w:tab/>
        <w:t>Pour le paragraphe 3 c), la question de l'interprétation des dispositions spéciales pour conteneurs souples de produits en vrac selon le 7.1.4.4.3 devra être examinée à la prochaine session sur la base d'un document que préparera le secrétariat de la CCNR.</w:t>
      </w:r>
    </w:p>
    <w:p w14:paraId="0DD309BE" w14:textId="795F20C7" w:rsidR="00270343" w:rsidRPr="00270343" w:rsidRDefault="00504BF9" w:rsidP="00270343">
      <w:pPr>
        <w:spacing w:after="120"/>
        <w:ind w:left="1134" w:right="1134"/>
        <w:jc w:val="both"/>
        <w:rPr>
          <w:lang w:val="fr-FR"/>
        </w:rPr>
      </w:pPr>
      <w:r>
        <w:rPr>
          <w:lang w:val="fr-FR"/>
        </w:rPr>
        <w:t>31</w:t>
      </w:r>
      <w:r w:rsidR="00270343" w:rsidRPr="00270343">
        <w:rPr>
          <w:lang w:val="fr-FR"/>
        </w:rPr>
        <w:t>.</w:t>
      </w:r>
      <w:r w:rsidR="00270343" w:rsidRPr="00270343">
        <w:rPr>
          <w:lang w:val="fr-FR"/>
        </w:rPr>
        <w:tab/>
        <w:t xml:space="preserve">Pour les paragraphes 11 et 15, le Comité de sécurité a pris note des remarques de l'UENF, </w:t>
      </w:r>
      <w:r>
        <w:rPr>
          <w:lang w:val="fr-FR"/>
        </w:rPr>
        <w:t>OEB</w:t>
      </w:r>
      <w:r w:rsidRPr="00270343">
        <w:rPr>
          <w:lang w:val="fr-FR"/>
        </w:rPr>
        <w:t xml:space="preserve"> </w:t>
      </w:r>
      <w:r w:rsidR="00270343" w:rsidRPr="00270343">
        <w:rPr>
          <w:lang w:val="fr-FR"/>
        </w:rPr>
        <w:t>et ERSTU dans le document informel INF.19, notamment qu'en pratique les manomètres sur beaucoup de bateaux sont gradués en bars et non en kPa. Toutefois les représentants des Parties contractantes considèrent que des manomètres sont également gradués en kPa, que les informations à porter dans les certificats d'agrément et listes de contrôle sont demandées en kPa et non pas en bars, et que les experts à bord des bateaux doivent être à même de faire les conversions de manière appropriée. Le Comité de sécurité a donc confirmé le principe de renoncer à l'indication de la surpression en bars entre parenthèses dans le catalogue de questions, et de convertir dans les questions de fond les bars en kPa dans le cadre de la prochaine révision.</w:t>
      </w:r>
    </w:p>
    <w:p w14:paraId="7429735F" w14:textId="51797797" w:rsidR="00270343" w:rsidRPr="00270343" w:rsidRDefault="00504BF9" w:rsidP="00270343">
      <w:pPr>
        <w:spacing w:after="120"/>
        <w:ind w:left="1134" w:right="1134"/>
        <w:jc w:val="both"/>
        <w:rPr>
          <w:lang w:val="fr-FR"/>
        </w:rPr>
      </w:pPr>
      <w:r>
        <w:rPr>
          <w:lang w:val="fr-FR"/>
        </w:rPr>
        <w:lastRenderedPageBreak/>
        <w:t>32</w:t>
      </w:r>
      <w:r w:rsidR="00270343" w:rsidRPr="00270343">
        <w:rPr>
          <w:lang w:val="fr-FR"/>
        </w:rPr>
        <w:t>.</w:t>
      </w:r>
      <w:r w:rsidR="00270343" w:rsidRPr="00270343">
        <w:rPr>
          <w:lang w:val="fr-FR"/>
        </w:rPr>
        <w:tab/>
        <w:t>Pour le paragraphe 14 b), la question relative à l'exigence d'une possibilité de chauffage de la cargaison pour le No. ONU 1307 devra être étudiée par le Groupe de travail informel sur les matières.</w:t>
      </w:r>
    </w:p>
    <w:p w14:paraId="753C00F0" w14:textId="3BEDBB17" w:rsidR="00270343" w:rsidRPr="00270343" w:rsidRDefault="00504BF9" w:rsidP="00270343">
      <w:pPr>
        <w:spacing w:after="120"/>
        <w:ind w:left="1134" w:right="1134"/>
        <w:jc w:val="both"/>
        <w:rPr>
          <w:lang w:val="fr-FR"/>
        </w:rPr>
      </w:pPr>
      <w:r>
        <w:rPr>
          <w:lang w:val="fr-FR"/>
        </w:rPr>
        <w:t>33</w:t>
      </w:r>
      <w:r w:rsidR="00270343" w:rsidRPr="00270343">
        <w:rPr>
          <w:lang w:val="fr-FR"/>
        </w:rPr>
        <w:t>.</w:t>
      </w:r>
      <w:r w:rsidR="00270343" w:rsidRPr="00270343">
        <w:rPr>
          <w:lang w:val="fr-FR"/>
        </w:rPr>
        <w:tab/>
        <w:t>Pour le paragraphe 18, le Comité de sécurité a noté que le Gouvernement de l'Allemagne présentera une proposition sur la forme de l'attestation d'expert au sens du 8.2 à la prochaine session.</w:t>
      </w:r>
    </w:p>
    <w:p w14:paraId="19FCFA17" w14:textId="77777777" w:rsidR="00270343" w:rsidRPr="00270343" w:rsidRDefault="00270343" w:rsidP="00270343">
      <w:pPr>
        <w:keepNext/>
        <w:keepLines/>
        <w:tabs>
          <w:tab w:val="right" w:pos="851"/>
        </w:tabs>
        <w:spacing w:before="240" w:after="120" w:line="240" w:lineRule="exact"/>
        <w:ind w:left="1134" w:right="1134" w:hanging="1134"/>
        <w:rPr>
          <w:b/>
          <w:lang w:val="fr-FR"/>
        </w:rPr>
      </w:pPr>
      <w:r w:rsidRPr="00270343">
        <w:rPr>
          <w:b/>
          <w:lang w:val="fr-FR"/>
        </w:rPr>
        <w:tab/>
        <w:t>2.</w:t>
      </w:r>
      <w:r w:rsidRPr="00270343">
        <w:rPr>
          <w:b/>
          <w:lang w:val="fr-FR"/>
        </w:rPr>
        <w:tab/>
        <w:t>Directive du Comité d'administration pour l'utilisation du catalogue de questions pour l'examen d'expert ADN</w:t>
      </w:r>
    </w:p>
    <w:p w14:paraId="1913046C" w14:textId="77777777" w:rsidR="00270343" w:rsidRPr="00270343" w:rsidRDefault="00270343" w:rsidP="00270343">
      <w:pPr>
        <w:spacing w:after="120"/>
        <w:ind w:left="1134" w:right="1134"/>
        <w:jc w:val="both"/>
        <w:rPr>
          <w:lang w:val="fr-FR"/>
        </w:rPr>
      </w:pPr>
      <w:r w:rsidRPr="00270343">
        <w:rPr>
          <w:i/>
          <w:lang w:val="fr-FR"/>
        </w:rPr>
        <w:t>Document</w:t>
      </w:r>
      <w:r w:rsidRPr="00270343">
        <w:rPr>
          <w:lang w:val="fr-FR"/>
        </w:rPr>
        <w:t>:</w:t>
      </w:r>
      <w:r w:rsidRPr="00270343">
        <w:rPr>
          <w:lang w:val="fr-FR"/>
        </w:rPr>
        <w:tab/>
      </w:r>
      <w:r w:rsidRPr="00270343">
        <w:rPr>
          <w:lang w:val="fr-FR"/>
        </w:rPr>
        <w:tab/>
        <w:t>ECE/TRANS/WP.15/AC.2/2017/7/Rev.1 (CCNR)</w:t>
      </w:r>
    </w:p>
    <w:p w14:paraId="099D6254" w14:textId="2A2F3607" w:rsidR="00270343" w:rsidRDefault="00504BF9" w:rsidP="00270343">
      <w:pPr>
        <w:pStyle w:val="SingleTxtG"/>
        <w:spacing w:before="120"/>
        <w:rPr>
          <w:lang w:val="fr-FR"/>
        </w:rPr>
      </w:pPr>
      <w:r>
        <w:rPr>
          <w:lang w:val="fr-FR"/>
        </w:rPr>
        <w:t>34</w:t>
      </w:r>
      <w:r w:rsidR="00270343" w:rsidRPr="00270343">
        <w:rPr>
          <w:lang w:val="fr-FR"/>
        </w:rPr>
        <w:t>.</w:t>
      </w:r>
      <w:r w:rsidR="00270343" w:rsidRPr="00270343">
        <w:rPr>
          <w:lang w:val="fr-FR"/>
        </w:rPr>
        <w:tab/>
        <w:t>Le Comité de sécurité a adopté le projet de directive révisée qui devra être soumise au Comité d'administration pour approbation.</w:t>
      </w:r>
    </w:p>
    <w:p w14:paraId="75D1E1BE" w14:textId="703867C2" w:rsidR="00270343" w:rsidRPr="00270343" w:rsidRDefault="00504BF9" w:rsidP="00270343">
      <w:pPr>
        <w:spacing w:after="120"/>
        <w:ind w:left="1134" w:right="1134"/>
        <w:jc w:val="both"/>
        <w:rPr>
          <w:lang w:val="fr-FR"/>
        </w:rPr>
      </w:pPr>
      <w:r>
        <w:rPr>
          <w:lang w:val="fr-FR"/>
        </w:rPr>
        <w:t>35</w:t>
      </w:r>
      <w:r w:rsidR="00270343" w:rsidRPr="00270343">
        <w:rPr>
          <w:lang w:val="fr-FR"/>
        </w:rPr>
        <w:t>.</w:t>
      </w:r>
      <w:r w:rsidR="00270343" w:rsidRPr="00270343">
        <w:rPr>
          <w:lang w:val="fr-FR"/>
        </w:rPr>
        <w:tab/>
        <w:t>Il a été rappelé au cours des discussions que le 8.2.2.7.1.7 permet d'effectuer les examens écrits sous forme électronique. Le Comité de sécurité a prié le Groupe de travail informel sur la formation des experts d'évaluer la pertinence des procédures de la directive du Comité d'administration dans le cadre des examens électroniques ainsi que celle du catalogue de questions dans ce contexte.</w:t>
      </w:r>
    </w:p>
    <w:p w14:paraId="0FCE1CD4" w14:textId="77777777" w:rsidR="00270343" w:rsidRPr="00270343" w:rsidRDefault="00270343" w:rsidP="00270343">
      <w:pPr>
        <w:keepNext/>
        <w:keepLines/>
        <w:tabs>
          <w:tab w:val="right" w:pos="851"/>
        </w:tabs>
        <w:spacing w:before="240" w:after="120" w:line="240" w:lineRule="exact"/>
        <w:ind w:left="1134" w:right="1134" w:hanging="1134"/>
        <w:rPr>
          <w:b/>
          <w:lang w:val="fr-FR"/>
        </w:rPr>
      </w:pPr>
      <w:r w:rsidRPr="00270343">
        <w:rPr>
          <w:b/>
          <w:lang w:val="fr-FR"/>
        </w:rPr>
        <w:tab/>
        <w:t>3.</w:t>
      </w:r>
      <w:r w:rsidRPr="00270343">
        <w:rPr>
          <w:b/>
          <w:lang w:val="fr-FR"/>
        </w:rPr>
        <w:tab/>
        <w:t>Catalogue de questions</w:t>
      </w:r>
    </w:p>
    <w:p w14:paraId="7134AC95" w14:textId="77777777" w:rsidR="00270343" w:rsidRPr="00270343" w:rsidRDefault="00270343" w:rsidP="00270343">
      <w:pPr>
        <w:ind w:left="1134" w:right="1134"/>
        <w:jc w:val="both"/>
        <w:rPr>
          <w:lang w:val="fr-FR"/>
        </w:rPr>
      </w:pPr>
      <w:r w:rsidRPr="00270343">
        <w:rPr>
          <w:i/>
          <w:lang w:val="fr-FR"/>
        </w:rPr>
        <w:t>Documents</w:t>
      </w:r>
      <w:r w:rsidRPr="00270343">
        <w:rPr>
          <w:lang w:val="fr-FR"/>
        </w:rPr>
        <w:t>:</w:t>
      </w:r>
      <w:r w:rsidRPr="00270343">
        <w:rPr>
          <w:lang w:val="fr-FR"/>
        </w:rPr>
        <w:tab/>
      </w:r>
      <w:r w:rsidRPr="00270343">
        <w:rPr>
          <w:lang w:val="fr-FR"/>
        </w:rPr>
        <w:tab/>
      </w:r>
      <w:r w:rsidRPr="00270343">
        <w:rPr>
          <w:lang w:val="fr-FR"/>
        </w:rPr>
        <w:tab/>
        <w:t xml:space="preserve">ECE/TRANS/WP.15/AC.2/2017/1 et Corr.1 (CCNR) </w:t>
      </w:r>
    </w:p>
    <w:p w14:paraId="0CCDB97B" w14:textId="77777777" w:rsidR="00270343" w:rsidRPr="00270343" w:rsidRDefault="00270343" w:rsidP="00270343">
      <w:pPr>
        <w:ind w:left="1134" w:right="1134"/>
        <w:jc w:val="both"/>
      </w:pPr>
      <w:r w:rsidRPr="00270343">
        <w:rPr>
          <w:i/>
          <w:lang w:val="fr-FR"/>
        </w:rPr>
        <w:tab/>
      </w:r>
      <w:r w:rsidRPr="00270343">
        <w:rPr>
          <w:i/>
          <w:lang w:val="fr-FR"/>
        </w:rPr>
        <w:tab/>
      </w:r>
      <w:r w:rsidRPr="00270343">
        <w:rPr>
          <w:i/>
          <w:lang w:val="fr-FR"/>
        </w:rPr>
        <w:tab/>
      </w:r>
      <w:r w:rsidRPr="00270343">
        <w:rPr>
          <w:i/>
          <w:lang w:val="fr-FR"/>
        </w:rPr>
        <w:tab/>
      </w:r>
      <w:r w:rsidRPr="00270343">
        <w:t>ECE/TRANS/WP.15/AC.2/2017/2 (CCNR)</w:t>
      </w:r>
    </w:p>
    <w:p w14:paraId="4B516625" w14:textId="77777777" w:rsidR="00270343" w:rsidRPr="00270343" w:rsidRDefault="00270343" w:rsidP="00270343">
      <w:pPr>
        <w:ind w:left="1134" w:right="1134"/>
        <w:jc w:val="both"/>
      </w:pPr>
      <w:r w:rsidRPr="00270343">
        <w:rPr>
          <w:i/>
        </w:rPr>
        <w:tab/>
      </w:r>
      <w:r w:rsidRPr="00270343">
        <w:rPr>
          <w:i/>
        </w:rPr>
        <w:tab/>
      </w:r>
      <w:r w:rsidRPr="00270343">
        <w:rPr>
          <w:i/>
        </w:rPr>
        <w:tab/>
      </w:r>
      <w:r w:rsidRPr="00270343">
        <w:rPr>
          <w:i/>
        </w:rPr>
        <w:tab/>
      </w:r>
      <w:r w:rsidRPr="00270343">
        <w:t>ECE/TRANS/WP.15/AC.2/2017/3 (CCNR)</w:t>
      </w:r>
    </w:p>
    <w:p w14:paraId="0CC877B4" w14:textId="77777777" w:rsidR="00270343" w:rsidRPr="00270343" w:rsidRDefault="00270343" w:rsidP="00270343">
      <w:pPr>
        <w:spacing w:after="120"/>
        <w:ind w:left="1134" w:right="1134"/>
        <w:jc w:val="both"/>
        <w:rPr>
          <w:lang w:val="fr-CH"/>
        </w:rPr>
      </w:pPr>
      <w:r w:rsidRPr="00270343">
        <w:rPr>
          <w:i/>
          <w:lang w:val="fr-FR"/>
        </w:rPr>
        <w:t>Documents informels</w:t>
      </w:r>
      <w:r w:rsidRPr="00270343">
        <w:rPr>
          <w:lang w:val="fr-FR"/>
        </w:rPr>
        <w:t>:</w:t>
      </w:r>
      <w:r w:rsidRPr="00270343">
        <w:rPr>
          <w:lang w:val="fr-FR"/>
        </w:rPr>
        <w:tab/>
        <w:t>INF.10, INF.14 et INF.16 (CCNR)</w:t>
      </w:r>
    </w:p>
    <w:p w14:paraId="01A4FB34" w14:textId="3EF166AD" w:rsidR="00270343" w:rsidRPr="00270343" w:rsidRDefault="00504BF9" w:rsidP="00270343">
      <w:pPr>
        <w:spacing w:after="120"/>
        <w:ind w:left="1134" w:right="1134"/>
        <w:jc w:val="both"/>
        <w:rPr>
          <w:lang w:val="fr-CH"/>
        </w:rPr>
      </w:pPr>
      <w:r>
        <w:rPr>
          <w:lang w:val="fr-CH"/>
        </w:rPr>
        <w:t>36</w:t>
      </w:r>
      <w:r w:rsidR="00270343" w:rsidRPr="00270343">
        <w:rPr>
          <w:lang w:val="fr-CH"/>
        </w:rPr>
        <w:t>.</w:t>
      </w:r>
      <w:r w:rsidR="00270343" w:rsidRPr="00270343">
        <w:rPr>
          <w:lang w:val="fr-CH"/>
        </w:rPr>
        <w:tab/>
        <w:t>Le Comité de sécurité s'est félicité du travail de mise à jour du catalogue de questions effectuée par le Groupe de travail informel sur la formation des experts et a recommandé au Comité d'administration d'approuver le catalogue révisé.</w:t>
      </w:r>
    </w:p>
    <w:p w14:paraId="31459FF5" w14:textId="77777777" w:rsidR="00270343" w:rsidRPr="00270343" w:rsidRDefault="00270343" w:rsidP="00270343">
      <w:pPr>
        <w:keepNext/>
        <w:keepLines/>
        <w:tabs>
          <w:tab w:val="right" w:pos="851"/>
        </w:tabs>
        <w:spacing w:before="240" w:after="120" w:line="240" w:lineRule="exact"/>
        <w:ind w:left="1134" w:right="1134" w:hanging="1134"/>
        <w:rPr>
          <w:b/>
          <w:lang w:val="fr-CH"/>
        </w:rPr>
      </w:pPr>
      <w:r w:rsidRPr="00270343">
        <w:rPr>
          <w:b/>
          <w:lang w:val="fr-CH"/>
        </w:rPr>
        <w:tab/>
        <w:t>4.</w:t>
      </w:r>
      <w:r w:rsidRPr="00270343">
        <w:rPr>
          <w:b/>
          <w:lang w:val="fr-CH"/>
        </w:rPr>
        <w:tab/>
        <w:t>Programme de travail du Groupe de travail informel sur la formation des experts</w:t>
      </w:r>
    </w:p>
    <w:p w14:paraId="571637F8" w14:textId="77777777" w:rsidR="00270343" w:rsidRPr="00270343" w:rsidRDefault="00270343" w:rsidP="00270343">
      <w:pPr>
        <w:spacing w:after="120"/>
        <w:ind w:left="1134" w:right="1134"/>
        <w:jc w:val="both"/>
        <w:rPr>
          <w:lang w:val="fr-CH"/>
        </w:rPr>
      </w:pPr>
      <w:r w:rsidRPr="00270343">
        <w:rPr>
          <w:i/>
          <w:lang w:val="fr-FR"/>
        </w:rPr>
        <w:t>Document</w:t>
      </w:r>
      <w:r w:rsidRPr="00270343">
        <w:rPr>
          <w:lang w:val="fr-FR"/>
        </w:rPr>
        <w:t>:</w:t>
      </w:r>
      <w:r w:rsidRPr="00270343">
        <w:rPr>
          <w:lang w:val="fr-FR"/>
        </w:rPr>
        <w:tab/>
      </w:r>
      <w:r w:rsidRPr="00270343">
        <w:rPr>
          <w:lang w:val="fr-FR"/>
        </w:rPr>
        <w:tab/>
      </w:r>
      <w:r w:rsidRPr="00270343">
        <w:rPr>
          <w:lang w:val="fr-FR"/>
        </w:rPr>
        <w:tab/>
        <w:t>ECE/TRANS/WP.15/AC.2/2017/8 (CCNR)</w:t>
      </w:r>
    </w:p>
    <w:p w14:paraId="0A6E12C1" w14:textId="779AB40E" w:rsidR="00270343" w:rsidRPr="00270343" w:rsidRDefault="00504BF9" w:rsidP="00270343">
      <w:pPr>
        <w:spacing w:after="120"/>
        <w:ind w:left="1134" w:right="1134"/>
        <w:jc w:val="both"/>
        <w:rPr>
          <w:lang w:val="fr-CH"/>
        </w:rPr>
      </w:pPr>
      <w:r>
        <w:rPr>
          <w:lang w:val="fr-CH"/>
        </w:rPr>
        <w:t>37</w:t>
      </w:r>
      <w:r w:rsidR="00270343" w:rsidRPr="00270343">
        <w:rPr>
          <w:lang w:val="fr-CH"/>
        </w:rPr>
        <w:t>.</w:t>
      </w:r>
      <w:r w:rsidR="00270343" w:rsidRPr="00270343">
        <w:rPr>
          <w:lang w:val="fr-CH"/>
        </w:rPr>
        <w:tab/>
        <w:t xml:space="preserve">Le Comité </w:t>
      </w:r>
      <w:r>
        <w:rPr>
          <w:lang w:val="fr-CH"/>
        </w:rPr>
        <w:t>de sécurité</w:t>
      </w:r>
      <w:r w:rsidRPr="00270343">
        <w:rPr>
          <w:lang w:val="fr-CH"/>
        </w:rPr>
        <w:t xml:space="preserve"> </w:t>
      </w:r>
      <w:r w:rsidR="00270343" w:rsidRPr="00270343">
        <w:rPr>
          <w:lang w:val="fr-CH"/>
        </w:rPr>
        <w:t>a approuvé l'actualisation du calendrier de travail du groupe.</w:t>
      </w:r>
    </w:p>
    <w:p w14:paraId="3BD23641" w14:textId="77777777" w:rsidR="00270343" w:rsidRPr="00270343" w:rsidRDefault="00270343" w:rsidP="00270343">
      <w:pPr>
        <w:keepNext/>
        <w:keepLines/>
        <w:tabs>
          <w:tab w:val="right" w:pos="851"/>
        </w:tabs>
        <w:spacing w:before="240" w:after="120" w:line="240" w:lineRule="exact"/>
        <w:ind w:left="1134" w:right="1134" w:hanging="1134"/>
        <w:rPr>
          <w:b/>
          <w:lang w:val="fr-CH"/>
        </w:rPr>
      </w:pPr>
      <w:r w:rsidRPr="00270343">
        <w:rPr>
          <w:b/>
          <w:lang w:val="fr-CH"/>
        </w:rPr>
        <w:tab/>
        <w:t>5.</w:t>
      </w:r>
      <w:r w:rsidRPr="00270343">
        <w:rPr>
          <w:b/>
          <w:lang w:val="fr-CH"/>
        </w:rPr>
        <w:tab/>
        <w:t>Catalogue de questions pour la formation des conseillers à la sécurité</w:t>
      </w:r>
    </w:p>
    <w:p w14:paraId="0A7821AD" w14:textId="77777777" w:rsidR="00270343" w:rsidRPr="00270343" w:rsidRDefault="00270343" w:rsidP="00270343">
      <w:pPr>
        <w:spacing w:after="120"/>
        <w:ind w:left="1134" w:right="1134"/>
        <w:jc w:val="both"/>
        <w:rPr>
          <w:lang w:val="fr-FR"/>
        </w:rPr>
      </w:pPr>
      <w:r w:rsidRPr="00270343">
        <w:rPr>
          <w:i/>
          <w:lang w:val="fr-FR"/>
        </w:rPr>
        <w:t>Document</w:t>
      </w:r>
      <w:r w:rsidRPr="00270343">
        <w:rPr>
          <w:lang w:val="fr-FR"/>
        </w:rPr>
        <w:t>:</w:t>
      </w:r>
      <w:r w:rsidRPr="00270343">
        <w:rPr>
          <w:lang w:val="fr-FR"/>
        </w:rPr>
        <w:tab/>
      </w:r>
      <w:r w:rsidRPr="00270343">
        <w:rPr>
          <w:lang w:val="fr-FR"/>
        </w:rPr>
        <w:tab/>
      </w:r>
      <w:r w:rsidRPr="00270343">
        <w:rPr>
          <w:lang w:val="fr-FR"/>
        </w:rPr>
        <w:tab/>
        <w:t>ECE/TRANS/WP.15/AC.2/2017/14 (Commission du Danube)</w:t>
      </w:r>
    </w:p>
    <w:p w14:paraId="3DB096F4" w14:textId="04FA71C1" w:rsidR="00270343" w:rsidRPr="00270343" w:rsidRDefault="00504BF9" w:rsidP="00270343">
      <w:pPr>
        <w:spacing w:after="120"/>
        <w:ind w:left="1134" w:right="1134"/>
        <w:jc w:val="both"/>
        <w:rPr>
          <w:lang w:val="fr-CH"/>
        </w:rPr>
      </w:pPr>
      <w:r>
        <w:rPr>
          <w:lang w:val="fr-CH"/>
        </w:rPr>
        <w:t>38</w:t>
      </w:r>
      <w:r w:rsidR="00270343" w:rsidRPr="00270343">
        <w:rPr>
          <w:lang w:val="fr-CH"/>
        </w:rPr>
        <w:t>.</w:t>
      </w:r>
      <w:r w:rsidR="00270343" w:rsidRPr="00270343">
        <w:rPr>
          <w:lang w:val="fr-CH"/>
        </w:rPr>
        <w:tab/>
        <w:t>Le Comité de sécurité a noté avec intérêt le souhait de la Commission du Danube de contribuer aux travaux sur l'ADN en élaborant un guide contenant des questions et des exercices pratiques destinés à la formation des conseillers à la sécurité. A terme, toutes les Parties contractantes à l'ADN seraient tenues d'utiliser ce guide.</w:t>
      </w:r>
    </w:p>
    <w:p w14:paraId="3A9BF5D1" w14:textId="16EAA58C" w:rsidR="00270343" w:rsidRPr="00270343" w:rsidRDefault="00504BF9" w:rsidP="00270343">
      <w:pPr>
        <w:spacing w:after="120"/>
        <w:ind w:left="1134" w:right="1134"/>
        <w:jc w:val="both"/>
        <w:rPr>
          <w:lang w:val="fr-CH"/>
        </w:rPr>
      </w:pPr>
      <w:r>
        <w:rPr>
          <w:lang w:val="fr-CH"/>
        </w:rPr>
        <w:t>39</w:t>
      </w:r>
      <w:r w:rsidR="00270343" w:rsidRPr="00270343">
        <w:rPr>
          <w:lang w:val="fr-CH"/>
        </w:rPr>
        <w:t>.</w:t>
      </w:r>
      <w:r w:rsidR="00270343" w:rsidRPr="00270343">
        <w:rPr>
          <w:lang w:val="fr-CH"/>
        </w:rPr>
        <w:tab/>
        <w:t>Certaines délégations ont appuyé cette initiative. D'autres délégations ont indiqué qu'elles n'étaient pas opposées à ce que des travaux soient effectuées à ce sujet, mais ont exprimé des réserves quant à leur finalité par les raisons suivantes:</w:t>
      </w:r>
    </w:p>
    <w:p w14:paraId="0C323157" w14:textId="61CD0479" w:rsidR="00270343" w:rsidRPr="00270343" w:rsidRDefault="00270343" w:rsidP="00270343">
      <w:pPr>
        <w:spacing w:after="120"/>
        <w:ind w:left="1134" w:right="1134" w:firstLine="567"/>
        <w:jc w:val="both"/>
        <w:rPr>
          <w:lang w:val="fr-CH"/>
        </w:rPr>
      </w:pPr>
      <w:r w:rsidRPr="00270343">
        <w:rPr>
          <w:lang w:val="fr-CH"/>
        </w:rPr>
        <w:t>a)</w:t>
      </w:r>
      <w:r w:rsidRPr="00270343">
        <w:rPr>
          <w:lang w:val="fr-CH"/>
        </w:rPr>
        <w:tab/>
        <w:t>Il n'y a</w:t>
      </w:r>
      <w:r w:rsidR="00504BF9">
        <w:rPr>
          <w:lang w:val="fr-CH"/>
        </w:rPr>
        <w:t>vait</w:t>
      </w:r>
      <w:r w:rsidRPr="00270343">
        <w:rPr>
          <w:lang w:val="fr-CH"/>
        </w:rPr>
        <w:t xml:space="preserve"> actuellement aucune </w:t>
      </w:r>
      <w:r w:rsidR="00504BF9">
        <w:rPr>
          <w:lang w:val="fr-CH"/>
        </w:rPr>
        <w:t>disposition spécifique relative à la</w:t>
      </w:r>
      <w:r w:rsidRPr="00270343">
        <w:rPr>
          <w:lang w:val="fr-CH"/>
        </w:rPr>
        <w:t xml:space="preserve"> formation des conseillers à la sécurité dans l'ADN, </w:t>
      </w:r>
      <w:r w:rsidR="00504BF9">
        <w:rPr>
          <w:lang w:val="fr-CH"/>
        </w:rPr>
        <w:t>il n'y avait qu'un</w:t>
      </w:r>
      <w:r w:rsidR="00475224">
        <w:rPr>
          <w:lang w:val="fr-CH"/>
        </w:rPr>
        <w:t>e</w:t>
      </w:r>
      <w:r w:rsidR="00504BF9">
        <w:rPr>
          <w:lang w:val="fr-CH"/>
        </w:rPr>
        <w:t xml:space="preserve"> obligation générale de formation et une</w:t>
      </w:r>
      <w:r w:rsidRPr="00270343">
        <w:rPr>
          <w:lang w:val="fr-CH"/>
        </w:rPr>
        <w:t xml:space="preserve"> obligation de passer un examen. Les pratiques </w:t>
      </w:r>
      <w:r w:rsidR="00504BF9">
        <w:rPr>
          <w:lang w:val="fr-CH"/>
        </w:rPr>
        <w:t>différaient</w:t>
      </w:r>
      <w:r w:rsidR="00504BF9" w:rsidRPr="00270343">
        <w:rPr>
          <w:lang w:val="fr-CH"/>
        </w:rPr>
        <w:t xml:space="preserve"> </w:t>
      </w:r>
      <w:r w:rsidRPr="00270343">
        <w:rPr>
          <w:lang w:val="fr-CH"/>
        </w:rPr>
        <w:t xml:space="preserve">suivant les pays, mais les efforts d'harmonisation dans le passé </w:t>
      </w:r>
      <w:r w:rsidR="00504BF9">
        <w:rPr>
          <w:lang w:val="fr-CH"/>
        </w:rPr>
        <w:t>avaient</w:t>
      </w:r>
      <w:r w:rsidRPr="00270343">
        <w:rPr>
          <w:lang w:val="fr-CH"/>
        </w:rPr>
        <w:t xml:space="preserve"> clairement </w:t>
      </w:r>
      <w:r w:rsidR="00504BF9">
        <w:rPr>
          <w:lang w:val="fr-CH"/>
        </w:rPr>
        <w:t xml:space="preserve">montré </w:t>
      </w:r>
      <w:r w:rsidRPr="00270343">
        <w:rPr>
          <w:lang w:val="fr-CH"/>
        </w:rPr>
        <w:t>que les Parties contractantes souhait</w:t>
      </w:r>
      <w:r w:rsidR="00504BF9">
        <w:rPr>
          <w:lang w:val="fr-CH"/>
        </w:rPr>
        <w:t>ai</w:t>
      </w:r>
      <w:r w:rsidRPr="00270343">
        <w:rPr>
          <w:lang w:val="fr-CH"/>
        </w:rPr>
        <w:t>ent conserver un degré de souplesse à cet égard;</w:t>
      </w:r>
    </w:p>
    <w:p w14:paraId="7C9B84FC" w14:textId="11317019" w:rsidR="00270343" w:rsidRPr="00270343" w:rsidRDefault="00270343" w:rsidP="00270343">
      <w:pPr>
        <w:spacing w:after="120"/>
        <w:ind w:left="1134" w:right="1134" w:firstLine="567"/>
        <w:jc w:val="both"/>
        <w:rPr>
          <w:lang w:val="fr-CH"/>
        </w:rPr>
      </w:pPr>
      <w:r w:rsidRPr="00270343">
        <w:rPr>
          <w:lang w:val="fr-CH"/>
        </w:rPr>
        <w:t>b)</w:t>
      </w:r>
      <w:r w:rsidRPr="00270343">
        <w:rPr>
          <w:lang w:val="fr-CH"/>
        </w:rPr>
        <w:tab/>
        <w:t xml:space="preserve">L'élaboration d'un catalogue de questions pour les examens pourrait être utile pour aider les Parties contractantes à organiser les examens, mais la plupart d'entre elles </w:t>
      </w:r>
      <w:r w:rsidR="00504BF9" w:rsidRPr="00270343">
        <w:rPr>
          <w:lang w:val="fr-CH"/>
        </w:rPr>
        <w:lastRenderedPageBreak/>
        <w:t>posséd</w:t>
      </w:r>
      <w:r w:rsidR="00504BF9">
        <w:rPr>
          <w:lang w:val="fr-CH"/>
        </w:rPr>
        <w:t>aient</w:t>
      </w:r>
      <w:r w:rsidR="00504BF9" w:rsidRPr="00270343">
        <w:rPr>
          <w:lang w:val="fr-CH"/>
        </w:rPr>
        <w:t xml:space="preserve"> </w:t>
      </w:r>
      <w:r w:rsidRPr="00270343">
        <w:rPr>
          <w:lang w:val="fr-CH"/>
        </w:rPr>
        <w:t>déjà des catalogues de questions qu'elles ne souhait</w:t>
      </w:r>
      <w:r w:rsidR="00504BF9">
        <w:rPr>
          <w:lang w:val="fr-CH"/>
        </w:rPr>
        <w:t>ai</w:t>
      </w:r>
      <w:r w:rsidRPr="00270343">
        <w:rPr>
          <w:lang w:val="fr-CH"/>
        </w:rPr>
        <w:t>ent pas voir remis en cause;</w:t>
      </w:r>
    </w:p>
    <w:p w14:paraId="7549A218" w14:textId="30A63644" w:rsidR="00270343" w:rsidRPr="00270343" w:rsidRDefault="00270343" w:rsidP="00270343">
      <w:pPr>
        <w:spacing w:after="120"/>
        <w:ind w:left="1134" w:right="1134" w:firstLine="567"/>
        <w:jc w:val="both"/>
        <w:rPr>
          <w:lang w:val="fr-CH"/>
        </w:rPr>
      </w:pPr>
      <w:r w:rsidRPr="00270343">
        <w:rPr>
          <w:lang w:val="fr-CH"/>
        </w:rPr>
        <w:t>c)</w:t>
      </w:r>
      <w:r w:rsidRPr="00270343">
        <w:rPr>
          <w:lang w:val="fr-CH"/>
        </w:rPr>
        <w:tab/>
        <w:t>Les examens de conseiller à la sécurité ne port</w:t>
      </w:r>
      <w:r w:rsidR="00504BF9">
        <w:rPr>
          <w:lang w:val="fr-CH"/>
        </w:rPr>
        <w:t>ai</w:t>
      </w:r>
      <w:r w:rsidRPr="00270343">
        <w:rPr>
          <w:lang w:val="fr-CH"/>
        </w:rPr>
        <w:t>ent pas uniquement sur l'ADN. Ils comport</w:t>
      </w:r>
      <w:r w:rsidR="00504BF9">
        <w:rPr>
          <w:lang w:val="fr-CH"/>
        </w:rPr>
        <w:t>ai</w:t>
      </w:r>
      <w:r w:rsidRPr="00270343">
        <w:rPr>
          <w:lang w:val="fr-CH"/>
        </w:rPr>
        <w:t xml:space="preserve">ent de nombreuses questions qui traitent de tous les modes de transport intérieur (rail, route, voies de navigation intérieures) et si l'intention </w:t>
      </w:r>
      <w:r w:rsidR="00504BF9">
        <w:rPr>
          <w:lang w:val="fr-CH"/>
        </w:rPr>
        <w:t>était</w:t>
      </w:r>
      <w:r w:rsidR="00504BF9" w:rsidRPr="00270343">
        <w:rPr>
          <w:lang w:val="fr-CH"/>
        </w:rPr>
        <w:t xml:space="preserve"> </w:t>
      </w:r>
      <w:r w:rsidRPr="00270343">
        <w:rPr>
          <w:lang w:val="fr-CH"/>
        </w:rPr>
        <w:t>de préparer des catalogues de questions qui ne sont pas spécifiques à l'ADN, la Réunion commune RID/ADR/ADN devrait être saisie de cette initiative;</w:t>
      </w:r>
    </w:p>
    <w:p w14:paraId="24DC57F3" w14:textId="737C979B" w:rsidR="00270343" w:rsidRPr="00270343" w:rsidRDefault="00270343" w:rsidP="00270343">
      <w:pPr>
        <w:spacing w:after="120"/>
        <w:ind w:left="1134" w:right="1134" w:firstLine="567"/>
        <w:jc w:val="both"/>
        <w:rPr>
          <w:lang w:val="fr-CH"/>
        </w:rPr>
      </w:pPr>
      <w:r w:rsidRPr="00270343">
        <w:rPr>
          <w:lang w:val="fr-CH"/>
        </w:rPr>
        <w:t>d)</w:t>
      </w:r>
      <w:r w:rsidRPr="00270343">
        <w:rPr>
          <w:lang w:val="fr-CH"/>
        </w:rPr>
        <w:tab/>
        <w:t>Les examens trait</w:t>
      </w:r>
      <w:r w:rsidR="00504BF9">
        <w:rPr>
          <w:lang w:val="fr-CH"/>
        </w:rPr>
        <w:t>ai</w:t>
      </w:r>
      <w:r w:rsidRPr="00270343">
        <w:rPr>
          <w:lang w:val="fr-CH"/>
        </w:rPr>
        <w:t xml:space="preserve">ent également des questions relatives à la législation nationale applicables dans le pays où </w:t>
      </w:r>
      <w:r w:rsidR="00504BF9">
        <w:rPr>
          <w:lang w:val="fr-CH"/>
        </w:rPr>
        <w:t>ils étaient organisés</w:t>
      </w:r>
      <w:r w:rsidRPr="00270343">
        <w:rPr>
          <w:lang w:val="fr-CH"/>
        </w:rPr>
        <w:t>;</w:t>
      </w:r>
    </w:p>
    <w:p w14:paraId="3426C80A" w14:textId="77777777" w:rsidR="00270343" w:rsidRPr="00270343" w:rsidRDefault="00270343" w:rsidP="00270343">
      <w:pPr>
        <w:spacing w:after="120"/>
        <w:ind w:left="1134" w:right="1134"/>
        <w:jc w:val="both"/>
        <w:rPr>
          <w:lang w:val="fr-CH"/>
        </w:rPr>
      </w:pPr>
      <w:r w:rsidRPr="00270343">
        <w:rPr>
          <w:lang w:val="fr-CH"/>
        </w:rPr>
        <w:tab/>
        <w:t>e)</w:t>
      </w:r>
      <w:r w:rsidRPr="00270343">
        <w:rPr>
          <w:lang w:val="fr-CH"/>
        </w:rPr>
        <w:tab/>
        <w:t>La tâche était considérable et la proposition ne précisait pas clairement comment les travaux pourraient être effectués pour la fin 2017 dans les quatre langues de travail du Comité de sécurité. Par ailleurs, l'élaboration d'un catalogue de questions supposait un engagement pour la mise à jour tous les deux ans.</w:t>
      </w:r>
    </w:p>
    <w:p w14:paraId="4ED4FB67" w14:textId="0DD10B66" w:rsidR="00270343" w:rsidRPr="00270343" w:rsidRDefault="00504BF9" w:rsidP="00270343">
      <w:pPr>
        <w:spacing w:after="120"/>
        <w:ind w:left="1134" w:right="1134"/>
        <w:jc w:val="both"/>
        <w:rPr>
          <w:lang w:val="fr-CH"/>
        </w:rPr>
      </w:pPr>
      <w:r>
        <w:rPr>
          <w:lang w:val="fr-CH"/>
        </w:rPr>
        <w:t>40</w:t>
      </w:r>
      <w:r w:rsidR="00270343" w:rsidRPr="00270343">
        <w:rPr>
          <w:lang w:val="fr-CH"/>
        </w:rPr>
        <w:t>.</w:t>
      </w:r>
      <w:r w:rsidR="00270343" w:rsidRPr="00270343">
        <w:rPr>
          <w:lang w:val="fr-CH"/>
        </w:rPr>
        <w:tab/>
        <w:t>Le représentant de la Commission du Danube a indiqué que l'intention était de préparer dans une première étape une compilation de questions sur la base des informations fournies pour les Etats membres de la Commission du Danube, mais que toutes les autres Parties Contractantes à l'ADN pouvaient également contribuer aux travaux. Le catalogue serait préparé en anglais et dans une autre langue de travail de la Commission du Danube.</w:t>
      </w:r>
    </w:p>
    <w:p w14:paraId="5BBD7B1A" w14:textId="15CBB3CA" w:rsidR="00270343" w:rsidRPr="00270343" w:rsidRDefault="00504BF9" w:rsidP="00270343">
      <w:pPr>
        <w:spacing w:after="120"/>
        <w:ind w:left="1134" w:right="1134"/>
        <w:jc w:val="both"/>
        <w:rPr>
          <w:lang w:val="fr-CH"/>
        </w:rPr>
      </w:pPr>
      <w:r>
        <w:rPr>
          <w:lang w:val="fr-CH"/>
        </w:rPr>
        <w:t>41</w:t>
      </w:r>
      <w:r w:rsidR="00270343" w:rsidRPr="00270343">
        <w:rPr>
          <w:lang w:val="fr-CH"/>
        </w:rPr>
        <w:t>.</w:t>
      </w:r>
      <w:r w:rsidR="00270343" w:rsidRPr="00270343">
        <w:rPr>
          <w:lang w:val="fr-CH"/>
        </w:rPr>
        <w:tab/>
        <w:t xml:space="preserve">Le Président a invité le secrétariat de la CEE-ONU à communiquer au secrétariat de la Commission du Danube les coordonnées des autorités compétentes dans les Etats non-membres de la Commission du Danube afin qu'elles puissent, si elles sont intéressées, participer aux travaux à l'invitation du secrétariat de la Commission du Danube. Il a indiqué que, pour l'instant, dans le cadre de l'ADN, ce catalogue ne pourrait revêtir qu'un caractère de recommandation et que le secrétariat de la Commission du Danube devrait prendre des mesures nécessaires pour que les réponses aux questions ne soient pas divulguées au public. </w:t>
      </w:r>
    </w:p>
    <w:p w14:paraId="0F2888BD" w14:textId="77777777" w:rsidR="00270343" w:rsidRPr="00270343" w:rsidRDefault="00270343" w:rsidP="00270343">
      <w:pPr>
        <w:keepNext/>
        <w:keepLines/>
        <w:tabs>
          <w:tab w:val="right" w:pos="851"/>
        </w:tabs>
        <w:spacing w:before="240" w:after="120" w:line="240" w:lineRule="exact"/>
        <w:ind w:left="1134" w:right="1134" w:hanging="1134"/>
        <w:rPr>
          <w:b/>
          <w:lang w:val="fr-CH"/>
        </w:rPr>
      </w:pPr>
      <w:r w:rsidRPr="00270343">
        <w:rPr>
          <w:b/>
          <w:lang w:val="fr-CH"/>
        </w:rPr>
        <w:tab/>
        <w:t>6.</w:t>
      </w:r>
      <w:r w:rsidRPr="00270343">
        <w:rPr>
          <w:b/>
          <w:lang w:val="fr-CH"/>
        </w:rPr>
        <w:tab/>
        <w:t xml:space="preserve">Statistiques relatives aux examens </w:t>
      </w:r>
    </w:p>
    <w:p w14:paraId="21126A8B" w14:textId="77777777" w:rsidR="00270343" w:rsidRPr="00270343" w:rsidRDefault="00270343" w:rsidP="00270343">
      <w:pPr>
        <w:spacing w:after="120"/>
        <w:ind w:left="1134" w:right="1134"/>
        <w:jc w:val="both"/>
        <w:rPr>
          <w:lang w:val="fr-CH"/>
        </w:rPr>
      </w:pPr>
      <w:r w:rsidRPr="00270343">
        <w:rPr>
          <w:i/>
          <w:lang w:val="fr-FR"/>
        </w:rPr>
        <w:t>Document informel</w:t>
      </w:r>
      <w:r w:rsidRPr="00270343">
        <w:rPr>
          <w:lang w:val="fr-FR"/>
        </w:rPr>
        <w:t>:</w:t>
      </w:r>
      <w:r w:rsidRPr="00270343">
        <w:rPr>
          <w:lang w:val="fr-FR"/>
        </w:rPr>
        <w:tab/>
        <w:t>INF.11 (Pays-Bas)</w:t>
      </w:r>
    </w:p>
    <w:p w14:paraId="5A8E0C98" w14:textId="42BD00D5" w:rsidR="00270343" w:rsidRPr="00270343" w:rsidRDefault="00383063" w:rsidP="00270343">
      <w:pPr>
        <w:spacing w:after="120"/>
        <w:ind w:left="1134" w:right="1134"/>
        <w:jc w:val="both"/>
        <w:rPr>
          <w:lang w:val="fr-CH"/>
        </w:rPr>
      </w:pPr>
      <w:r>
        <w:rPr>
          <w:lang w:val="fr-CH"/>
        </w:rPr>
        <w:t>42</w:t>
      </w:r>
      <w:r w:rsidR="00270343" w:rsidRPr="00270343">
        <w:rPr>
          <w:lang w:val="fr-CH"/>
        </w:rPr>
        <w:t>.</w:t>
      </w:r>
      <w:r w:rsidR="00270343" w:rsidRPr="00270343">
        <w:rPr>
          <w:lang w:val="fr-CH"/>
        </w:rPr>
        <w:tab/>
        <w:t>Le Comité de sécurité a pris note avec intérêt des informations fournies par les Pays-Bas et a invité toutes les Parties contractantes à contribuer à la collecte de ces statistiques.</w:t>
      </w:r>
    </w:p>
    <w:p w14:paraId="1686029B" w14:textId="77777777" w:rsidR="00270343" w:rsidRPr="00270343" w:rsidRDefault="00270343" w:rsidP="00270343">
      <w:pPr>
        <w:keepNext/>
        <w:keepLines/>
        <w:tabs>
          <w:tab w:val="right" w:pos="851"/>
        </w:tabs>
        <w:spacing w:before="240" w:after="120" w:line="240" w:lineRule="exact"/>
        <w:ind w:left="1134" w:right="1134" w:hanging="1134"/>
        <w:rPr>
          <w:b/>
          <w:lang w:val="fr-CH"/>
        </w:rPr>
      </w:pPr>
      <w:r w:rsidRPr="00270343">
        <w:rPr>
          <w:b/>
          <w:lang w:val="fr-CH"/>
        </w:rPr>
        <w:tab/>
        <w:t>7.</w:t>
      </w:r>
      <w:r w:rsidRPr="00270343">
        <w:rPr>
          <w:b/>
          <w:lang w:val="fr-CH"/>
        </w:rPr>
        <w:tab/>
        <w:t>Spécimens d'attestation d'expert</w:t>
      </w:r>
    </w:p>
    <w:p w14:paraId="2E1EB08D" w14:textId="67D5D669" w:rsidR="00270343" w:rsidRDefault="00383063" w:rsidP="00270343">
      <w:pPr>
        <w:spacing w:after="120"/>
        <w:ind w:left="1134" w:right="1134"/>
        <w:jc w:val="both"/>
        <w:rPr>
          <w:lang w:val="fr-CH"/>
        </w:rPr>
      </w:pPr>
      <w:r>
        <w:rPr>
          <w:lang w:val="fr-CH"/>
        </w:rPr>
        <w:t>43</w:t>
      </w:r>
      <w:r w:rsidR="00270343" w:rsidRPr="00270343">
        <w:rPr>
          <w:lang w:val="fr-CH"/>
        </w:rPr>
        <w:t>.</w:t>
      </w:r>
      <w:r w:rsidR="00270343" w:rsidRPr="00270343">
        <w:rPr>
          <w:lang w:val="fr-CH"/>
        </w:rPr>
        <w:tab/>
        <w:t xml:space="preserve">Il a été rappelé que, conformément au 8.2.2.8.2 du Règlement annexé à l'ADN, les Parties contractantes sont tenues de fournir au secrétariat de la CEE-ONU un exemple type des attestations délivrées. Seuls l'Allemagne, l'Autriche, la Bulgarie, les Pays-Bas, </w:t>
      </w:r>
      <w:r>
        <w:rPr>
          <w:lang w:val="fr-CH"/>
        </w:rPr>
        <w:t xml:space="preserve">la Roumanie, </w:t>
      </w:r>
      <w:r w:rsidR="00270343" w:rsidRPr="00270343">
        <w:rPr>
          <w:lang w:val="fr-CH"/>
        </w:rPr>
        <w:t>la Slovaquie et la Suisse s'étaient acquittés de cette obligation. Les modèles d'attestation communiqués peuvent être consultés sur le site internet de la CEE-ONU.</w:t>
      </w:r>
    </w:p>
    <w:p w14:paraId="6A67EC8F" w14:textId="77777777" w:rsidR="00FB47DC" w:rsidRPr="00FB47DC" w:rsidRDefault="00FB47DC" w:rsidP="00FB47DC">
      <w:pPr>
        <w:keepNext/>
        <w:keepLines/>
        <w:tabs>
          <w:tab w:val="right" w:pos="851"/>
        </w:tabs>
        <w:spacing w:before="360" w:after="240" w:line="270" w:lineRule="exact"/>
        <w:ind w:left="1134" w:right="1134" w:hanging="1134"/>
        <w:rPr>
          <w:b/>
          <w:sz w:val="24"/>
          <w:lang w:val="fr-CH"/>
        </w:rPr>
      </w:pPr>
      <w:r w:rsidRPr="00FB47DC">
        <w:rPr>
          <w:b/>
          <w:sz w:val="24"/>
          <w:lang w:val="fr-CH"/>
        </w:rPr>
        <w:tab/>
        <w:t xml:space="preserve">E. </w:t>
      </w:r>
      <w:r w:rsidRPr="00FB47DC">
        <w:rPr>
          <w:b/>
          <w:sz w:val="24"/>
          <w:lang w:val="fr-CH"/>
        </w:rPr>
        <w:tab/>
        <w:t>Questions relatives aux sociétés de classification</w:t>
      </w:r>
    </w:p>
    <w:p w14:paraId="2FEB13E6" w14:textId="118F7960" w:rsidR="00FB47DC" w:rsidRPr="00FB47DC" w:rsidRDefault="00383063" w:rsidP="00FB47DC">
      <w:pPr>
        <w:spacing w:after="120"/>
        <w:ind w:left="1134" w:right="1134"/>
        <w:jc w:val="both"/>
        <w:rPr>
          <w:lang w:val="fr-CH"/>
        </w:rPr>
      </w:pPr>
      <w:r>
        <w:rPr>
          <w:lang w:val="fr-CH"/>
        </w:rPr>
        <w:t>44</w:t>
      </w:r>
      <w:r w:rsidR="00FB47DC" w:rsidRPr="00FB47DC">
        <w:rPr>
          <w:lang w:val="fr-CH"/>
        </w:rPr>
        <w:t>.</w:t>
      </w:r>
      <w:r w:rsidR="00FB47DC" w:rsidRPr="00FB47DC">
        <w:rPr>
          <w:lang w:val="fr-CH"/>
        </w:rPr>
        <w:tab/>
        <w:t xml:space="preserve">Il a été rappelé que la liste des sociétés de classification reconnues par les Parties contractantes à l'ADN est disponible sur le site internet de la CEE-ONU à l'adresse </w:t>
      </w:r>
      <w:hyperlink r:id="rId8" w:history="1">
        <w:r w:rsidR="00FB47DC" w:rsidRPr="00FB47DC">
          <w:rPr>
            <w:lang w:val="fr-CH"/>
          </w:rPr>
          <w:t>http://www.unece.org/trans/danger/publi/adn/adnclassifications.html</w:t>
        </w:r>
      </w:hyperlink>
      <w:r w:rsidR="00FB47DC" w:rsidRPr="00FB47DC">
        <w:rPr>
          <w:lang w:val="fr-CH"/>
        </w:rPr>
        <w:t>.</w:t>
      </w:r>
    </w:p>
    <w:p w14:paraId="6867323F" w14:textId="48301BAF" w:rsidR="00FB47DC" w:rsidRPr="00FB47DC" w:rsidRDefault="00383063" w:rsidP="00FB47DC">
      <w:pPr>
        <w:spacing w:after="120"/>
        <w:ind w:left="1134" w:right="1134"/>
        <w:jc w:val="both"/>
        <w:rPr>
          <w:lang w:val="fr-CH"/>
        </w:rPr>
      </w:pPr>
      <w:r>
        <w:rPr>
          <w:lang w:val="fr-CH"/>
        </w:rPr>
        <w:t>45</w:t>
      </w:r>
      <w:r w:rsidR="00FB47DC" w:rsidRPr="00FB47DC">
        <w:rPr>
          <w:lang w:val="fr-CH"/>
        </w:rPr>
        <w:t>.</w:t>
      </w:r>
      <w:r w:rsidR="00FB47DC" w:rsidRPr="00FB47DC">
        <w:rPr>
          <w:lang w:val="fr-CH"/>
        </w:rPr>
        <w:tab/>
        <w:t>Le Comité de sécurité a relevé que les deux sociétés de classification russes recommandées ADN n'ont toujours pas soumis les informations demandées concernant leur conformité à la norme ISO/IEC 17020:2012 et les a donc priées de fournir ces informations. (voir aussi ECE/TRANS/WP.15/AC.2/56, paragraphes 39 et 36).</w:t>
      </w:r>
    </w:p>
    <w:p w14:paraId="59FF96F7" w14:textId="78A2F12C" w:rsidR="00270343" w:rsidRPr="00270343" w:rsidRDefault="00270343" w:rsidP="00270343">
      <w:pPr>
        <w:keepNext/>
        <w:keepLines/>
        <w:tabs>
          <w:tab w:val="right" w:pos="851"/>
        </w:tabs>
        <w:spacing w:before="360" w:after="240" w:line="300" w:lineRule="exact"/>
        <w:ind w:left="1134" w:right="1134" w:hanging="1134"/>
        <w:rPr>
          <w:b/>
          <w:sz w:val="28"/>
          <w:lang w:val="fr-CH"/>
        </w:rPr>
      </w:pPr>
      <w:r w:rsidRPr="00270343">
        <w:rPr>
          <w:b/>
          <w:sz w:val="28"/>
          <w:lang w:val="fr-CH"/>
        </w:rPr>
        <w:lastRenderedPageBreak/>
        <w:tab/>
        <w:t xml:space="preserve">VI. </w:t>
      </w:r>
      <w:r w:rsidRPr="00270343">
        <w:rPr>
          <w:b/>
          <w:sz w:val="28"/>
          <w:lang w:val="fr-CH"/>
        </w:rPr>
        <w:tab/>
        <w:t>Propositions d'amendements au Règlement annexé à l'ADN (point 5 de l'ordre du jour)</w:t>
      </w:r>
    </w:p>
    <w:p w14:paraId="3D4F7A24" w14:textId="77777777" w:rsidR="00270343" w:rsidRPr="00270343" w:rsidRDefault="00270343" w:rsidP="00270343">
      <w:pPr>
        <w:keepNext/>
        <w:keepLines/>
        <w:tabs>
          <w:tab w:val="right" w:pos="851"/>
        </w:tabs>
        <w:spacing w:before="360" w:after="240" w:line="270" w:lineRule="exact"/>
        <w:ind w:left="1134" w:right="1134" w:hanging="1134"/>
        <w:rPr>
          <w:b/>
          <w:sz w:val="24"/>
          <w:lang w:val="fr-CH"/>
        </w:rPr>
      </w:pPr>
      <w:r w:rsidRPr="00270343">
        <w:rPr>
          <w:b/>
          <w:sz w:val="24"/>
          <w:lang w:val="fr-CH"/>
        </w:rPr>
        <w:tab/>
        <w:t xml:space="preserve">A. </w:t>
      </w:r>
      <w:r w:rsidRPr="00270343">
        <w:rPr>
          <w:b/>
          <w:sz w:val="24"/>
          <w:lang w:val="fr-CH"/>
        </w:rPr>
        <w:tab/>
        <w:t>Travaux de la Réunion commune RID/ADR/ADN</w:t>
      </w:r>
    </w:p>
    <w:p w14:paraId="2D0D8CF3" w14:textId="1E0B14B4" w:rsidR="00270343" w:rsidRPr="00270343" w:rsidRDefault="00270343" w:rsidP="00270343">
      <w:pPr>
        <w:keepNext/>
        <w:keepLines/>
        <w:tabs>
          <w:tab w:val="right" w:pos="851"/>
        </w:tabs>
        <w:spacing w:before="240" w:after="120" w:line="240" w:lineRule="exact"/>
        <w:ind w:left="1134" w:right="1134" w:hanging="1134"/>
        <w:rPr>
          <w:b/>
          <w:lang w:val="fr-CH"/>
        </w:rPr>
      </w:pPr>
      <w:r w:rsidRPr="00270343">
        <w:rPr>
          <w:b/>
          <w:lang w:val="fr-CH"/>
        </w:rPr>
        <w:tab/>
        <w:t>1.</w:t>
      </w:r>
      <w:r w:rsidRPr="00270343">
        <w:rPr>
          <w:b/>
          <w:lang w:val="fr-CH"/>
        </w:rPr>
        <w:tab/>
        <w:t>Rapports de la Réunion commune sur sa session d'automne 2016 et du Groupe de travail du transport des marchandises dangereuses de la CEE-ONU sur sa 101</w:t>
      </w:r>
      <w:r w:rsidRPr="00270343">
        <w:rPr>
          <w:b/>
          <w:vertAlign w:val="superscript"/>
          <w:lang w:val="fr-CH"/>
        </w:rPr>
        <w:t>ème</w:t>
      </w:r>
      <w:r w:rsidRPr="00270343">
        <w:rPr>
          <w:b/>
          <w:lang w:val="fr-CH"/>
        </w:rPr>
        <w:t xml:space="preserve"> session</w:t>
      </w:r>
    </w:p>
    <w:p w14:paraId="7BE4FFE5" w14:textId="77777777" w:rsidR="00270343" w:rsidRPr="00270343" w:rsidRDefault="00270343" w:rsidP="00270343">
      <w:pPr>
        <w:ind w:left="1134" w:right="1134"/>
        <w:jc w:val="both"/>
        <w:rPr>
          <w:lang w:val="fr-FR"/>
        </w:rPr>
      </w:pPr>
      <w:r w:rsidRPr="00270343">
        <w:rPr>
          <w:i/>
          <w:lang w:val="fr-FR"/>
        </w:rPr>
        <w:t>Documents</w:t>
      </w:r>
      <w:r w:rsidRPr="00270343">
        <w:rPr>
          <w:lang w:val="fr-FR"/>
        </w:rPr>
        <w:t>:</w:t>
      </w:r>
      <w:r w:rsidRPr="00270343">
        <w:rPr>
          <w:lang w:val="fr-FR"/>
        </w:rPr>
        <w:tab/>
      </w:r>
      <w:r w:rsidRPr="00270343">
        <w:rPr>
          <w:lang w:val="fr-FR"/>
        </w:rPr>
        <w:tab/>
      </w:r>
      <w:r w:rsidRPr="00270343">
        <w:rPr>
          <w:lang w:val="fr-FR"/>
        </w:rPr>
        <w:tab/>
        <w:t xml:space="preserve">ECE/TRANS/WP.15/AC.1/144 </w:t>
      </w:r>
    </w:p>
    <w:p w14:paraId="1B39E82F" w14:textId="77777777" w:rsidR="00270343" w:rsidRPr="00270343" w:rsidRDefault="00270343" w:rsidP="00270343">
      <w:pPr>
        <w:spacing w:after="120"/>
        <w:ind w:left="1134" w:right="1134"/>
        <w:jc w:val="both"/>
        <w:rPr>
          <w:lang w:val="fr-CH"/>
        </w:rPr>
      </w:pPr>
      <w:r w:rsidRPr="00270343">
        <w:rPr>
          <w:i/>
          <w:lang w:val="fr-FR"/>
        </w:rPr>
        <w:tab/>
      </w:r>
      <w:r w:rsidRPr="00270343">
        <w:rPr>
          <w:i/>
          <w:lang w:val="fr-FR"/>
        </w:rPr>
        <w:tab/>
      </w:r>
      <w:r w:rsidRPr="00270343">
        <w:rPr>
          <w:i/>
          <w:lang w:val="fr-FR"/>
        </w:rPr>
        <w:tab/>
      </w:r>
      <w:r w:rsidRPr="00270343">
        <w:rPr>
          <w:i/>
          <w:lang w:val="fr-FR"/>
        </w:rPr>
        <w:tab/>
      </w:r>
      <w:r w:rsidRPr="00270343">
        <w:rPr>
          <w:lang w:val="fr-CH"/>
        </w:rPr>
        <w:t>ECE/TRANS/WP.15/235</w:t>
      </w:r>
    </w:p>
    <w:p w14:paraId="178D0D72" w14:textId="20B3F2D2" w:rsidR="00270343" w:rsidRPr="00270343" w:rsidRDefault="00383063" w:rsidP="00270343">
      <w:pPr>
        <w:spacing w:after="120"/>
        <w:ind w:left="1134" w:right="1134"/>
        <w:jc w:val="both"/>
        <w:rPr>
          <w:lang w:val="fr-CH"/>
        </w:rPr>
      </w:pPr>
      <w:r>
        <w:rPr>
          <w:lang w:val="fr-CH"/>
        </w:rPr>
        <w:t>46</w:t>
      </w:r>
      <w:r w:rsidR="00270343" w:rsidRPr="00270343">
        <w:rPr>
          <w:lang w:val="fr-CH"/>
        </w:rPr>
        <w:t>.</w:t>
      </w:r>
      <w:r w:rsidR="00270343" w:rsidRPr="00270343">
        <w:rPr>
          <w:lang w:val="fr-CH"/>
        </w:rPr>
        <w:tab/>
        <w:t xml:space="preserve">Le Comité de sécurité a noté que ces rapports </w:t>
      </w:r>
      <w:r>
        <w:rPr>
          <w:lang w:val="fr-CH"/>
        </w:rPr>
        <w:t>n'étaient</w:t>
      </w:r>
      <w:r w:rsidR="00270343" w:rsidRPr="00270343">
        <w:rPr>
          <w:lang w:val="fr-CH"/>
        </w:rPr>
        <w:t xml:space="preserve"> pour l'instant disponibles qu'en anglais et en français, et que les propositions d'amendements qui </w:t>
      </w:r>
      <w:r>
        <w:rPr>
          <w:lang w:val="fr-CH"/>
        </w:rPr>
        <w:t>pouvaient</w:t>
      </w:r>
      <w:r w:rsidRPr="00270343">
        <w:rPr>
          <w:lang w:val="fr-CH"/>
        </w:rPr>
        <w:t xml:space="preserve"> </w:t>
      </w:r>
      <w:r w:rsidR="00270343" w:rsidRPr="00270343">
        <w:rPr>
          <w:lang w:val="fr-CH"/>
        </w:rPr>
        <w:t>concerner l'ADN pour entrée en vigueur en 2019 ne pourraient donc être discutées qu'aux sessions d'août 2017 ou janvier 2018.</w:t>
      </w:r>
    </w:p>
    <w:p w14:paraId="19499500" w14:textId="3DA1CADC" w:rsidR="00270343" w:rsidRPr="00270343" w:rsidRDefault="00383063" w:rsidP="00270343">
      <w:pPr>
        <w:spacing w:after="120"/>
        <w:ind w:left="1134" w:right="1134"/>
        <w:jc w:val="both"/>
        <w:rPr>
          <w:lang w:val="fr-CH"/>
        </w:rPr>
      </w:pPr>
      <w:r>
        <w:rPr>
          <w:lang w:val="fr-CH"/>
        </w:rPr>
        <w:t>47</w:t>
      </w:r>
      <w:r w:rsidR="00270343" w:rsidRPr="00270343">
        <w:rPr>
          <w:lang w:val="fr-CH"/>
        </w:rPr>
        <w:t>.</w:t>
      </w:r>
      <w:r w:rsidR="00270343" w:rsidRPr="00270343">
        <w:rPr>
          <w:lang w:val="fr-CH"/>
        </w:rPr>
        <w:tab/>
        <w:t xml:space="preserve">Les corrections citées en annexe III du rapport ECE/TRANS/WP.15/AC.1/144 et en annexe II du rapport ECE/TRANS/WP.15/235 </w:t>
      </w:r>
      <w:r>
        <w:rPr>
          <w:lang w:val="fr-CH"/>
        </w:rPr>
        <w:t>avaient</w:t>
      </w:r>
      <w:r w:rsidRPr="00270343">
        <w:rPr>
          <w:lang w:val="fr-CH"/>
        </w:rPr>
        <w:t xml:space="preserve"> </w:t>
      </w:r>
      <w:r w:rsidR="00270343" w:rsidRPr="00270343">
        <w:rPr>
          <w:lang w:val="fr-CH"/>
        </w:rPr>
        <w:t xml:space="preserve">déjà été prises en compte </w:t>
      </w:r>
      <w:r>
        <w:rPr>
          <w:lang w:val="fr-CH"/>
        </w:rPr>
        <w:t>d</w:t>
      </w:r>
      <w:r w:rsidRPr="00270343">
        <w:rPr>
          <w:lang w:val="fr-CH"/>
        </w:rPr>
        <w:t xml:space="preserve">ans </w:t>
      </w:r>
      <w:r w:rsidR="00270343" w:rsidRPr="00270343">
        <w:rPr>
          <w:lang w:val="fr-CH"/>
        </w:rPr>
        <w:t>la version 2017 de l'ADN.</w:t>
      </w:r>
    </w:p>
    <w:p w14:paraId="36E5D886" w14:textId="77777777" w:rsidR="00270343" w:rsidRPr="00270343" w:rsidRDefault="00270343" w:rsidP="00270343">
      <w:pPr>
        <w:keepNext/>
        <w:keepLines/>
        <w:tabs>
          <w:tab w:val="right" w:pos="851"/>
        </w:tabs>
        <w:spacing w:before="240" w:after="120" w:line="240" w:lineRule="exact"/>
        <w:ind w:left="1134" w:right="1134" w:hanging="1134"/>
        <w:rPr>
          <w:b/>
          <w:lang w:val="fr-CH"/>
        </w:rPr>
      </w:pPr>
      <w:r w:rsidRPr="00270343">
        <w:rPr>
          <w:b/>
          <w:lang w:val="fr-CH"/>
        </w:rPr>
        <w:tab/>
        <w:t>2.</w:t>
      </w:r>
      <w:r w:rsidRPr="00270343">
        <w:rPr>
          <w:b/>
          <w:lang w:val="fr-CH"/>
        </w:rPr>
        <w:tab/>
        <w:t>Référence aux directives 67/548/CEE et 88/379/CEE du Conseil de l'Union européenne</w:t>
      </w:r>
    </w:p>
    <w:p w14:paraId="2AB05703" w14:textId="77777777" w:rsidR="00270343" w:rsidRPr="00270343" w:rsidRDefault="00270343" w:rsidP="00270343">
      <w:pPr>
        <w:spacing w:after="120"/>
        <w:ind w:left="1134" w:right="1134"/>
        <w:jc w:val="both"/>
        <w:rPr>
          <w:lang w:val="fr-CH"/>
        </w:rPr>
      </w:pPr>
      <w:r w:rsidRPr="00270343">
        <w:rPr>
          <w:i/>
          <w:lang w:val="fr-FR"/>
        </w:rPr>
        <w:t>Document</w:t>
      </w:r>
      <w:r w:rsidRPr="00270343">
        <w:rPr>
          <w:lang w:val="fr-FR"/>
        </w:rPr>
        <w:t>:</w:t>
      </w:r>
      <w:r w:rsidRPr="00270343">
        <w:rPr>
          <w:lang w:val="fr-FR"/>
        </w:rPr>
        <w:tab/>
      </w:r>
      <w:r w:rsidRPr="00270343">
        <w:rPr>
          <w:lang w:val="fr-FR"/>
        </w:rPr>
        <w:tab/>
      </w:r>
      <w:r w:rsidRPr="00270343">
        <w:rPr>
          <w:lang w:val="fr-FR"/>
        </w:rPr>
        <w:tab/>
      </w:r>
      <w:r w:rsidRPr="00270343">
        <w:rPr>
          <w:spacing w:val="-4"/>
          <w:lang w:val="fr-FR"/>
        </w:rPr>
        <w:t>ECE/TRANS/WP.15/AC.2/2017/10 (Secrétariat de la CEE-ONU)</w:t>
      </w:r>
    </w:p>
    <w:p w14:paraId="4A06C8C2" w14:textId="2164C297" w:rsidR="00270343" w:rsidRDefault="00383063" w:rsidP="00270343">
      <w:pPr>
        <w:spacing w:after="120"/>
        <w:ind w:left="1134" w:right="1134"/>
        <w:jc w:val="both"/>
        <w:rPr>
          <w:lang w:val="fr-CH"/>
        </w:rPr>
      </w:pPr>
      <w:r>
        <w:rPr>
          <w:lang w:val="fr-CH"/>
        </w:rPr>
        <w:t>48</w:t>
      </w:r>
      <w:r w:rsidR="00270343" w:rsidRPr="00270343">
        <w:rPr>
          <w:lang w:val="fr-CH"/>
        </w:rPr>
        <w:t>.</w:t>
      </w:r>
      <w:r w:rsidR="00270343" w:rsidRPr="00270343">
        <w:rPr>
          <w:lang w:val="fr-CH"/>
        </w:rPr>
        <w:tab/>
        <w:t>Le Comité de sécurité a adopté la proposition du secrétariat de remplacer la référence à ces directives dans la note de bas de page du paragraphe 3.2.4.3 par une référence au Règlement (CE) n° 1272/2008 du Parlement européen et du Conseil, avec quelques modifications (voir annexe</w:t>
      </w:r>
      <w:r w:rsidR="008D4F13">
        <w:rPr>
          <w:lang w:val="fr-CH"/>
        </w:rPr>
        <w:t xml:space="preserve"> </w:t>
      </w:r>
      <w:r>
        <w:rPr>
          <w:lang w:val="fr-CH"/>
        </w:rPr>
        <w:t>II</w:t>
      </w:r>
      <w:r w:rsidRPr="00270343">
        <w:rPr>
          <w:lang w:val="fr-CH"/>
        </w:rPr>
        <w:t>).</w:t>
      </w:r>
    </w:p>
    <w:p w14:paraId="01509CF0" w14:textId="77777777" w:rsidR="00C37397" w:rsidRPr="00C37397" w:rsidRDefault="00C37397" w:rsidP="00C37397">
      <w:pPr>
        <w:keepNext/>
        <w:keepLines/>
        <w:tabs>
          <w:tab w:val="right" w:pos="851"/>
        </w:tabs>
        <w:spacing w:before="240" w:after="120" w:line="240" w:lineRule="exact"/>
        <w:ind w:left="1134" w:right="1134" w:hanging="1134"/>
        <w:rPr>
          <w:b/>
          <w:lang w:val="fr-CH"/>
        </w:rPr>
      </w:pPr>
      <w:r w:rsidRPr="00C37397">
        <w:rPr>
          <w:b/>
          <w:lang w:val="fr-CH"/>
        </w:rPr>
        <w:tab/>
        <w:t>3.</w:t>
      </w:r>
      <w:r w:rsidRPr="00C37397">
        <w:rPr>
          <w:b/>
          <w:lang w:val="fr-CH"/>
        </w:rPr>
        <w:tab/>
        <w:t>Dispositions spéciale 665 – Transport de charbon</w:t>
      </w:r>
    </w:p>
    <w:p w14:paraId="0CA14A3B" w14:textId="77777777" w:rsidR="00C37397" w:rsidRPr="00C37397" w:rsidRDefault="00C37397" w:rsidP="00C37397">
      <w:pPr>
        <w:spacing w:after="120"/>
        <w:ind w:left="1134" w:right="1134"/>
        <w:jc w:val="both"/>
        <w:rPr>
          <w:lang w:val="fr-CH"/>
        </w:rPr>
      </w:pPr>
      <w:r w:rsidRPr="00C37397">
        <w:rPr>
          <w:i/>
          <w:lang w:val="fr-FR"/>
        </w:rPr>
        <w:t>Document</w:t>
      </w:r>
      <w:r w:rsidRPr="00C37397">
        <w:rPr>
          <w:lang w:val="fr-FR"/>
        </w:rPr>
        <w:t>:</w:t>
      </w:r>
      <w:r w:rsidRPr="00C37397">
        <w:rPr>
          <w:lang w:val="fr-FR"/>
        </w:rPr>
        <w:tab/>
      </w:r>
      <w:r w:rsidRPr="00C37397">
        <w:rPr>
          <w:lang w:val="fr-FR"/>
        </w:rPr>
        <w:tab/>
      </w:r>
      <w:r w:rsidRPr="00C37397">
        <w:rPr>
          <w:lang w:val="fr-FR"/>
        </w:rPr>
        <w:tab/>
      </w:r>
      <w:r w:rsidRPr="00C37397">
        <w:rPr>
          <w:spacing w:val="-2"/>
          <w:lang w:val="fr-FR"/>
        </w:rPr>
        <w:t>ECE/TRANS/WP.15/AC.2/2017/9 (Secrétariat de la CEE-ONU)</w:t>
      </w:r>
    </w:p>
    <w:p w14:paraId="22A95EE7" w14:textId="5023B2DE" w:rsidR="00C37397" w:rsidRPr="00C37397" w:rsidRDefault="00383063" w:rsidP="00C37397">
      <w:pPr>
        <w:spacing w:after="120"/>
        <w:ind w:left="1134" w:right="1134"/>
        <w:jc w:val="both"/>
        <w:rPr>
          <w:lang w:val="fr-CH"/>
        </w:rPr>
      </w:pPr>
      <w:r>
        <w:rPr>
          <w:lang w:val="fr-CH"/>
        </w:rPr>
        <w:t>49</w:t>
      </w:r>
      <w:r w:rsidR="00C37397" w:rsidRPr="00C37397">
        <w:rPr>
          <w:lang w:val="fr-CH"/>
        </w:rPr>
        <w:t>.</w:t>
      </w:r>
      <w:r w:rsidR="00C37397" w:rsidRPr="00C37397">
        <w:rPr>
          <w:lang w:val="fr-CH"/>
        </w:rPr>
        <w:tab/>
        <w:t>Le Comité de sécurité a noté que l'introduction de la disposition spéciale 665, affectée au No. ONU 1361, avait entraîné non intentionnellement une contradiction avec la disposition spéciale 803, également affectée au No. ONU 1361, dans la mesure où la disposition spéciale 665 exempte complètement le transport de houille, coke ou anthracite relevant de la classe 4.2, groupe d'emballage III, alors que la disposition spéciale 803 prévoit des conditions précises pour l'exemption de la houille, du coke et de l'anthracite lorsqu'ils sont transportés en vrac. Le Comité de sécurité a estimé qu'il est indispensable de corriger cette contradiction en modifiant la disposition spéciale 665 comme proposé par le secrétariat au paragraphe 5 du document (voir annexe</w:t>
      </w:r>
      <w:r>
        <w:rPr>
          <w:lang w:val="fr-CH"/>
        </w:rPr>
        <w:t xml:space="preserve"> I</w:t>
      </w:r>
      <w:r w:rsidRPr="00C37397">
        <w:rPr>
          <w:lang w:val="fr-CH"/>
        </w:rPr>
        <w:t>).</w:t>
      </w:r>
    </w:p>
    <w:p w14:paraId="56AA7C00" w14:textId="67BC9578" w:rsidR="00C37397" w:rsidRPr="00C37397" w:rsidRDefault="00383063" w:rsidP="00C37397">
      <w:pPr>
        <w:spacing w:after="120"/>
        <w:ind w:left="1134" w:right="1134"/>
        <w:jc w:val="both"/>
        <w:rPr>
          <w:lang w:val="fr-CH"/>
        </w:rPr>
      </w:pPr>
      <w:r>
        <w:rPr>
          <w:lang w:val="fr-CH"/>
        </w:rPr>
        <w:t>50</w:t>
      </w:r>
      <w:r w:rsidR="00C37397" w:rsidRPr="00C37397">
        <w:rPr>
          <w:lang w:val="fr-CH"/>
        </w:rPr>
        <w:t>.</w:t>
      </w:r>
      <w:r w:rsidR="00C37397" w:rsidRPr="00C37397">
        <w:rPr>
          <w:lang w:val="fr-CH"/>
        </w:rPr>
        <w:tab/>
        <w:t>Le Comité de sécurité a noté aussi que le libellé de la disposition spéciale 665 est le même que celui de la disposition spéciale 665 de l'ADR, mais différente de celui de la disposition spéciale 665 du RID. Ceci peut éventuellement poser un problème lorsque des wagons contenant du charbon en vrac sont chargés sur des bateaux. Le Comité de sécurité a estimé qu'il revient aux délégations intéressées de vérifier si ceci pose un problème en pratique et, si tel est le cas, de proposer une solution.</w:t>
      </w:r>
    </w:p>
    <w:p w14:paraId="6563F768" w14:textId="333B70AC" w:rsidR="00270343" w:rsidRPr="00270343" w:rsidRDefault="00D62059" w:rsidP="00071383">
      <w:pPr>
        <w:keepNext/>
        <w:keepLines/>
        <w:tabs>
          <w:tab w:val="right" w:pos="851"/>
        </w:tabs>
        <w:spacing w:before="360" w:after="240" w:line="270" w:lineRule="exact"/>
        <w:ind w:left="1134" w:right="1134" w:hanging="1134"/>
        <w:rPr>
          <w:b/>
          <w:sz w:val="24"/>
          <w:lang w:val="fr-CH"/>
        </w:rPr>
      </w:pPr>
      <w:r>
        <w:rPr>
          <w:b/>
          <w:sz w:val="24"/>
          <w:lang w:val="fr-CH"/>
        </w:rPr>
        <w:lastRenderedPageBreak/>
        <w:tab/>
        <w:t xml:space="preserve">B. </w:t>
      </w:r>
      <w:r>
        <w:rPr>
          <w:b/>
          <w:sz w:val="24"/>
          <w:lang w:val="fr-CH"/>
        </w:rPr>
        <w:tab/>
        <w:t>Autres propositions</w:t>
      </w:r>
      <w:bookmarkStart w:id="5" w:name="_GoBack"/>
      <w:bookmarkEnd w:id="5"/>
    </w:p>
    <w:p w14:paraId="47174C6A" w14:textId="77777777" w:rsidR="00270343" w:rsidRPr="00270343" w:rsidRDefault="00270343" w:rsidP="00071383">
      <w:pPr>
        <w:keepNext/>
        <w:keepLines/>
        <w:tabs>
          <w:tab w:val="right" w:pos="851"/>
        </w:tabs>
        <w:spacing w:before="240" w:after="120" w:line="240" w:lineRule="exact"/>
        <w:ind w:left="1134" w:right="1134" w:hanging="1134"/>
        <w:rPr>
          <w:b/>
          <w:lang w:val="fr-CH"/>
        </w:rPr>
      </w:pPr>
      <w:r w:rsidRPr="00270343">
        <w:rPr>
          <w:b/>
          <w:lang w:val="fr-CH"/>
        </w:rPr>
        <w:tab/>
        <w:t>1.</w:t>
      </w:r>
      <w:r w:rsidRPr="00270343">
        <w:rPr>
          <w:b/>
          <w:lang w:val="fr-CH"/>
        </w:rPr>
        <w:tab/>
        <w:t>Sous-section 3.2.3.1, explications concernant le tableau C</w:t>
      </w:r>
    </w:p>
    <w:p w14:paraId="63DB4D1B" w14:textId="77777777" w:rsidR="00270343" w:rsidRPr="00270343" w:rsidRDefault="00270343" w:rsidP="00071383">
      <w:pPr>
        <w:keepNext/>
        <w:keepLines/>
        <w:spacing w:after="120"/>
        <w:ind w:left="1134" w:right="1134"/>
        <w:jc w:val="both"/>
        <w:rPr>
          <w:lang w:val="fr-FR"/>
        </w:rPr>
      </w:pPr>
      <w:r w:rsidRPr="00270343">
        <w:rPr>
          <w:i/>
          <w:lang w:val="fr-FR"/>
        </w:rPr>
        <w:t>Document</w:t>
      </w:r>
      <w:r w:rsidRPr="00270343">
        <w:rPr>
          <w:lang w:val="fr-FR"/>
        </w:rPr>
        <w:t>:</w:t>
      </w:r>
      <w:r w:rsidRPr="00270343">
        <w:rPr>
          <w:lang w:val="fr-FR"/>
        </w:rPr>
        <w:tab/>
      </w:r>
      <w:r w:rsidRPr="00270343">
        <w:rPr>
          <w:lang w:val="fr-FR"/>
        </w:rPr>
        <w:tab/>
      </w:r>
      <w:r w:rsidRPr="00270343">
        <w:rPr>
          <w:lang w:val="fr-FR"/>
        </w:rPr>
        <w:tab/>
        <w:t>ECE/TRANS/WP.15/AC.2/2017/6 (Allemagne)</w:t>
      </w:r>
    </w:p>
    <w:p w14:paraId="6F29F366" w14:textId="62C9DD6E" w:rsidR="00270343" w:rsidRPr="00270343" w:rsidRDefault="00383063" w:rsidP="00071383">
      <w:pPr>
        <w:keepNext/>
        <w:keepLines/>
        <w:spacing w:after="120"/>
        <w:ind w:left="1134" w:right="1134"/>
        <w:jc w:val="both"/>
        <w:rPr>
          <w:lang w:val="fr-CH"/>
        </w:rPr>
      </w:pPr>
      <w:r>
        <w:rPr>
          <w:lang w:val="fr-CH"/>
        </w:rPr>
        <w:t>51</w:t>
      </w:r>
      <w:r w:rsidR="00270343" w:rsidRPr="00270343">
        <w:rPr>
          <w:lang w:val="fr-CH"/>
        </w:rPr>
        <w:t>.</w:t>
      </w:r>
      <w:r w:rsidR="00270343" w:rsidRPr="00270343">
        <w:rPr>
          <w:lang w:val="fr-CH"/>
        </w:rPr>
        <w:tab/>
        <w:t>La proposition de modification au 3.2.3.1 a été adoptée (voir annexe</w:t>
      </w:r>
      <w:r>
        <w:rPr>
          <w:lang w:val="fr-CH"/>
        </w:rPr>
        <w:t xml:space="preserve"> II</w:t>
      </w:r>
      <w:r w:rsidRPr="00270343">
        <w:rPr>
          <w:lang w:val="fr-CH"/>
        </w:rPr>
        <w:t>).</w:t>
      </w:r>
    </w:p>
    <w:p w14:paraId="376B9427" w14:textId="77777777" w:rsidR="00270343" w:rsidRPr="00270343" w:rsidRDefault="00270343" w:rsidP="00270343">
      <w:pPr>
        <w:keepNext/>
        <w:keepLines/>
        <w:tabs>
          <w:tab w:val="right" w:pos="851"/>
        </w:tabs>
        <w:spacing w:before="240" w:after="120" w:line="240" w:lineRule="exact"/>
        <w:ind w:left="1134" w:right="1134" w:hanging="1134"/>
        <w:rPr>
          <w:b/>
          <w:lang w:val="fr-CH"/>
        </w:rPr>
      </w:pPr>
      <w:r w:rsidRPr="00270343">
        <w:rPr>
          <w:b/>
          <w:lang w:val="fr-CH"/>
        </w:rPr>
        <w:tab/>
        <w:t>2.</w:t>
      </w:r>
      <w:r w:rsidRPr="00270343">
        <w:rPr>
          <w:b/>
          <w:lang w:val="fr-CH"/>
        </w:rPr>
        <w:tab/>
        <w:t>Agents extincteurs</w:t>
      </w:r>
    </w:p>
    <w:p w14:paraId="351F7F00" w14:textId="77777777" w:rsidR="00270343" w:rsidRPr="00270343" w:rsidRDefault="00270343" w:rsidP="00270343">
      <w:pPr>
        <w:ind w:left="1134" w:right="1134"/>
        <w:jc w:val="both"/>
        <w:rPr>
          <w:lang w:val="fr-CH"/>
        </w:rPr>
      </w:pPr>
      <w:r w:rsidRPr="00270343">
        <w:rPr>
          <w:i/>
          <w:lang w:val="fr-FR"/>
        </w:rPr>
        <w:t>Document</w:t>
      </w:r>
      <w:r w:rsidRPr="00270343">
        <w:rPr>
          <w:lang w:val="fr-FR"/>
        </w:rPr>
        <w:t>:</w:t>
      </w:r>
      <w:r w:rsidRPr="00270343">
        <w:rPr>
          <w:lang w:val="fr-FR"/>
        </w:rPr>
        <w:tab/>
      </w:r>
      <w:r w:rsidRPr="00270343">
        <w:rPr>
          <w:lang w:val="fr-FR"/>
        </w:rPr>
        <w:tab/>
      </w:r>
      <w:r w:rsidRPr="00270343">
        <w:rPr>
          <w:lang w:val="fr-FR"/>
        </w:rPr>
        <w:tab/>
        <w:t>ECE/TRANS/WP.15/AC.2/2017/16 (Belgique et Pays-Bas)</w:t>
      </w:r>
    </w:p>
    <w:p w14:paraId="1457ECE2" w14:textId="77777777" w:rsidR="00270343" w:rsidRPr="00270343" w:rsidRDefault="00270343" w:rsidP="00270343">
      <w:pPr>
        <w:spacing w:after="120"/>
        <w:ind w:left="1134" w:right="1134"/>
        <w:jc w:val="both"/>
        <w:rPr>
          <w:lang w:val="fr-CH"/>
        </w:rPr>
      </w:pPr>
      <w:r w:rsidRPr="00270343">
        <w:rPr>
          <w:i/>
          <w:lang w:val="fr-FR"/>
        </w:rPr>
        <w:t>Document informel</w:t>
      </w:r>
      <w:r w:rsidRPr="00270343">
        <w:rPr>
          <w:lang w:val="fr-FR"/>
        </w:rPr>
        <w:t>:</w:t>
      </w:r>
      <w:r w:rsidRPr="00270343">
        <w:rPr>
          <w:lang w:val="fr-FR"/>
        </w:rPr>
        <w:tab/>
      </w:r>
      <w:r w:rsidRPr="00270343">
        <w:rPr>
          <w:lang w:val="fr-FR"/>
        </w:rPr>
        <w:tab/>
        <w:t>INF.23 (Belgique et Pays-Bas)</w:t>
      </w:r>
    </w:p>
    <w:p w14:paraId="0C275154" w14:textId="7540C1A4" w:rsidR="00270343" w:rsidRDefault="00383063" w:rsidP="00270343">
      <w:pPr>
        <w:pStyle w:val="SingleTxtG"/>
        <w:spacing w:before="120"/>
        <w:rPr>
          <w:lang w:val="fr-CH"/>
        </w:rPr>
      </w:pPr>
      <w:r>
        <w:rPr>
          <w:lang w:val="fr-CH"/>
        </w:rPr>
        <w:t>52</w:t>
      </w:r>
      <w:r w:rsidR="00270343" w:rsidRPr="00270343">
        <w:rPr>
          <w:lang w:val="fr-CH"/>
        </w:rPr>
        <w:t>.</w:t>
      </w:r>
      <w:r w:rsidR="00270343" w:rsidRPr="00270343">
        <w:rPr>
          <w:lang w:val="fr-CH"/>
        </w:rPr>
        <w:tab/>
        <w:t>Le Comité de sécurité était favorable en principe à autoriser les aérosols secs comme agents extincteurs aux 9.1.0.40.2.1 et 9.3.X.40.2.1, sous réserve que la directive européenne 2014/90/UE ne soit citée qu'à titre d'exemple.</w:t>
      </w:r>
    </w:p>
    <w:p w14:paraId="5B67B1F8" w14:textId="4A880B89" w:rsidR="00A23B11" w:rsidRPr="00A23B11" w:rsidRDefault="00383063" w:rsidP="00A23B11">
      <w:pPr>
        <w:spacing w:after="120"/>
        <w:ind w:left="1134" w:right="1134"/>
        <w:jc w:val="both"/>
        <w:rPr>
          <w:lang w:val="fr-CH"/>
        </w:rPr>
      </w:pPr>
      <w:r>
        <w:rPr>
          <w:lang w:val="fr-CH"/>
        </w:rPr>
        <w:t>53</w:t>
      </w:r>
      <w:r w:rsidR="00A23B11" w:rsidRPr="00A23B11">
        <w:rPr>
          <w:lang w:val="fr-CH"/>
        </w:rPr>
        <w:t>.</w:t>
      </w:r>
      <w:r w:rsidR="00A23B11" w:rsidRPr="00A23B11">
        <w:rPr>
          <w:lang w:val="fr-CH"/>
        </w:rPr>
        <w:tab/>
        <w:t xml:space="preserve">Il a été noté cependant que ces agents extincteurs </w:t>
      </w:r>
      <w:r>
        <w:rPr>
          <w:lang w:val="fr-CH"/>
        </w:rPr>
        <w:t>n'étaient</w:t>
      </w:r>
      <w:r w:rsidR="00A23B11" w:rsidRPr="00A23B11">
        <w:rPr>
          <w:lang w:val="fr-CH"/>
        </w:rPr>
        <w:t xml:space="preserve"> pas prévus dans la norme européenne ES-TRIN, et il </w:t>
      </w:r>
      <w:r w:rsidRPr="00A23B11">
        <w:rPr>
          <w:lang w:val="fr-CH"/>
        </w:rPr>
        <w:t>exist</w:t>
      </w:r>
      <w:r>
        <w:rPr>
          <w:lang w:val="fr-CH"/>
        </w:rPr>
        <w:t>ait</w:t>
      </w:r>
      <w:r w:rsidRPr="00A23B11">
        <w:rPr>
          <w:lang w:val="fr-CH"/>
        </w:rPr>
        <w:t xml:space="preserve"> </w:t>
      </w:r>
      <w:r w:rsidR="00A23B11" w:rsidRPr="00A23B11">
        <w:rPr>
          <w:lang w:val="fr-CH"/>
        </w:rPr>
        <w:t>aussi quelques différences entre cette norme et les dispositions de l'ADN relatives à l'utilisation d'autres agents extincteurs comme le CO</w:t>
      </w:r>
      <w:r w:rsidR="00A23B11" w:rsidRPr="00A23B11">
        <w:rPr>
          <w:vertAlign w:val="subscript"/>
          <w:lang w:val="fr-CH"/>
        </w:rPr>
        <w:t xml:space="preserve">2 </w:t>
      </w:r>
      <w:r w:rsidR="00A23B11" w:rsidRPr="00A23B11">
        <w:rPr>
          <w:lang w:val="fr-CH"/>
        </w:rPr>
        <w:t xml:space="preserve">par exemple. En outre, la question </w:t>
      </w:r>
      <w:r w:rsidRPr="00A23B11">
        <w:rPr>
          <w:lang w:val="fr-CH"/>
        </w:rPr>
        <w:t>n'</w:t>
      </w:r>
      <w:r>
        <w:rPr>
          <w:lang w:val="fr-CH"/>
        </w:rPr>
        <w:t>était</w:t>
      </w:r>
      <w:r w:rsidRPr="00A23B11">
        <w:rPr>
          <w:lang w:val="fr-CH"/>
        </w:rPr>
        <w:t xml:space="preserve"> </w:t>
      </w:r>
      <w:r w:rsidR="00A23B11" w:rsidRPr="00A23B11">
        <w:rPr>
          <w:lang w:val="fr-CH"/>
        </w:rPr>
        <w:t>pas prioritaire à l'ordre du jour du Comité européen pour l'élaboration de standards dans le domaine de la navigation européenne (CESNI). Enfin, les textes proposés dans le document informel INF.23 pour de nouveaux paragraphes 9.1.0.40.2.14 et 9.3.X.40.2.14 n'étaient disponibles qu'en langue allemande.</w:t>
      </w:r>
    </w:p>
    <w:p w14:paraId="3423689C" w14:textId="602F5C7C" w:rsidR="00A23B11" w:rsidRPr="00A23B11" w:rsidRDefault="00383063" w:rsidP="00A23B11">
      <w:pPr>
        <w:spacing w:after="120"/>
        <w:ind w:left="1134" w:right="1134"/>
        <w:jc w:val="both"/>
        <w:rPr>
          <w:lang w:val="fr-CH"/>
        </w:rPr>
      </w:pPr>
      <w:r>
        <w:rPr>
          <w:lang w:val="fr-CH"/>
        </w:rPr>
        <w:t>54</w:t>
      </w:r>
      <w:r w:rsidR="00A23B11" w:rsidRPr="00A23B11">
        <w:rPr>
          <w:lang w:val="fr-CH"/>
        </w:rPr>
        <w:t>.</w:t>
      </w:r>
      <w:r w:rsidR="00A23B11" w:rsidRPr="00A23B11">
        <w:rPr>
          <w:lang w:val="fr-CH"/>
        </w:rPr>
        <w:tab/>
        <w:t>Suite à ces discussions, le représentant des Pays-Bas a été invité à préparer une proposition officielle pour la prochaine session en tenant compte des besoins d'harmonisation avec la norme ES-TRIN. Le secrétariat de la CCNR a été prié de porter la question à l'attention du CESNI afin d'accélérer les travaux sur l'utilisation des agents extincteurs secs sur les bateaux de navigation intérieure en général.</w:t>
      </w:r>
    </w:p>
    <w:p w14:paraId="4D7109A1" w14:textId="77777777" w:rsidR="00A23B11" w:rsidRPr="00A23B11" w:rsidRDefault="00A23B11" w:rsidP="00A23B11">
      <w:pPr>
        <w:keepNext/>
        <w:keepLines/>
        <w:tabs>
          <w:tab w:val="right" w:pos="851"/>
        </w:tabs>
        <w:spacing w:before="240" w:after="120" w:line="240" w:lineRule="exact"/>
        <w:ind w:left="1134" w:right="1134" w:hanging="1134"/>
        <w:rPr>
          <w:b/>
          <w:lang w:val="fr-CH"/>
        </w:rPr>
      </w:pPr>
      <w:r w:rsidRPr="00A23B11">
        <w:rPr>
          <w:b/>
          <w:lang w:val="fr-CH"/>
        </w:rPr>
        <w:tab/>
        <w:t>3.</w:t>
      </w:r>
      <w:r w:rsidRPr="00A23B11">
        <w:rPr>
          <w:b/>
          <w:lang w:val="fr-CH"/>
        </w:rPr>
        <w:tab/>
        <w:t>Corrections au Règlement annexé à l'ADN</w:t>
      </w:r>
    </w:p>
    <w:p w14:paraId="048B40FB" w14:textId="77777777" w:rsidR="00A23B11" w:rsidRPr="00A23B11" w:rsidRDefault="00A23B11" w:rsidP="00A23B11">
      <w:pPr>
        <w:spacing w:after="120"/>
        <w:ind w:left="1134" w:right="1134"/>
        <w:jc w:val="both"/>
        <w:rPr>
          <w:lang w:val="fr-CH"/>
        </w:rPr>
      </w:pPr>
      <w:r w:rsidRPr="00A23B11">
        <w:rPr>
          <w:i/>
          <w:lang w:val="fr-FR"/>
        </w:rPr>
        <w:t>Document informel</w:t>
      </w:r>
      <w:r w:rsidRPr="00A23B11">
        <w:rPr>
          <w:lang w:val="fr-FR"/>
        </w:rPr>
        <w:t>:</w:t>
      </w:r>
      <w:r w:rsidRPr="00A23B11">
        <w:rPr>
          <w:lang w:val="fr-FR"/>
        </w:rPr>
        <w:tab/>
      </w:r>
      <w:r w:rsidRPr="00A23B11">
        <w:rPr>
          <w:lang w:val="fr-FR"/>
        </w:rPr>
        <w:tab/>
        <w:t>INF.4 (Secrétariat de la CEE-ONU)</w:t>
      </w:r>
    </w:p>
    <w:p w14:paraId="6D488857" w14:textId="75C2C37E" w:rsidR="00A23B11" w:rsidRPr="00A23B11" w:rsidRDefault="00383063" w:rsidP="00A23B11">
      <w:pPr>
        <w:spacing w:after="120"/>
        <w:ind w:left="1134" w:right="1134"/>
        <w:jc w:val="both"/>
        <w:rPr>
          <w:lang w:val="fr-CH"/>
        </w:rPr>
      </w:pPr>
      <w:r>
        <w:rPr>
          <w:lang w:val="fr-CH"/>
        </w:rPr>
        <w:t>55</w:t>
      </w:r>
      <w:r w:rsidR="00A23B11" w:rsidRPr="00A23B11">
        <w:rPr>
          <w:lang w:val="fr-CH"/>
        </w:rPr>
        <w:t>.</w:t>
      </w:r>
      <w:r w:rsidR="00A23B11" w:rsidRPr="00A23B11">
        <w:rPr>
          <w:lang w:val="fr-CH"/>
        </w:rPr>
        <w:tab/>
        <w:t xml:space="preserve">Le Comité de sécurité a noté une erreur typographique de référence au 1.6.7.2.1.4 qui </w:t>
      </w:r>
      <w:r>
        <w:rPr>
          <w:lang w:val="fr-CH"/>
        </w:rPr>
        <w:t>devait</w:t>
      </w:r>
      <w:r w:rsidRPr="00A23B11">
        <w:rPr>
          <w:lang w:val="fr-CH"/>
        </w:rPr>
        <w:t xml:space="preserve"> </w:t>
      </w:r>
      <w:r w:rsidR="00A23B11" w:rsidRPr="00A23B11">
        <w:rPr>
          <w:lang w:val="fr-CH"/>
        </w:rPr>
        <w:t>être corrigée (voir annexe</w:t>
      </w:r>
      <w:r>
        <w:rPr>
          <w:lang w:val="fr-CH"/>
        </w:rPr>
        <w:t xml:space="preserve"> I</w:t>
      </w:r>
      <w:r w:rsidRPr="00A23B11">
        <w:rPr>
          <w:lang w:val="fr-CH"/>
        </w:rPr>
        <w:t>).</w:t>
      </w:r>
    </w:p>
    <w:p w14:paraId="12A3636D" w14:textId="77777777" w:rsidR="00A23B11" w:rsidRPr="00A23B11" w:rsidRDefault="00A23B11" w:rsidP="00A23B11">
      <w:pPr>
        <w:keepNext/>
        <w:keepLines/>
        <w:tabs>
          <w:tab w:val="right" w:pos="851"/>
        </w:tabs>
        <w:spacing w:before="240" w:after="120" w:line="240" w:lineRule="exact"/>
        <w:ind w:left="1134" w:right="1134" w:hanging="1134"/>
        <w:rPr>
          <w:b/>
          <w:lang w:val="fr-CH"/>
        </w:rPr>
      </w:pPr>
      <w:r w:rsidRPr="00A23B11">
        <w:rPr>
          <w:b/>
          <w:lang w:val="fr-CH"/>
        </w:rPr>
        <w:tab/>
        <w:t>4.</w:t>
      </w:r>
      <w:r w:rsidRPr="00A23B11">
        <w:rPr>
          <w:b/>
          <w:lang w:val="fr-CH"/>
        </w:rPr>
        <w:tab/>
        <w:t>Propositions de mise à jour de références</w:t>
      </w:r>
    </w:p>
    <w:p w14:paraId="2129FCC7" w14:textId="77777777" w:rsidR="00A23B11" w:rsidRPr="00A23B11" w:rsidRDefault="00A23B11" w:rsidP="00A23B11">
      <w:pPr>
        <w:spacing w:after="120"/>
        <w:ind w:left="1134" w:right="1134"/>
        <w:jc w:val="both"/>
        <w:rPr>
          <w:lang w:val="fr-CH"/>
        </w:rPr>
      </w:pPr>
      <w:r w:rsidRPr="00A23B11">
        <w:rPr>
          <w:i/>
          <w:lang w:val="fr-FR"/>
        </w:rPr>
        <w:t>Document informel</w:t>
      </w:r>
      <w:r w:rsidRPr="00A23B11">
        <w:rPr>
          <w:lang w:val="fr-FR"/>
        </w:rPr>
        <w:t>:</w:t>
      </w:r>
      <w:r w:rsidRPr="00A23B11">
        <w:rPr>
          <w:lang w:val="fr-FR"/>
        </w:rPr>
        <w:tab/>
      </w:r>
      <w:r w:rsidRPr="00A23B11">
        <w:rPr>
          <w:lang w:val="fr-FR"/>
        </w:rPr>
        <w:tab/>
        <w:t>INF.6 (France)</w:t>
      </w:r>
    </w:p>
    <w:p w14:paraId="62D33043" w14:textId="6C3A9592" w:rsidR="00A23B11" w:rsidRPr="00A23B11" w:rsidRDefault="00383063" w:rsidP="00A23B11">
      <w:pPr>
        <w:spacing w:after="120"/>
        <w:ind w:left="1134" w:right="1134"/>
        <w:jc w:val="both"/>
        <w:rPr>
          <w:lang w:val="fr-CH"/>
        </w:rPr>
      </w:pPr>
      <w:r>
        <w:rPr>
          <w:lang w:val="fr-CH"/>
        </w:rPr>
        <w:t>56</w:t>
      </w:r>
      <w:r w:rsidR="00A23B11" w:rsidRPr="00A23B11">
        <w:rPr>
          <w:lang w:val="fr-CH"/>
        </w:rPr>
        <w:t>.</w:t>
      </w:r>
      <w:r w:rsidR="00A23B11" w:rsidRPr="00A23B11">
        <w:rPr>
          <w:lang w:val="fr-CH"/>
        </w:rPr>
        <w:tab/>
        <w:t>Le Comité de sécurité a noté que la référence à la circulaire DSC/Circ.12 de l'OMI au 1.1.4.3 était obsolète et a approuvé son remplacement par une référence à la circulaire CCC.1/Circ.3 (voir annexe</w:t>
      </w:r>
      <w:r>
        <w:rPr>
          <w:lang w:val="fr-CH"/>
        </w:rPr>
        <w:t xml:space="preserve"> II</w:t>
      </w:r>
      <w:r w:rsidRPr="00A23B11">
        <w:rPr>
          <w:lang w:val="fr-CH"/>
        </w:rPr>
        <w:t xml:space="preserve">). </w:t>
      </w:r>
      <w:r w:rsidR="00A23B11" w:rsidRPr="00A23B11">
        <w:rPr>
          <w:lang w:val="fr-CH"/>
        </w:rPr>
        <w:t>Cette modification concernant également le RID et l'ADR, elle devrait être portée à l'attention de la Réunion commune RID/ADR/ADN.</w:t>
      </w:r>
    </w:p>
    <w:p w14:paraId="5AEF6F9A" w14:textId="1E88EEFD" w:rsidR="00A23B11" w:rsidRPr="00A23B11" w:rsidRDefault="00383063" w:rsidP="00A23B11">
      <w:pPr>
        <w:spacing w:after="120"/>
        <w:ind w:left="1134" w:right="1134"/>
        <w:jc w:val="both"/>
        <w:rPr>
          <w:lang w:val="fr-CH"/>
        </w:rPr>
      </w:pPr>
      <w:r>
        <w:rPr>
          <w:lang w:val="fr-CH"/>
        </w:rPr>
        <w:t>57</w:t>
      </w:r>
      <w:r w:rsidR="00A23B11" w:rsidRPr="00A23B11">
        <w:rPr>
          <w:lang w:val="fr-CH"/>
        </w:rPr>
        <w:t>.</w:t>
      </w:r>
      <w:r w:rsidR="00A23B11" w:rsidRPr="00A23B11">
        <w:rPr>
          <w:lang w:val="fr-CH"/>
        </w:rPr>
        <w:tab/>
        <w:t>Pour la référence au Code CTU de l'OMI/OIT/CEE-ONU au 5.4.2, le Comité de sécurité a noté que cette référence avait déjà été mise à jour dans la version 2017 de l'ADN.</w:t>
      </w:r>
    </w:p>
    <w:p w14:paraId="2E994B0D" w14:textId="77777777" w:rsidR="00A23B11" w:rsidRPr="00A23B11" w:rsidRDefault="00A23B11" w:rsidP="00A23B11">
      <w:pPr>
        <w:keepNext/>
        <w:keepLines/>
        <w:tabs>
          <w:tab w:val="right" w:pos="851"/>
        </w:tabs>
        <w:spacing w:before="240" w:after="120" w:line="240" w:lineRule="exact"/>
        <w:ind w:left="1134" w:right="1134" w:hanging="1134"/>
        <w:rPr>
          <w:b/>
          <w:lang w:val="fr-CH"/>
        </w:rPr>
      </w:pPr>
      <w:r w:rsidRPr="00A23B11">
        <w:rPr>
          <w:b/>
          <w:lang w:val="fr-CH"/>
        </w:rPr>
        <w:tab/>
        <w:t>5.</w:t>
      </w:r>
      <w:r w:rsidRPr="00A23B11">
        <w:rPr>
          <w:b/>
          <w:lang w:val="fr-CH"/>
        </w:rPr>
        <w:tab/>
        <w:t>Corrections typographiques au chapitre 1.16 de la version 2017 de l'ADN</w:t>
      </w:r>
    </w:p>
    <w:p w14:paraId="49E0FEF9" w14:textId="77777777" w:rsidR="00A23B11" w:rsidRPr="00A23B11" w:rsidRDefault="00A23B11" w:rsidP="00A23B11">
      <w:pPr>
        <w:spacing w:after="120"/>
        <w:ind w:left="1134" w:right="1134"/>
        <w:jc w:val="both"/>
        <w:rPr>
          <w:lang w:val="fr-FR"/>
        </w:rPr>
      </w:pPr>
      <w:r w:rsidRPr="00A23B11">
        <w:rPr>
          <w:i/>
          <w:lang w:val="fr-FR"/>
        </w:rPr>
        <w:t>Document informel</w:t>
      </w:r>
      <w:r w:rsidRPr="00A23B11">
        <w:rPr>
          <w:lang w:val="fr-FR"/>
        </w:rPr>
        <w:t>:</w:t>
      </w:r>
      <w:r w:rsidRPr="00A23B11">
        <w:rPr>
          <w:lang w:val="fr-FR"/>
        </w:rPr>
        <w:tab/>
      </w:r>
      <w:r w:rsidRPr="00A23B11">
        <w:rPr>
          <w:lang w:val="fr-FR"/>
        </w:rPr>
        <w:tab/>
        <w:t>INF.9 (France)</w:t>
      </w:r>
    </w:p>
    <w:p w14:paraId="57A27AB6" w14:textId="43F67FE4" w:rsidR="00A23B11" w:rsidRPr="00A23B11" w:rsidRDefault="00383063" w:rsidP="00A23B11">
      <w:pPr>
        <w:spacing w:after="120"/>
        <w:ind w:left="1134" w:right="1134"/>
        <w:jc w:val="both"/>
        <w:rPr>
          <w:lang w:val="fr-CH"/>
        </w:rPr>
      </w:pPr>
      <w:r>
        <w:rPr>
          <w:lang w:val="fr-CH"/>
        </w:rPr>
        <w:t>58</w:t>
      </w:r>
      <w:r w:rsidR="00A23B11" w:rsidRPr="00A23B11">
        <w:rPr>
          <w:lang w:val="fr-CH"/>
        </w:rPr>
        <w:t>.</w:t>
      </w:r>
      <w:r w:rsidR="00A23B11" w:rsidRPr="00A23B11">
        <w:rPr>
          <w:lang w:val="fr-CH"/>
        </w:rPr>
        <w:tab/>
        <w:t xml:space="preserve">Le Comité de sécurité a confirmé que les corrections proposées </w:t>
      </w:r>
      <w:r>
        <w:rPr>
          <w:lang w:val="fr-CH"/>
        </w:rPr>
        <w:t>étaient</w:t>
      </w:r>
      <w:r w:rsidRPr="00A23B11">
        <w:rPr>
          <w:lang w:val="fr-CH"/>
        </w:rPr>
        <w:t xml:space="preserve"> </w:t>
      </w:r>
      <w:r w:rsidR="00A23B11" w:rsidRPr="00A23B11">
        <w:rPr>
          <w:lang w:val="fr-CH"/>
        </w:rPr>
        <w:t xml:space="preserve">d'ordre typographique et </w:t>
      </w:r>
      <w:r>
        <w:rPr>
          <w:lang w:val="fr-CH"/>
        </w:rPr>
        <w:t>devaient</w:t>
      </w:r>
      <w:r w:rsidRPr="00A23B11">
        <w:rPr>
          <w:lang w:val="fr-CH"/>
        </w:rPr>
        <w:t xml:space="preserve"> </w:t>
      </w:r>
      <w:r w:rsidR="00A23B11" w:rsidRPr="00A23B11">
        <w:rPr>
          <w:lang w:val="fr-CH"/>
        </w:rPr>
        <w:t>être effectuées (voir annexe</w:t>
      </w:r>
      <w:r>
        <w:rPr>
          <w:lang w:val="fr-CH"/>
        </w:rPr>
        <w:t xml:space="preserve"> I</w:t>
      </w:r>
      <w:r w:rsidRPr="00A23B11">
        <w:rPr>
          <w:lang w:val="fr-CH"/>
        </w:rPr>
        <w:t>).</w:t>
      </w:r>
    </w:p>
    <w:p w14:paraId="0F4A734F" w14:textId="77777777" w:rsidR="00A23B11" w:rsidRPr="00A23B11" w:rsidRDefault="00A23B11" w:rsidP="00A23B11">
      <w:pPr>
        <w:keepNext/>
        <w:keepLines/>
        <w:tabs>
          <w:tab w:val="right" w:pos="851"/>
        </w:tabs>
        <w:spacing w:before="240" w:after="120" w:line="240" w:lineRule="exact"/>
        <w:ind w:left="1134" w:right="1134" w:hanging="1134"/>
        <w:rPr>
          <w:b/>
          <w:lang w:val="fr-CH"/>
        </w:rPr>
      </w:pPr>
      <w:r w:rsidRPr="00A23B11">
        <w:rPr>
          <w:b/>
          <w:lang w:val="fr-CH"/>
        </w:rPr>
        <w:lastRenderedPageBreak/>
        <w:tab/>
        <w:t>6.</w:t>
      </w:r>
      <w:r w:rsidRPr="00A23B11">
        <w:rPr>
          <w:b/>
          <w:lang w:val="fr-CH"/>
        </w:rPr>
        <w:tab/>
        <w:t>Amendements au tableau C concernant le transport du No. ONU 1280 Oxyde de propylène et No. ONU 2983 Oxyde d'éthylène et Oxyde de propylène en mélange</w:t>
      </w:r>
    </w:p>
    <w:p w14:paraId="36365359" w14:textId="77777777" w:rsidR="00A23B11" w:rsidRPr="00A23B11" w:rsidRDefault="00A23B11" w:rsidP="00A23B11">
      <w:pPr>
        <w:spacing w:after="120"/>
        <w:ind w:left="1134" w:right="1134"/>
        <w:jc w:val="both"/>
        <w:rPr>
          <w:lang w:val="fr-CH"/>
        </w:rPr>
      </w:pPr>
      <w:r w:rsidRPr="00A23B11">
        <w:rPr>
          <w:i/>
          <w:lang w:val="fr-FR"/>
        </w:rPr>
        <w:t>Documents informels</w:t>
      </w:r>
      <w:r w:rsidRPr="00A23B11">
        <w:rPr>
          <w:lang w:val="fr-FR"/>
        </w:rPr>
        <w:t>:</w:t>
      </w:r>
      <w:r w:rsidRPr="00A23B11">
        <w:rPr>
          <w:lang w:val="fr-FR"/>
        </w:rPr>
        <w:tab/>
        <w:t>INF.17 et Add.1 (UENF et OEB)</w:t>
      </w:r>
    </w:p>
    <w:p w14:paraId="5D285945" w14:textId="6295142F" w:rsidR="00A23B11" w:rsidRPr="00A23B11" w:rsidRDefault="00383063" w:rsidP="00A23B11">
      <w:pPr>
        <w:spacing w:after="120"/>
        <w:ind w:left="1134" w:right="1134"/>
        <w:jc w:val="both"/>
        <w:rPr>
          <w:lang w:val="fr-CH"/>
        </w:rPr>
      </w:pPr>
      <w:r>
        <w:rPr>
          <w:lang w:val="fr-CH"/>
        </w:rPr>
        <w:t>59</w:t>
      </w:r>
      <w:r w:rsidR="00A23B11" w:rsidRPr="00A23B11">
        <w:rPr>
          <w:lang w:val="fr-CH"/>
        </w:rPr>
        <w:t>.</w:t>
      </w:r>
      <w:r w:rsidR="00A23B11" w:rsidRPr="00A23B11">
        <w:rPr>
          <w:lang w:val="fr-CH"/>
        </w:rPr>
        <w:tab/>
        <w:t>Certaines délégations ont exprimé leur soutien à cette proposition d'allonger les délais d'inspection des citernes destinées au transport de ces matières, mais ont souhaité un délai maximum de 5 ans au renouvellement de la classe. D'autres étaient réticentes, sachant notamment que les délais prévus pour l'inspection des citernes de navires citernes pour ces matières dans les recueils IBC et IGC de l'OMI sont de deux ans.</w:t>
      </w:r>
    </w:p>
    <w:p w14:paraId="6FF58108" w14:textId="0C343E6C" w:rsidR="00A23B11" w:rsidRPr="00A23B11" w:rsidRDefault="00383063" w:rsidP="00A23B11">
      <w:pPr>
        <w:spacing w:after="120"/>
        <w:ind w:left="1134" w:right="1134"/>
        <w:jc w:val="both"/>
        <w:rPr>
          <w:lang w:val="fr-CH"/>
        </w:rPr>
      </w:pPr>
      <w:r>
        <w:rPr>
          <w:lang w:val="fr-CH"/>
        </w:rPr>
        <w:t>60</w:t>
      </w:r>
      <w:r w:rsidR="00A23B11" w:rsidRPr="00A23B11">
        <w:rPr>
          <w:lang w:val="fr-CH"/>
        </w:rPr>
        <w:t>.</w:t>
      </w:r>
      <w:r w:rsidR="00A23B11" w:rsidRPr="00A23B11">
        <w:rPr>
          <w:lang w:val="fr-CH"/>
        </w:rPr>
        <w:tab/>
        <w:t>L'UENF et l'OEB ont été priées de soumettre une proposition officielle à la prochaine session.</w:t>
      </w:r>
    </w:p>
    <w:p w14:paraId="38640F5C" w14:textId="77777777" w:rsidR="00A23B11" w:rsidRPr="00A23B11" w:rsidRDefault="00A23B11" w:rsidP="00A23B11">
      <w:pPr>
        <w:keepNext/>
        <w:keepLines/>
        <w:tabs>
          <w:tab w:val="right" w:pos="851"/>
        </w:tabs>
        <w:spacing w:before="240" w:after="120" w:line="240" w:lineRule="exact"/>
        <w:ind w:left="1134" w:right="1134" w:hanging="1134"/>
        <w:rPr>
          <w:b/>
          <w:lang w:val="fr-CH"/>
        </w:rPr>
      </w:pPr>
      <w:r w:rsidRPr="00A23B11">
        <w:rPr>
          <w:b/>
          <w:lang w:val="fr-CH"/>
        </w:rPr>
        <w:tab/>
        <w:t>7.</w:t>
      </w:r>
      <w:r w:rsidRPr="00A23B11">
        <w:rPr>
          <w:b/>
          <w:lang w:val="fr-CH"/>
        </w:rPr>
        <w:tab/>
        <w:t>Systèmes de protection autonomes</w:t>
      </w:r>
    </w:p>
    <w:p w14:paraId="71AE1536" w14:textId="77777777" w:rsidR="00A23B11" w:rsidRPr="00A23B11" w:rsidRDefault="00A23B11" w:rsidP="00A23B11">
      <w:pPr>
        <w:spacing w:after="120"/>
        <w:ind w:left="1134" w:right="1134"/>
        <w:jc w:val="both"/>
        <w:rPr>
          <w:lang w:val="fr-FR"/>
        </w:rPr>
      </w:pPr>
      <w:r w:rsidRPr="00A23B11">
        <w:rPr>
          <w:i/>
          <w:lang w:val="fr-FR"/>
        </w:rPr>
        <w:t>Document informel</w:t>
      </w:r>
      <w:r w:rsidRPr="00A23B11">
        <w:rPr>
          <w:lang w:val="fr-FR"/>
        </w:rPr>
        <w:t>:</w:t>
      </w:r>
      <w:r w:rsidRPr="00A23B11">
        <w:rPr>
          <w:lang w:val="fr-FR"/>
        </w:rPr>
        <w:tab/>
      </w:r>
      <w:r w:rsidRPr="00A23B11">
        <w:rPr>
          <w:lang w:val="fr-FR"/>
        </w:rPr>
        <w:tab/>
        <w:t>INF.20/Rev.1 (UENF, OEB et ERSTU)</w:t>
      </w:r>
    </w:p>
    <w:p w14:paraId="3E709BD3" w14:textId="4B4B6590" w:rsidR="00A23B11" w:rsidRPr="00A23B11" w:rsidRDefault="00383063" w:rsidP="00A23B11">
      <w:pPr>
        <w:spacing w:after="120"/>
        <w:ind w:left="1134" w:right="1134"/>
        <w:jc w:val="both"/>
        <w:rPr>
          <w:lang w:val="fr-CH"/>
        </w:rPr>
      </w:pPr>
      <w:r>
        <w:rPr>
          <w:lang w:val="fr-CH"/>
        </w:rPr>
        <w:t>61</w:t>
      </w:r>
      <w:r w:rsidR="00A23B11" w:rsidRPr="00A23B11">
        <w:rPr>
          <w:lang w:val="fr-CH"/>
        </w:rPr>
        <w:t>.</w:t>
      </w:r>
      <w:r w:rsidR="00A23B11" w:rsidRPr="00A23B11">
        <w:rPr>
          <w:lang w:val="fr-CH"/>
        </w:rPr>
        <w:tab/>
        <w:t>Ce document faisait suite aux décisions prises à la dernière session (ECE/TRANS/WP.15/AC.2/60, paras 41 à 44) en relation avec la détermination du groupe ou sous-groupe d'explosion à prendre en compte pour l'installation de ces systèmes. L'accord multilatéral M 018 avait été conclu depuis lors, mais les travaux n'avaient guère progressé et il était important pour les professions représentées par l'UENF, l'OEB et l'ERSTU que des décisions soient prises rapidement car les incertitudes actuelles quant aux résultats de ces travaux posent des problèmes d'investissement.</w:t>
      </w:r>
    </w:p>
    <w:p w14:paraId="0116B404" w14:textId="5B62AFC9" w:rsidR="00A23B11" w:rsidRPr="00A23B11" w:rsidRDefault="00383063" w:rsidP="00A23B11">
      <w:pPr>
        <w:spacing w:after="120"/>
        <w:ind w:left="1134" w:right="1134"/>
        <w:jc w:val="both"/>
        <w:rPr>
          <w:lang w:val="fr-CH"/>
        </w:rPr>
      </w:pPr>
      <w:r>
        <w:rPr>
          <w:lang w:val="fr-CH"/>
        </w:rPr>
        <w:t>62</w:t>
      </w:r>
      <w:r w:rsidR="00A23B11" w:rsidRPr="00A23B11">
        <w:rPr>
          <w:lang w:val="fr-CH"/>
        </w:rPr>
        <w:t>.</w:t>
      </w:r>
      <w:r w:rsidR="00A23B11" w:rsidRPr="00A23B11">
        <w:rPr>
          <w:lang w:val="fr-CH"/>
        </w:rPr>
        <w:tab/>
        <w:t xml:space="preserve">Il a été reconnu que le </w:t>
      </w:r>
      <w:r>
        <w:rPr>
          <w:lang w:val="fr-CH"/>
        </w:rPr>
        <w:t>g</w:t>
      </w:r>
      <w:r w:rsidRPr="00A23B11">
        <w:rPr>
          <w:lang w:val="fr-CH"/>
        </w:rPr>
        <w:t xml:space="preserve">roupe </w:t>
      </w:r>
      <w:r w:rsidR="00A23B11" w:rsidRPr="00A23B11">
        <w:rPr>
          <w:lang w:val="fr-CH"/>
        </w:rPr>
        <w:t xml:space="preserve">de travail informel sur les matières devrait rapidement se pencher sur la question, si nécessaire en prévoyant des réunions supplémentaires, et que </w:t>
      </w:r>
      <w:r>
        <w:rPr>
          <w:lang w:val="fr-CH"/>
        </w:rPr>
        <w:t>toutes l</w:t>
      </w:r>
      <w:r w:rsidR="00A23B11" w:rsidRPr="00A23B11">
        <w:rPr>
          <w:lang w:val="fr-CH"/>
        </w:rPr>
        <w:t xml:space="preserve">es organisations </w:t>
      </w:r>
      <w:r>
        <w:rPr>
          <w:lang w:val="fr-CH"/>
        </w:rPr>
        <w:t>intéressées étaient</w:t>
      </w:r>
      <w:r w:rsidR="00A23B11" w:rsidRPr="00A23B11">
        <w:rPr>
          <w:lang w:val="fr-CH"/>
        </w:rPr>
        <w:t xml:space="preserve"> invitées à participer aux travaux.</w:t>
      </w:r>
      <w:r>
        <w:rPr>
          <w:lang w:val="fr-CH"/>
        </w:rPr>
        <w:t xml:space="preserve"> La prochaine réunion du groupe informel était prévue pour les 19 et 20 avril 2017 à Berlin.</w:t>
      </w:r>
    </w:p>
    <w:p w14:paraId="5F04A012" w14:textId="77777777" w:rsidR="00A23B11" w:rsidRPr="00A23B11" w:rsidRDefault="00A23B11" w:rsidP="00A23B11">
      <w:pPr>
        <w:keepNext/>
        <w:keepLines/>
        <w:tabs>
          <w:tab w:val="right" w:pos="851"/>
        </w:tabs>
        <w:spacing w:before="240" w:after="120" w:line="240" w:lineRule="exact"/>
        <w:ind w:left="1134" w:right="1134" w:hanging="1134"/>
        <w:rPr>
          <w:b/>
          <w:lang w:val="fr-CH"/>
        </w:rPr>
      </w:pPr>
      <w:r w:rsidRPr="00A23B11">
        <w:rPr>
          <w:b/>
          <w:lang w:val="fr-CH"/>
        </w:rPr>
        <w:tab/>
        <w:t>8.</w:t>
      </w:r>
      <w:r w:rsidRPr="00A23B11">
        <w:rPr>
          <w:b/>
          <w:lang w:val="fr-CH"/>
        </w:rPr>
        <w:tab/>
        <w:t>Utilisation du courant électrique terrestre pour les bâtiments transportant des marchandises dangereuses – Exigences applicables au branchement et au câble de raccordement entre le bateau et la terre</w:t>
      </w:r>
    </w:p>
    <w:p w14:paraId="4F7DA93B" w14:textId="77777777" w:rsidR="00A23B11" w:rsidRPr="00A23B11" w:rsidRDefault="00A23B11" w:rsidP="00A23B11">
      <w:pPr>
        <w:spacing w:after="120"/>
        <w:ind w:left="1134" w:right="1134"/>
        <w:jc w:val="both"/>
        <w:rPr>
          <w:lang w:val="fr-CH"/>
        </w:rPr>
      </w:pPr>
      <w:r w:rsidRPr="00A23B11">
        <w:rPr>
          <w:i/>
          <w:lang w:val="fr-FR"/>
        </w:rPr>
        <w:t>Document informel</w:t>
      </w:r>
      <w:r w:rsidRPr="00A23B11">
        <w:rPr>
          <w:lang w:val="fr-FR"/>
        </w:rPr>
        <w:t>:</w:t>
      </w:r>
      <w:r w:rsidRPr="00A23B11">
        <w:rPr>
          <w:lang w:val="fr-FR"/>
        </w:rPr>
        <w:tab/>
      </w:r>
      <w:r w:rsidRPr="00A23B11">
        <w:rPr>
          <w:lang w:val="fr-FR"/>
        </w:rPr>
        <w:tab/>
        <w:t>INF. 21 (CCNR)</w:t>
      </w:r>
    </w:p>
    <w:p w14:paraId="22D227CF" w14:textId="73FE936C" w:rsidR="00A23B11" w:rsidRDefault="00383063" w:rsidP="00A23B11">
      <w:pPr>
        <w:pStyle w:val="SingleTxtG"/>
        <w:spacing w:before="120"/>
        <w:rPr>
          <w:lang w:val="fr-CH"/>
        </w:rPr>
      </w:pPr>
      <w:r>
        <w:rPr>
          <w:lang w:val="fr-CH"/>
        </w:rPr>
        <w:t>63</w:t>
      </w:r>
      <w:r w:rsidR="00A23B11" w:rsidRPr="00A23B11">
        <w:rPr>
          <w:lang w:val="fr-CH"/>
        </w:rPr>
        <w:t>.</w:t>
      </w:r>
      <w:r w:rsidR="00A23B11" w:rsidRPr="00A23B11">
        <w:rPr>
          <w:lang w:val="fr-CH"/>
        </w:rPr>
        <w:tab/>
        <w:t>Le Comité de sécurité a estimé que le Groupe de travail informel sur la protection contre les explosions devrait étudier les questions soulevées par la CCNR et les propositions formulées.</w:t>
      </w:r>
    </w:p>
    <w:p w14:paraId="734DEED6" w14:textId="77777777" w:rsidR="00C37397" w:rsidRPr="00C37397" w:rsidRDefault="00C37397" w:rsidP="00C37397">
      <w:pPr>
        <w:keepNext/>
        <w:keepLines/>
        <w:tabs>
          <w:tab w:val="right" w:pos="851"/>
        </w:tabs>
        <w:spacing w:before="240" w:after="120" w:line="240" w:lineRule="exact"/>
        <w:ind w:left="1134" w:right="1134" w:hanging="1134"/>
        <w:rPr>
          <w:b/>
          <w:lang w:val="fr-CH"/>
        </w:rPr>
      </w:pPr>
      <w:r w:rsidRPr="00C37397">
        <w:rPr>
          <w:b/>
          <w:lang w:val="fr-CH"/>
        </w:rPr>
        <w:tab/>
        <w:t>9.</w:t>
      </w:r>
      <w:r w:rsidRPr="00C37397">
        <w:rPr>
          <w:b/>
          <w:lang w:val="fr-CH"/>
        </w:rPr>
        <w:tab/>
        <w:t>Corrections aux dispositions transitoires relatives aux définitions de coupe-flammes et de soupapes de dégagement à grande vitesse</w:t>
      </w:r>
    </w:p>
    <w:p w14:paraId="0FD08241" w14:textId="77777777" w:rsidR="00C37397" w:rsidRPr="00C37397" w:rsidRDefault="00C37397" w:rsidP="00C37397">
      <w:pPr>
        <w:spacing w:after="120"/>
        <w:ind w:left="1134" w:right="1134"/>
        <w:jc w:val="both"/>
        <w:rPr>
          <w:lang w:val="fr-FR"/>
        </w:rPr>
      </w:pPr>
      <w:r w:rsidRPr="00C37397">
        <w:rPr>
          <w:i/>
          <w:lang w:val="fr-FR"/>
        </w:rPr>
        <w:t>Document informel</w:t>
      </w:r>
      <w:r w:rsidRPr="00C37397">
        <w:rPr>
          <w:lang w:val="fr-FR"/>
        </w:rPr>
        <w:t>:</w:t>
      </w:r>
      <w:r w:rsidRPr="00C37397">
        <w:rPr>
          <w:lang w:val="fr-FR"/>
        </w:rPr>
        <w:tab/>
      </w:r>
      <w:r w:rsidRPr="00C37397">
        <w:rPr>
          <w:lang w:val="fr-FR"/>
        </w:rPr>
        <w:tab/>
        <w:t>INF.18 (UENF, OEB et ERSTU)</w:t>
      </w:r>
    </w:p>
    <w:p w14:paraId="4D21AA7D" w14:textId="77777777" w:rsidR="00C37397" w:rsidRPr="00C37397" w:rsidRDefault="00C37397" w:rsidP="00C37397">
      <w:pPr>
        <w:spacing w:after="120"/>
        <w:ind w:left="1134" w:right="1134"/>
        <w:jc w:val="both"/>
        <w:rPr>
          <w:lang w:val="fr-CH"/>
        </w:rPr>
      </w:pPr>
      <w:r w:rsidRPr="00C37397">
        <w:rPr>
          <w:lang w:val="fr-CH"/>
        </w:rPr>
        <w:t>64.</w:t>
      </w:r>
      <w:r w:rsidRPr="00C37397">
        <w:rPr>
          <w:lang w:val="fr-CH"/>
        </w:rPr>
        <w:tab/>
        <w:t>Le Comité de sécurité a partagé l'avis de l'UENF, OEB et ERSTU que la disposition transitoire du 1.6.7.2.2.2 prévue pour la définition de coupe-flammes du 1.2.1 doit être corrigée pour remplacer «N.R.T à partir du 1er janvier 2001» par «N.R.T à partir du 1er janvier 2015». En effet, il n'est pas logique de prévoir dans une mesure transitoire que du matériel installé sur des bateaux construits à partir du 1er janvier 2001 soit conforme à une norme publiée en 2010. Le texte de cette disposition transitoire avait d'ailleurs déjà été rectifiée suite aux décisions prises à la session d'août 2014 (ECE/TRANS/WP.15/AC.2/52, annexe IV et notifications dépositaires C.N.621-2014-TREATIES-XI.D.6 et C.N.191-2015-TREATIES-XI-D.6). Malheureusement la correction était incomplète car l'intention était d'aligner complètement le texte de cette disposition transitoire sur celui prévu pour celle relative à la définition de soupapes de dégagement à grande vitesse.</w:t>
      </w:r>
    </w:p>
    <w:p w14:paraId="1F966410" w14:textId="77777777" w:rsidR="00C37397" w:rsidRPr="00C37397" w:rsidRDefault="00C37397" w:rsidP="00C37397">
      <w:pPr>
        <w:spacing w:after="120"/>
        <w:ind w:left="1134" w:right="1134"/>
        <w:jc w:val="both"/>
        <w:rPr>
          <w:lang w:val="fr-CH"/>
        </w:rPr>
      </w:pPr>
      <w:r w:rsidRPr="00C37397">
        <w:rPr>
          <w:lang w:val="fr-CH"/>
        </w:rPr>
        <w:lastRenderedPageBreak/>
        <w:t>65.</w:t>
      </w:r>
      <w:r w:rsidRPr="00C37397">
        <w:rPr>
          <w:lang w:val="fr-CH"/>
        </w:rPr>
        <w:tab/>
        <w:t>En examinant les textes de ces dispositions transitoires, le Comité de sécurité a noté qu'elles comportent toutes deux une erreur car elles mentionnent la norme ISO 12874:1999. Or la version visée de la norme ISO 12874 n'était qu'au stade de projet en 1999, et la version publiée est la norme ISO 12874:2001. Ceci devrait être aussi corrigé.</w:t>
      </w:r>
    </w:p>
    <w:p w14:paraId="67898DCE" w14:textId="77777777" w:rsidR="00C37397" w:rsidRPr="00C37397" w:rsidRDefault="00C37397" w:rsidP="00C37397">
      <w:pPr>
        <w:spacing w:after="120"/>
        <w:ind w:left="1134" w:right="1134"/>
        <w:jc w:val="both"/>
        <w:rPr>
          <w:lang w:val="fr-CH"/>
        </w:rPr>
      </w:pPr>
      <w:r w:rsidRPr="00C37397">
        <w:rPr>
          <w:lang w:val="fr-CH"/>
        </w:rPr>
        <w:t>66.</w:t>
      </w:r>
      <w:r w:rsidRPr="00C37397">
        <w:rPr>
          <w:lang w:val="fr-CH"/>
        </w:rPr>
        <w:tab/>
        <w:t>Le Comité de sécurité recommande au Comité d'administration d'approuver ces corrections afin qu'elles puissent être notifiées aux Parties contractantes pour acceptation</w:t>
      </w:r>
      <w:r w:rsidR="00383063">
        <w:rPr>
          <w:lang w:val="fr-CH"/>
        </w:rPr>
        <w:t xml:space="preserve"> (voir annexe I)</w:t>
      </w:r>
      <w:r w:rsidRPr="00C37397">
        <w:rPr>
          <w:lang w:val="fr-CH"/>
        </w:rPr>
        <w:t>.</w:t>
      </w:r>
      <w:r w:rsidR="00383063">
        <w:rPr>
          <w:lang w:val="fr-CH"/>
        </w:rPr>
        <w:t xml:space="preserve"> </w:t>
      </w:r>
    </w:p>
    <w:p w14:paraId="2312096E" w14:textId="77777777" w:rsidR="00C37397" w:rsidRPr="00C37397" w:rsidRDefault="00C37397" w:rsidP="00C37397">
      <w:pPr>
        <w:keepNext/>
        <w:keepLines/>
        <w:tabs>
          <w:tab w:val="right" w:pos="851"/>
        </w:tabs>
        <w:spacing w:before="240" w:after="120" w:line="240" w:lineRule="exact"/>
        <w:ind w:left="1134" w:right="1134" w:hanging="1134"/>
        <w:rPr>
          <w:b/>
          <w:lang w:val="fr-CH"/>
        </w:rPr>
      </w:pPr>
      <w:r w:rsidRPr="00C37397">
        <w:rPr>
          <w:b/>
          <w:lang w:val="fr-CH"/>
        </w:rPr>
        <w:tab/>
        <w:t>10.</w:t>
      </w:r>
      <w:r w:rsidRPr="00C37397">
        <w:rPr>
          <w:b/>
          <w:lang w:val="fr-CH"/>
        </w:rPr>
        <w:tab/>
        <w:t>Matériaux de construction</w:t>
      </w:r>
    </w:p>
    <w:p w14:paraId="06008287" w14:textId="77777777" w:rsidR="00C37397" w:rsidRPr="00C37397" w:rsidRDefault="00C37397" w:rsidP="00C37397">
      <w:pPr>
        <w:spacing w:after="120"/>
        <w:ind w:left="1134" w:right="1134"/>
        <w:jc w:val="both"/>
        <w:rPr>
          <w:lang w:val="fr-CH"/>
        </w:rPr>
      </w:pPr>
      <w:r w:rsidRPr="00C37397">
        <w:rPr>
          <w:i/>
          <w:lang w:val="fr-FR"/>
        </w:rPr>
        <w:t>Document informel</w:t>
      </w:r>
      <w:r w:rsidRPr="00C37397">
        <w:rPr>
          <w:lang w:val="fr-FR"/>
        </w:rPr>
        <w:t>:</w:t>
      </w:r>
      <w:r w:rsidRPr="00C37397">
        <w:rPr>
          <w:lang w:val="fr-FR"/>
        </w:rPr>
        <w:tab/>
      </w:r>
      <w:r w:rsidRPr="00C37397">
        <w:rPr>
          <w:lang w:val="fr-FR"/>
        </w:rPr>
        <w:tab/>
        <w:t>INF.24 (UENF, OEB et ERSTU)</w:t>
      </w:r>
    </w:p>
    <w:p w14:paraId="5C9C260B" w14:textId="77777777" w:rsidR="00C37397" w:rsidRPr="00C37397" w:rsidRDefault="00C37397" w:rsidP="00C37397">
      <w:pPr>
        <w:spacing w:after="120"/>
        <w:ind w:left="1134" w:right="1134"/>
        <w:jc w:val="both"/>
        <w:rPr>
          <w:lang w:val="fr-CH"/>
        </w:rPr>
      </w:pPr>
      <w:r w:rsidRPr="00C37397">
        <w:rPr>
          <w:lang w:val="fr-CH"/>
        </w:rPr>
        <w:t>67.</w:t>
      </w:r>
      <w:r w:rsidRPr="00C37397">
        <w:rPr>
          <w:lang w:val="fr-CH"/>
        </w:rPr>
        <w:tab/>
        <w:t>Le Comité de sécurité a invité les délégations intéressées à adresser leurs commentaires au représentant de l'UENF d'ici deux mois afin qu'une proposition officielle puisse être préparée pour la prochaine session.</w:t>
      </w:r>
    </w:p>
    <w:p w14:paraId="6D6C6C41" w14:textId="77777777" w:rsidR="00C37397" w:rsidRPr="00C37397" w:rsidRDefault="00C37397" w:rsidP="00C37397">
      <w:pPr>
        <w:keepNext/>
        <w:keepLines/>
        <w:tabs>
          <w:tab w:val="right" w:pos="851"/>
        </w:tabs>
        <w:spacing w:before="360" w:after="200" w:line="300" w:lineRule="exact"/>
        <w:ind w:left="1134" w:right="1134" w:hanging="1134"/>
        <w:rPr>
          <w:b/>
          <w:sz w:val="28"/>
          <w:lang w:val="fr-CH"/>
        </w:rPr>
      </w:pPr>
      <w:r w:rsidRPr="00C37397">
        <w:rPr>
          <w:b/>
          <w:sz w:val="28"/>
          <w:lang w:val="fr-CH"/>
        </w:rPr>
        <w:tab/>
        <w:t xml:space="preserve">VII </w:t>
      </w:r>
      <w:r w:rsidRPr="00C37397">
        <w:rPr>
          <w:b/>
          <w:sz w:val="28"/>
          <w:lang w:val="fr-CH"/>
        </w:rPr>
        <w:tab/>
        <w:t>Rapports des groupes de travail informels (point 6 de l'ordre du jour)</w:t>
      </w:r>
    </w:p>
    <w:p w14:paraId="7381E7E8" w14:textId="77777777" w:rsidR="00C37397" w:rsidRPr="00C37397" w:rsidRDefault="00C37397" w:rsidP="00C37397">
      <w:pPr>
        <w:keepNext/>
        <w:keepLines/>
        <w:tabs>
          <w:tab w:val="right" w:pos="851"/>
        </w:tabs>
        <w:spacing w:before="240" w:after="240" w:line="270" w:lineRule="exact"/>
        <w:ind w:left="1134" w:right="1134" w:hanging="1134"/>
        <w:rPr>
          <w:b/>
          <w:sz w:val="24"/>
          <w:lang w:val="fr-CH"/>
        </w:rPr>
      </w:pPr>
      <w:r w:rsidRPr="00C37397">
        <w:rPr>
          <w:b/>
          <w:sz w:val="24"/>
          <w:lang w:val="fr-CH"/>
        </w:rPr>
        <w:tab/>
        <w:t xml:space="preserve">A. </w:t>
      </w:r>
      <w:r w:rsidRPr="00C37397">
        <w:rPr>
          <w:b/>
          <w:sz w:val="24"/>
          <w:lang w:val="fr-CH"/>
        </w:rPr>
        <w:tab/>
        <w:t>Groupe de travail informel sur le gaz naturel liquéfié</w:t>
      </w:r>
    </w:p>
    <w:p w14:paraId="59AA9781" w14:textId="77777777" w:rsidR="00C37397" w:rsidRPr="00C37397" w:rsidRDefault="00C37397" w:rsidP="00C37397">
      <w:pPr>
        <w:ind w:left="1134" w:right="1134"/>
        <w:jc w:val="both"/>
        <w:rPr>
          <w:lang w:val="fr-CH"/>
        </w:rPr>
      </w:pPr>
      <w:r w:rsidRPr="00C37397">
        <w:rPr>
          <w:i/>
          <w:lang w:val="fr-FR"/>
        </w:rPr>
        <w:t>Document</w:t>
      </w:r>
      <w:r w:rsidRPr="00C37397">
        <w:rPr>
          <w:lang w:val="fr-FR"/>
        </w:rPr>
        <w:t>:</w:t>
      </w:r>
      <w:r w:rsidRPr="00C37397">
        <w:rPr>
          <w:lang w:val="fr-FR"/>
        </w:rPr>
        <w:tab/>
      </w:r>
      <w:r w:rsidRPr="00C37397">
        <w:rPr>
          <w:lang w:val="fr-FR"/>
        </w:rPr>
        <w:tab/>
      </w:r>
      <w:r w:rsidRPr="00C37397">
        <w:rPr>
          <w:lang w:val="fr-FR"/>
        </w:rPr>
        <w:tab/>
      </w:r>
      <w:r w:rsidRPr="00C37397">
        <w:rPr>
          <w:spacing w:val="-2"/>
          <w:lang w:val="fr-FR"/>
        </w:rPr>
        <w:t>ECE/TRANS/WP.15/AC.2/2017/7 (Pays-Bas et Suisse)</w:t>
      </w:r>
    </w:p>
    <w:p w14:paraId="0083232F" w14:textId="77777777" w:rsidR="00C37397" w:rsidRPr="00C37397" w:rsidRDefault="00C37397" w:rsidP="00C37397">
      <w:pPr>
        <w:spacing w:after="120"/>
        <w:ind w:left="1134" w:right="1134"/>
        <w:jc w:val="both"/>
        <w:rPr>
          <w:lang w:val="fr-CH"/>
        </w:rPr>
      </w:pPr>
      <w:r w:rsidRPr="00C37397">
        <w:rPr>
          <w:i/>
          <w:lang w:val="fr-FR"/>
        </w:rPr>
        <w:t>Document informel</w:t>
      </w:r>
      <w:r w:rsidRPr="00C37397">
        <w:rPr>
          <w:lang w:val="fr-FR"/>
        </w:rPr>
        <w:t>:</w:t>
      </w:r>
      <w:r w:rsidRPr="00C37397">
        <w:rPr>
          <w:lang w:val="fr-FR"/>
        </w:rPr>
        <w:tab/>
      </w:r>
      <w:r w:rsidRPr="00C37397">
        <w:rPr>
          <w:lang w:val="fr-FR"/>
        </w:rPr>
        <w:tab/>
        <w:t>INF.28 (</w:t>
      </w:r>
      <w:r w:rsidRPr="00C37397">
        <w:rPr>
          <w:spacing w:val="-2"/>
          <w:lang w:val="fr-FR"/>
        </w:rPr>
        <w:t>Pays-Bas et Suisse</w:t>
      </w:r>
      <w:r w:rsidRPr="00C37397">
        <w:rPr>
          <w:lang w:val="fr-FR"/>
        </w:rPr>
        <w:t>)</w:t>
      </w:r>
    </w:p>
    <w:p w14:paraId="41E96418" w14:textId="77777777" w:rsidR="00C37397" w:rsidRPr="00C37397" w:rsidRDefault="00C37397" w:rsidP="00C37397">
      <w:pPr>
        <w:spacing w:after="120"/>
        <w:ind w:left="1134" w:right="1134"/>
        <w:jc w:val="both"/>
        <w:rPr>
          <w:lang w:val="fr-CH"/>
        </w:rPr>
      </w:pPr>
      <w:r w:rsidRPr="00C37397">
        <w:rPr>
          <w:lang w:val="fr-CH"/>
        </w:rPr>
        <w:t>68.</w:t>
      </w:r>
      <w:r w:rsidRPr="00C37397">
        <w:rPr>
          <w:lang w:val="fr-CH"/>
        </w:rPr>
        <w:tab/>
        <w:t>Le Comité de sécurité a prise note avec intérêt du rapport du Groupe de travail informel et a adopté les propositions figurant au document informel INF.28 avec l'ajout d'une note de bas de page dont la rédaction a été confiée au secrétariat.</w:t>
      </w:r>
    </w:p>
    <w:p w14:paraId="31B1B208" w14:textId="55FF00C0" w:rsidR="00C37397" w:rsidRPr="00C37397" w:rsidRDefault="00C37397" w:rsidP="00C37397">
      <w:pPr>
        <w:spacing w:after="120"/>
        <w:ind w:left="1134" w:right="1134"/>
        <w:jc w:val="both"/>
        <w:rPr>
          <w:spacing w:val="-2"/>
          <w:lang w:val="fr-CH"/>
        </w:rPr>
      </w:pPr>
      <w:r w:rsidRPr="00C37397">
        <w:rPr>
          <w:spacing w:val="-2"/>
          <w:lang w:val="fr-CH"/>
        </w:rPr>
        <w:t>69.</w:t>
      </w:r>
      <w:r w:rsidRPr="00C37397">
        <w:rPr>
          <w:spacing w:val="-2"/>
          <w:lang w:val="fr-CH"/>
        </w:rPr>
        <w:tab/>
        <w:t>Le Comité de sécurité a noté qu'il est prévu de reprendre les dispositions du chapitre 30 et de l'annexe 8 da la norme ES-TRIN dans la résolution No. 61 du Groupe de travail des transports par voies navigables (SC.3) du Comité des transports intérieurs de la CEE-ONU (voir document ECE/TRANS/SC.3/WP.3/2017/8 disponible en anglais, français et russe).</w:t>
      </w:r>
      <w:r w:rsidR="00383063">
        <w:rPr>
          <w:spacing w:val="-2"/>
          <w:lang w:val="fr-CH"/>
        </w:rPr>
        <w:t xml:space="preserve"> Le</w:t>
      </w:r>
      <w:r w:rsidR="00475224">
        <w:rPr>
          <w:spacing w:val="-2"/>
          <w:lang w:val="fr-CH"/>
        </w:rPr>
        <w:t>s</w:t>
      </w:r>
      <w:r w:rsidR="00383063">
        <w:rPr>
          <w:spacing w:val="-2"/>
          <w:lang w:val="fr-CH"/>
        </w:rPr>
        <w:t xml:space="preserve"> Pays-Bas rédigeraient un accord multilatéral permettant d'utiliser ces dispositions à partir du 1</w:t>
      </w:r>
      <w:r w:rsidR="00383063" w:rsidRPr="00383063">
        <w:rPr>
          <w:spacing w:val="-2"/>
          <w:lang w:val="fr-CH"/>
        </w:rPr>
        <w:t>er</w:t>
      </w:r>
      <w:r w:rsidR="00383063">
        <w:rPr>
          <w:spacing w:val="-2"/>
          <w:lang w:val="fr-CH"/>
        </w:rPr>
        <w:t xml:space="preserve"> juillet 2017 en attendant que les amendements correspondants puissent être pris en compte dans l'ADN.</w:t>
      </w:r>
    </w:p>
    <w:p w14:paraId="09079C86" w14:textId="77777777" w:rsidR="00C37397" w:rsidRPr="00C37397" w:rsidRDefault="00C37397" w:rsidP="00C37397">
      <w:pPr>
        <w:keepNext/>
        <w:keepLines/>
        <w:tabs>
          <w:tab w:val="right" w:pos="851"/>
        </w:tabs>
        <w:spacing w:before="360" w:after="240" w:line="270" w:lineRule="exact"/>
        <w:ind w:left="1134" w:right="1134" w:hanging="1134"/>
        <w:rPr>
          <w:b/>
          <w:sz w:val="24"/>
          <w:lang w:val="fr-CH"/>
        </w:rPr>
      </w:pPr>
      <w:r w:rsidRPr="00C37397">
        <w:rPr>
          <w:b/>
          <w:sz w:val="24"/>
          <w:lang w:val="fr-CH"/>
        </w:rPr>
        <w:tab/>
        <w:t xml:space="preserve">B. </w:t>
      </w:r>
      <w:r w:rsidRPr="00C37397">
        <w:rPr>
          <w:b/>
          <w:sz w:val="24"/>
          <w:lang w:val="fr-CH"/>
        </w:rPr>
        <w:tab/>
        <w:t>Groupe de travail informel sur la protection contre les explosions à bord des bateaux-citernes</w:t>
      </w:r>
    </w:p>
    <w:p w14:paraId="040C7C54" w14:textId="77777777" w:rsidR="00C37397" w:rsidRPr="00C37397" w:rsidRDefault="00C37397" w:rsidP="00C37397">
      <w:pPr>
        <w:ind w:left="1134" w:right="1134"/>
        <w:jc w:val="both"/>
        <w:rPr>
          <w:lang w:val="fr-FR"/>
        </w:rPr>
      </w:pPr>
      <w:r w:rsidRPr="00C37397">
        <w:rPr>
          <w:i/>
          <w:lang w:val="fr-FR"/>
        </w:rPr>
        <w:t>Documents informels</w:t>
      </w:r>
      <w:r w:rsidRPr="00C37397">
        <w:rPr>
          <w:lang w:val="fr-FR"/>
        </w:rPr>
        <w:t>:</w:t>
      </w:r>
      <w:r w:rsidRPr="00C37397">
        <w:rPr>
          <w:lang w:val="fr-FR"/>
        </w:rPr>
        <w:tab/>
        <w:t>INF.8 (CCNR)</w:t>
      </w:r>
    </w:p>
    <w:p w14:paraId="6E0A461B" w14:textId="77777777" w:rsidR="00C37397" w:rsidRPr="00C37397" w:rsidRDefault="00C37397" w:rsidP="00C37397">
      <w:pPr>
        <w:spacing w:after="120"/>
        <w:ind w:left="1134" w:right="1134"/>
        <w:jc w:val="both"/>
        <w:rPr>
          <w:lang w:val="fr-CH"/>
        </w:rPr>
      </w:pPr>
      <w:r w:rsidRPr="00C37397">
        <w:rPr>
          <w:lang w:val="fr-FR"/>
        </w:rPr>
        <w:tab/>
      </w:r>
      <w:r w:rsidRPr="00C37397">
        <w:rPr>
          <w:lang w:val="fr-FR"/>
        </w:rPr>
        <w:tab/>
      </w:r>
      <w:r w:rsidRPr="00C37397">
        <w:rPr>
          <w:lang w:val="fr-FR"/>
        </w:rPr>
        <w:tab/>
      </w:r>
      <w:r w:rsidRPr="00C37397">
        <w:rPr>
          <w:lang w:val="fr-FR"/>
        </w:rPr>
        <w:tab/>
        <w:t>INF</w:t>
      </w:r>
      <w:r w:rsidRPr="00C37397">
        <w:rPr>
          <w:lang w:val="fr-CH"/>
        </w:rPr>
        <w:t>.26 (Secrétariat)</w:t>
      </w:r>
    </w:p>
    <w:p w14:paraId="1B305E5D" w14:textId="77777777" w:rsidR="00C37397" w:rsidRPr="00C37397" w:rsidRDefault="00C37397" w:rsidP="00C37397">
      <w:pPr>
        <w:spacing w:after="120"/>
        <w:ind w:left="1134" w:right="1134"/>
        <w:jc w:val="both"/>
        <w:rPr>
          <w:lang w:val="fr-CH"/>
        </w:rPr>
      </w:pPr>
      <w:r w:rsidRPr="00C37397">
        <w:rPr>
          <w:lang w:val="fr-CH"/>
        </w:rPr>
        <w:t>70.</w:t>
      </w:r>
      <w:r w:rsidRPr="00C37397">
        <w:rPr>
          <w:lang w:val="fr-CH"/>
        </w:rPr>
        <w:tab/>
        <w:t>Il a été rappelé qu'il n'avait pas été possible de finaliser les travaux à la session précédente mais que les textes adoptés pour l'instant figuraient dans les document ECE/TRANS/WP.15/AC.2/2016/30 et Corr.1 (et sous forme consolidée dans le document informel INF.13 de la vingt-neuvième session) tels que modifiés à la dernière session selon le projet de rapport ECE/TRANS/WP.15/AC.2/2016/CRP.4/Add.1 (reproduit à la présente session sous la forme du document informel INF.26) et le document INF.28 de la vingt-neuvième session.</w:t>
      </w:r>
    </w:p>
    <w:p w14:paraId="29A0E6A2" w14:textId="52A5639E" w:rsidR="00C37397" w:rsidRPr="00C37397" w:rsidRDefault="00C37397" w:rsidP="00C37397">
      <w:pPr>
        <w:spacing w:after="120"/>
        <w:ind w:left="1134" w:right="1134"/>
        <w:jc w:val="both"/>
        <w:rPr>
          <w:lang w:val="fr-CH"/>
        </w:rPr>
      </w:pPr>
      <w:r w:rsidRPr="00C37397">
        <w:rPr>
          <w:lang w:val="fr-CH"/>
        </w:rPr>
        <w:t>71.</w:t>
      </w:r>
      <w:r w:rsidRPr="00C37397">
        <w:rPr>
          <w:lang w:val="fr-CH"/>
        </w:rPr>
        <w:tab/>
        <w:t>Le Comité de sécurité a adopté les propositions contenues dans le document informel INF.8</w:t>
      </w:r>
      <w:r w:rsidR="001040DE">
        <w:rPr>
          <w:lang w:val="fr-CH"/>
        </w:rPr>
        <w:t>.</w:t>
      </w:r>
      <w:r w:rsidRPr="00C37397">
        <w:rPr>
          <w:lang w:val="fr-CH"/>
        </w:rPr>
        <w:t xml:space="preserve"> </w:t>
      </w:r>
      <w:r w:rsidR="001040DE">
        <w:rPr>
          <w:lang w:val="fr-CH"/>
        </w:rPr>
        <w:t>Pour le point 2, le groupe de travail informel devrait consulter les experts concernés.</w:t>
      </w:r>
    </w:p>
    <w:p w14:paraId="1CBCAE52" w14:textId="77777777" w:rsidR="00C37397" w:rsidRPr="00C37397" w:rsidRDefault="00C37397" w:rsidP="00C37397">
      <w:pPr>
        <w:spacing w:after="120"/>
        <w:ind w:left="1134" w:right="1134"/>
        <w:jc w:val="both"/>
        <w:rPr>
          <w:lang w:val="fr-CH"/>
        </w:rPr>
      </w:pPr>
      <w:r w:rsidRPr="00C37397">
        <w:rPr>
          <w:lang w:val="fr-CH"/>
        </w:rPr>
        <w:lastRenderedPageBreak/>
        <w:t>72.</w:t>
      </w:r>
      <w:r w:rsidRPr="00C37397">
        <w:rPr>
          <w:lang w:val="fr-CH"/>
        </w:rPr>
        <w:tab/>
        <w:t>Les secrétariat</w:t>
      </w:r>
      <w:r w:rsidR="00006EF7">
        <w:rPr>
          <w:lang w:val="fr-CH"/>
        </w:rPr>
        <w:t>s</w:t>
      </w:r>
      <w:r w:rsidRPr="00C37397">
        <w:rPr>
          <w:lang w:val="fr-CH"/>
        </w:rPr>
        <w:t xml:space="preserve"> de la CEE-ONU et de la CCNR ont été priés de coopérer pour assurer que la liste complète des modifications adoptées jusqu'à présent et celles qui pourront éventuellement être proposées par le groupe de travail informel puissent être soumises sous forme appropriée dans les quatre langues de travail pour la session d'août 2017.</w:t>
      </w:r>
    </w:p>
    <w:p w14:paraId="0D782E9F" w14:textId="77777777" w:rsidR="00C37397" w:rsidRPr="00C37397" w:rsidRDefault="00C37397" w:rsidP="00C37397">
      <w:pPr>
        <w:keepNext/>
        <w:keepLines/>
        <w:tabs>
          <w:tab w:val="right" w:pos="851"/>
        </w:tabs>
        <w:spacing w:before="360" w:after="240" w:line="270" w:lineRule="exact"/>
        <w:ind w:left="1134" w:right="1134" w:hanging="1134"/>
        <w:rPr>
          <w:b/>
          <w:sz w:val="24"/>
          <w:lang w:val="fr-CH"/>
        </w:rPr>
      </w:pPr>
      <w:r w:rsidRPr="00C37397">
        <w:rPr>
          <w:b/>
          <w:sz w:val="24"/>
          <w:lang w:val="fr-CH"/>
        </w:rPr>
        <w:tab/>
        <w:t>C.</w:t>
      </w:r>
      <w:r w:rsidRPr="00C37397">
        <w:rPr>
          <w:b/>
          <w:sz w:val="24"/>
          <w:lang w:val="fr-CH"/>
        </w:rPr>
        <w:tab/>
        <w:t>Groupe de travail informel des Sociétés de classification recommandées ADN</w:t>
      </w:r>
    </w:p>
    <w:p w14:paraId="56A15164" w14:textId="77777777" w:rsidR="00C37397" w:rsidRPr="00C37397" w:rsidRDefault="00C37397" w:rsidP="00C37397">
      <w:pPr>
        <w:spacing w:after="120"/>
        <w:ind w:left="1134" w:right="1134"/>
        <w:jc w:val="both"/>
        <w:rPr>
          <w:lang w:val="fr-CH"/>
        </w:rPr>
      </w:pPr>
      <w:r w:rsidRPr="00C37397">
        <w:rPr>
          <w:i/>
          <w:lang w:val="fr-FR"/>
        </w:rPr>
        <w:t>Document informel</w:t>
      </w:r>
      <w:r w:rsidRPr="00C37397">
        <w:rPr>
          <w:lang w:val="fr-FR"/>
        </w:rPr>
        <w:t>:</w:t>
      </w:r>
      <w:r w:rsidRPr="00C37397">
        <w:rPr>
          <w:lang w:val="fr-FR"/>
        </w:rPr>
        <w:tab/>
      </w:r>
      <w:r w:rsidRPr="00C37397">
        <w:rPr>
          <w:lang w:val="fr-FR"/>
        </w:rPr>
        <w:tab/>
        <w:t>INF.13 (</w:t>
      </w:r>
      <w:r w:rsidRPr="00C37397">
        <w:rPr>
          <w:spacing w:val="-2"/>
          <w:lang w:val="fr-CH"/>
        </w:rPr>
        <w:t>Sociétés de classification recommandées ADN</w:t>
      </w:r>
      <w:r w:rsidRPr="00C37397">
        <w:rPr>
          <w:lang w:val="fr-FR"/>
        </w:rPr>
        <w:t>)</w:t>
      </w:r>
    </w:p>
    <w:p w14:paraId="05BC5C0C" w14:textId="77777777" w:rsidR="00C37397" w:rsidRPr="00C37397" w:rsidRDefault="00C37397" w:rsidP="00C37397">
      <w:pPr>
        <w:spacing w:after="120"/>
        <w:ind w:left="1134" w:right="1134"/>
        <w:jc w:val="both"/>
        <w:rPr>
          <w:lang w:val="fr-CH"/>
        </w:rPr>
      </w:pPr>
      <w:r w:rsidRPr="00C37397">
        <w:rPr>
          <w:lang w:val="fr-CH"/>
        </w:rPr>
        <w:t>73.</w:t>
      </w:r>
      <w:r w:rsidRPr="00C37397">
        <w:rPr>
          <w:lang w:val="fr-CH"/>
        </w:rPr>
        <w:tab/>
        <w:t>Le Comité de sécurité a pris note avec intérêt des travaux de ce groupe.</w:t>
      </w:r>
    </w:p>
    <w:p w14:paraId="2623EF5C" w14:textId="3CFAEB7B" w:rsidR="00C37397" w:rsidRPr="00C37397" w:rsidRDefault="00C37397" w:rsidP="00C37397">
      <w:pPr>
        <w:spacing w:after="120"/>
        <w:ind w:left="1134" w:right="1134"/>
        <w:jc w:val="both"/>
        <w:rPr>
          <w:lang w:val="fr-CH"/>
        </w:rPr>
      </w:pPr>
      <w:r w:rsidRPr="00C37397">
        <w:rPr>
          <w:lang w:val="fr-CH"/>
        </w:rPr>
        <w:t>74.</w:t>
      </w:r>
      <w:r w:rsidRPr="00C37397">
        <w:rPr>
          <w:lang w:val="fr-CH"/>
        </w:rPr>
        <w:tab/>
        <w:t xml:space="preserve">Pour la question soulevée au point 2.7, le Comité de sécurité était d'avis que l'accord multilatéral M 018 concernait les coupe-flammes proprement dits, mais aussi les autres dispositifs qui peuvent faire office de coupe-flammes comme les soupapes de dégagement grande vitesse, </w:t>
      </w:r>
      <w:r w:rsidR="007660A3">
        <w:rPr>
          <w:lang w:val="fr-CH"/>
        </w:rPr>
        <w:t>comme</w:t>
      </w:r>
      <w:r w:rsidRPr="00C37397">
        <w:rPr>
          <w:lang w:val="fr-CH"/>
        </w:rPr>
        <w:t xml:space="preserve"> mentionné dans les explications du 3.2.3.1 relatives à la colonne (16).</w:t>
      </w:r>
    </w:p>
    <w:p w14:paraId="4BA25C56" w14:textId="52878DDE" w:rsidR="00C37397" w:rsidRPr="00C37397" w:rsidRDefault="00C37397" w:rsidP="00C37397">
      <w:pPr>
        <w:spacing w:after="120"/>
        <w:ind w:left="1134" w:right="1134"/>
        <w:jc w:val="both"/>
        <w:rPr>
          <w:lang w:val="fr-CH"/>
        </w:rPr>
      </w:pPr>
      <w:r w:rsidRPr="00C37397">
        <w:rPr>
          <w:lang w:val="fr-CH"/>
        </w:rPr>
        <w:t>75.</w:t>
      </w:r>
      <w:r w:rsidRPr="00C37397">
        <w:rPr>
          <w:lang w:val="fr-CH"/>
        </w:rPr>
        <w:tab/>
        <w:t xml:space="preserve">Pour la question posée au point 4.3, il a été souligné qu'un amendement ne </w:t>
      </w:r>
      <w:r w:rsidR="007660A3">
        <w:rPr>
          <w:lang w:val="fr-CH"/>
        </w:rPr>
        <w:t>devenait</w:t>
      </w:r>
      <w:r w:rsidR="007660A3" w:rsidRPr="00C37397">
        <w:rPr>
          <w:lang w:val="fr-CH"/>
        </w:rPr>
        <w:t xml:space="preserve"> </w:t>
      </w:r>
      <w:r w:rsidRPr="00C37397">
        <w:rPr>
          <w:lang w:val="fr-CH"/>
        </w:rPr>
        <w:t xml:space="preserve">pas applicable dès qu'il </w:t>
      </w:r>
      <w:r w:rsidR="007660A3">
        <w:rPr>
          <w:lang w:val="fr-CH"/>
        </w:rPr>
        <w:t>avait</w:t>
      </w:r>
      <w:r w:rsidR="007660A3" w:rsidRPr="00C37397">
        <w:rPr>
          <w:lang w:val="fr-CH"/>
        </w:rPr>
        <w:t xml:space="preserve"> </w:t>
      </w:r>
      <w:r w:rsidRPr="00C37397">
        <w:rPr>
          <w:lang w:val="fr-CH"/>
        </w:rPr>
        <w:t xml:space="preserve">été adopté par le Comité de sécurité et entériné par le Comité d'administration. Il ne </w:t>
      </w:r>
      <w:r w:rsidR="007660A3">
        <w:rPr>
          <w:lang w:val="fr-CH"/>
        </w:rPr>
        <w:t>devenait</w:t>
      </w:r>
      <w:r w:rsidR="007660A3" w:rsidRPr="00C37397">
        <w:rPr>
          <w:lang w:val="fr-CH"/>
        </w:rPr>
        <w:t xml:space="preserve"> </w:t>
      </w:r>
      <w:r w:rsidRPr="00C37397">
        <w:rPr>
          <w:lang w:val="fr-CH"/>
        </w:rPr>
        <w:t xml:space="preserve">applicable qu'une fois les conditions prévues à l'article 19 de l'ADN </w:t>
      </w:r>
      <w:r w:rsidR="00922D99">
        <w:rPr>
          <w:lang w:val="fr-CH"/>
        </w:rPr>
        <w:t>avaient</w:t>
      </w:r>
      <w:r w:rsidR="00922D99" w:rsidRPr="00C37397">
        <w:rPr>
          <w:lang w:val="fr-CH"/>
        </w:rPr>
        <w:t xml:space="preserve"> </w:t>
      </w:r>
      <w:r w:rsidRPr="00C37397">
        <w:rPr>
          <w:lang w:val="fr-CH"/>
        </w:rPr>
        <w:t xml:space="preserve">été remplies et à la date prévue au paragraphe 5 de cet article 19. La date d'application aux transports nationaux dans les pays de l'Union européenne </w:t>
      </w:r>
      <w:r w:rsidR="00922D99" w:rsidRPr="00C37397">
        <w:rPr>
          <w:lang w:val="fr-CH"/>
        </w:rPr>
        <w:t>pou</w:t>
      </w:r>
      <w:r w:rsidR="00922D99">
        <w:rPr>
          <w:lang w:val="fr-CH"/>
        </w:rPr>
        <w:t>vait</w:t>
      </w:r>
      <w:r w:rsidR="00922D99" w:rsidRPr="00C37397">
        <w:rPr>
          <w:lang w:val="fr-CH"/>
        </w:rPr>
        <w:t xml:space="preserve"> </w:t>
      </w:r>
      <w:r w:rsidRPr="00C37397">
        <w:rPr>
          <w:lang w:val="fr-CH"/>
        </w:rPr>
        <w:t xml:space="preserve">varier suivant les pays de l'Union européenne entre la date d'entrée en vigueur des amendements à l'ADN et une date butoir fixée dans des directives de la Commission européenne qui </w:t>
      </w:r>
      <w:r w:rsidR="00922D99">
        <w:rPr>
          <w:lang w:val="fr-CH"/>
        </w:rPr>
        <w:t>était</w:t>
      </w:r>
      <w:r w:rsidR="00922D99" w:rsidRPr="00C37397">
        <w:rPr>
          <w:lang w:val="fr-CH"/>
        </w:rPr>
        <w:t xml:space="preserve"> </w:t>
      </w:r>
      <w:r w:rsidRPr="00C37397">
        <w:rPr>
          <w:lang w:val="fr-CH"/>
        </w:rPr>
        <w:t>généralement de six mois après la date d'entrés en vigueur pour les transport internationaux (correspondant à la période transitoire générale de six mois prévus pour l'application des amendements à l'ADN après leur entrée en vigueur).</w:t>
      </w:r>
    </w:p>
    <w:p w14:paraId="2EBD26C3" w14:textId="77777777" w:rsidR="00C37397" w:rsidRPr="00C37397" w:rsidRDefault="00C37397" w:rsidP="00C37397">
      <w:pPr>
        <w:keepNext/>
        <w:keepLines/>
        <w:tabs>
          <w:tab w:val="right" w:pos="851"/>
        </w:tabs>
        <w:spacing w:before="360" w:after="240" w:line="300" w:lineRule="exact"/>
        <w:ind w:left="1134" w:right="1134" w:hanging="1134"/>
        <w:rPr>
          <w:b/>
          <w:sz w:val="28"/>
          <w:lang w:val="fr-CH"/>
        </w:rPr>
      </w:pPr>
      <w:r w:rsidRPr="00C37397">
        <w:rPr>
          <w:b/>
          <w:sz w:val="28"/>
          <w:lang w:val="fr-CH"/>
        </w:rPr>
        <w:tab/>
        <w:t xml:space="preserve">VIII. </w:t>
      </w:r>
      <w:r w:rsidRPr="00C37397">
        <w:rPr>
          <w:b/>
          <w:sz w:val="28"/>
          <w:lang w:val="fr-CH"/>
        </w:rPr>
        <w:tab/>
        <w:t>Programme de travail et calendrier des réunions (point 7 de l'ordre de jour)</w:t>
      </w:r>
    </w:p>
    <w:p w14:paraId="2984C050" w14:textId="77777777" w:rsidR="00C37397" w:rsidRPr="00C37397" w:rsidRDefault="00C37397" w:rsidP="00C37397">
      <w:pPr>
        <w:spacing w:after="120"/>
        <w:ind w:left="1134" w:right="1134"/>
        <w:jc w:val="both"/>
        <w:rPr>
          <w:lang w:val="fr-CH"/>
        </w:rPr>
      </w:pPr>
      <w:r w:rsidRPr="00C37397">
        <w:rPr>
          <w:lang w:val="fr-CH"/>
        </w:rPr>
        <w:t>76.</w:t>
      </w:r>
      <w:r w:rsidRPr="00C37397">
        <w:rPr>
          <w:lang w:val="fr-CH"/>
        </w:rPr>
        <w:tab/>
        <w:t>Le Comité de sécurité a noté que la durée de la prochaine session est réduite à quatre jours (28 au 31 août 2017) en raison d'un jour férié qui tombe le 1er septembre 2017. La session du Comité d'administration aura lieu le 31 août dans l'après-midi.</w:t>
      </w:r>
    </w:p>
    <w:p w14:paraId="64D27CC0" w14:textId="77777777" w:rsidR="00C37397" w:rsidRPr="00C37397" w:rsidRDefault="00C37397" w:rsidP="00C37397">
      <w:pPr>
        <w:keepNext/>
        <w:keepLines/>
        <w:tabs>
          <w:tab w:val="right" w:pos="851"/>
        </w:tabs>
        <w:spacing w:before="360" w:after="240" w:line="300" w:lineRule="exact"/>
        <w:ind w:left="1134" w:right="1134" w:hanging="1134"/>
        <w:rPr>
          <w:b/>
          <w:sz w:val="28"/>
          <w:lang w:val="fr-CH"/>
        </w:rPr>
      </w:pPr>
      <w:r w:rsidRPr="00C37397">
        <w:rPr>
          <w:b/>
          <w:sz w:val="28"/>
          <w:lang w:val="fr-CH"/>
        </w:rPr>
        <w:tab/>
        <w:t xml:space="preserve">IX. </w:t>
      </w:r>
      <w:r w:rsidRPr="00C37397">
        <w:rPr>
          <w:b/>
          <w:sz w:val="28"/>
          <w:lang w:val="fr-CH"/>
        </w:rPr>
        <w:tab/>
        <w:t>Questions diverses (point 8 de l'ordre du jour)</w:t>
      </w:r>
    </w:p>
    <w:p w14:paraId="7A08BAB9" w14:textId="77777777" w:rsidR="00C37397" w:rsidRPr="00C37397" w:rsidRDefault="00C37397" w:rsidP="00C37397">
      <w:pPr>
        <w:spacing w:after="120"/>
        <w:ind w:left="1134" w:right="1134"/>
        <w:jc w:val="both"/>
        <w:rPr>
          <w:lang w:val="fr-CH"/>
        </w:rPr>
      </w:pPr>
      <w:r w:rsidRPr="00C37397">
        <w:rPr>
          <w:lang w:val="fr-CH"/>
        </w:rPr>
        <w:t>77.</w:t>
      </w:r>
      <w:r w:rsidRPr="00C37397">
        <w:rPr>
          <w:lang w:val="fr-CH"/>
        </w:rPr>
        <w:tab/>
        <w:t>Aucune question n'a été discutée sous ce point.</w:t>
      </w:r>
    </w:p>
    <w:p w14:paraId="3BF03767" w14:textId="77777777" w:rsidR="00C37397" w:rsidRPr="00C37397" w:rsidRDefault="00C37397" w:rsidP="00C37397">
      <w:pPr>
        <w:keepNext/>
        <w:keepLines/>
        <w:tabs>
          <w:tab w:val="right" w:pos="851"/>
        </w:tabs>
        <w:spacing w:before="360" w:after="240" w:line="300" w:lineRule="exact"/>
        <w:ind w:left="1134" w:right="1134" w:hanging="1134"/>
        <w:rPr>
          <w:b/>
          <w:sz w:val="28"/>
          <w:lang w:val="fr-CH"/>
        </w:rPr>
      </w:pPr>
      <w:r w:rsidRPr="00C37397">
        <w:rPr>
          <w:b/>
          <w:sz w:val="28"/>
          <w:lang w:val="fr-CH"/>
        </w:rPr>
        <w:tab/>
        <w:t xml:space="preserve">X. </w:t>
      </w:r>
      <w:r w:rsidRPr="00C37397">
        <w:rPr>
          <w:b/>
          <w:sz w:val="28"/>
          <w:lang w:val="fr-CH"/>
        </w:rPr>
        <w:tab/>
        <w:t>Adoption du rapport</w:t>
      </w:r>
    </w:p>
    <w:p w14:paraId="098A4F5A" w14:textId="77777777" w:rsidR="00C37397" w:rsidRDefault="00C37397" w:rsidP="00C37397">
      <w:pPr>
        <w:spacing w:after="120"/>
        <w:ind w:left="1134" w:right="1134"/>
        <w:jc w:val="both"/>
        <w:rPr>
          <w:lang w:val="fr-CH"/>
        </w:rPr>
      </w:pPr>
      <w:r w:rsidRPr="00C37397">
        <w:rPr>
          <w:lang w:val="fr-CH"/>
        </w:rPr>
        <w:t>78.</w:t>
      </w:r>
      <w:r w:rsidRPr="00C37397">
        <w:rPr>
          <w:lang w:val="fr-CH"/>
        </w:rPr>
        <w:tab/>
        <w:t>Le Comité de sécurité a adopté le rapport sur sa trentième session et ses annexes sur la base d'un projet préparé par le secrétariat.</w:t>
      </w:r>
    </w:p>
    <w:p w14:paraId="1A12D683" w14:textId="1A3E3198" w:rsidR="00F248D0" w:rsidRDefault="00F248D0" w:rsidP="00F248D0">
      <w:pPr>
        <w:pStyle w:val="HChG"/>
        <w:rPr>
          <w:lang w:val="fr-CH"/>
        </w:rPr>
      </w:pPr>
      <w:r>
        <w:rPr>
          <w:lang w:val="fr-CH"/>
        </w:rPr>
        <w:br w:type="page"/>
      </w:r>
      <w:r>
        <w:rPr>
          <w:lang w:val="fr-CH"/>
        </w:rPr>
        <w:lastRenderedPageBreak/>
        <w:t xml:space="preserve">Annexe </w:t>
      </w:r>
      <w:r w:rsidR="00922D99">
        <w:rPr>
          <w:lang w:val="fr-CH"/>
        </w:rPr>
        <w:t>I</w:t>
      </w:r>
    </w:p>
    <w:p w14:paraId="5250C951" w14:textId="77777777" w:rsidR="00922D99" w:rsidRPr="00922D99" w:rsidRDefault="00922D99" w:rsidP="00922D99">
      <w:pPr>
        <w:keepNext/>
        <w:keepLines/>
        <w:tabs>
          <w:tab w:val="right" w:pos="851"/>
        </w:tabs>
        <w:kinsoku w:val="0"/>
        <w:overflowPunct w:val="0"/>
        <w:autoSpaceDE w:val="0"/>
        <w:autoSpaceDN w:val="0"/>
        <w:adjustRightInd w:val="0"/>
        <w:snapToGrid w:val="0"/>
        <w:spacing w:before="360" w:after="240" w:line="300" w:lineRule="exact"/>
        <w:ind w:left="1134" w:right="1134" w:hanging="1134"/>
        <w:rPr>
          <w:b/>
          <w:sz w:val="28"/>
          <w:lang w:val="fr-CH"/>
        </w:rPr>
      </w:pPr>
      <w:r w:rsidRPr="00922D99">
        <w:rPr>
          <w:b/>
          <w:sz w:val="28"/>
          <w:lang w:val="fr-CH"/>
        </w:rPr>
        <w:tab/>
      </w:r>
      <w:r w:rsidRPr="00922D99">
        <w:rPr>
          <w:b/>
          <w:sz w:val="28"/>
          <w:lang w:val="fr-CH"/>
        </w:rPr>
        <w:tab/>
      </w:r>
      <w:bookmarkStart w:id="6" w:name="_Toc397356017"/>
      <w:r w:rsidRPr="00922D99">
        <w:rPr>
          <w:b/>
          <w:sz w:val="28"/>
          <w:lang w:val="fr-CH"/>
        </w:rPr>
        <w:t>Corrections au Règlement annexé à l'ADN</w:t>
      </w:r>
      <w:bookmarkEnd w:id="6"/>
    </w:p>
    <w:p w14:paraId="0047FB60" w14:textId="77777777" w:rsidR="00922D99" w:rsidRPr="00922D99" w:rsidRDefault="00922D99" w:rsidP="00922D99">
      <w:pPr>
        <w:spacing w:after="120"/>
        <w:ind w:left="1134" w:right="1134"/>
        <w:jc w:val="both"/>
        <w:rPr>
          <w:b/>
          <w:lang w:val="fr-CH"/>
        </w:rPr>
      </w:pPr>
      <w:r w:rsidRPr="00922D99">
        <w:rPr>
          <w:b/>
          <w:lang w:val="fr-CH"/>
        </w:rPr>
        <w:t>Corrections au texte officiel (sous réserve d’acceptation par les Parties contractantes)</w:t>
      </w:r>
    </w:p>
    <w:p w14:paraId="64834845" w14:textId="77777777" w:rsidR="00922D99" w:rsidRPr="00922D99" w:rsidRDefault="00922D99" w:rsidP="00922D99">
      <w:pPr>
        <w:keepNext/>
        <w:keepLines/>
        <w:tabs>
          <w:tab w:val="right" w:pos="851"/>
        </w:tabs>
        <w:spacing w:before="240" w:after="120" w:line="240" w:lineRule="exact"/>
        <w:ind w:left="1134" w:right="1134" w:hanging="1134"/>
        <w:rPr>
          <w:b/>
          <w:lang w:val="fr-FR"/>
        </w:rPr>
      </w:pPr>
      <w:r w:rsidRPr="00922D99">
        <w:rPr>
          <w:b/>
          <w:lang w:val="fr-FR"/>
        </w:rPr>
        <w:tab/>
      </w:r>
      <w:r w:rsidRPr="00922D99">
        <w:rPr>
          <w:b/>
          <w:lang w:val="fr-FR"/>
        </w:rPr>
        <w:tab/>
        <w:t>Partie 1, chapitre 1.6, 1.6.7.2.1.4</w:t>
      </w:r>
    </w:p>
    <w:p w14:paraId="1B787A54" w14:textId="77777777" w:rsidR="00922D99" w:rsidRPr="00922D99" w:rsidRDefault="00922D99" w:rsidP="00922D99">
      <w:pPr>
        <w:kinsoku w:val="0"/>
        <w:overflowPunct w:val="0"/>
        <w:autoSpaceDE w:val="0"/>
        <w:autoSpaceDN w:val="0"/>
        <w:adjustRightInd w:val="0"/>
        <w:snapToGrid w:val="0"/>
        <w:spacing w:after="120"/>
        <w:ind w:left="1134" w:right="1134"/>
        <w:jc w:val="both"/>
        <w:rPr>
          <w:i/>
          <w:lang w:val="fr-FR"/>
        </w:rPr>
      </w:pPr>
      <w:r w:rsidRPr="00922D99">
        <w:rPr>
          <w:i/>
          <w:lang w:val="fr-FR"/>
        </w:rPr>
        <w:t>Au lieu de</w:t>
      </w:r>
      <w:r w:rsidRPr="00922D99">
        <w:rPr>
          <w:lang w:val="fr-FR"/>
        </w:rPr>
        <w:t xml:space="preserve"> 9.0.X.1 </w:t>
      </w:r>
      <w:r w:rsidRPr="00922D99">
        <w:rPr>
          <w:i/>
          <w:lang w:val="fr-FR"/>
        </w:rPr>
        <w:t>lire</w:t>
      </w:r>
      <w:r w:rsidRPr="00922D99">
        <w:rPr>
          <w:lang w:val="fr-FR"/>
        </w:rPr>
        <w:t xml:space="preserve"> 9.X.0.1</w:t>
      </w:r>
    </w:p>
    <w:p w14:paraId="77F9A2A8" w14:textId="77777777" w:rsidR="00922D99" w:rsidRPr="00922D99" w:rsidRDefault="00922D99" w:rsidP="00922D99">
      <w:pPr>
        <w:kinsoku w:val="0"/>
        <w:overflowPunct w:val="0"/>
        <w:autoSpaceDE w:val="0"/>
        <w:autoSpaceDN w:val="0"/>
        <w:adjustRightInd w:val="0"/>
        <w:snapToGrid w:val="0"/>
        <w:spacing w:after="120"/>
        <w:ind w:left="1134" w:right="1134"/>
        <w:jc w:val="both"/>
        <w:rPr>
          <w:i/>
          <w:lang w:val="fr-FR"/>
        </w:rPr>
      </w:pPr>
      <w:r w:rsidRPr="00922D99">
        <w:rPr>
          <w:i/>
          <w:lang w:val="fr-FR"/>
        </w:rPr>
        <w:t>(Document de référence : Document informel INF.4)</w:t>
      </w:r>
    </w:p>
    <w:p w14:paraId="3EE20570" w14:textId="77777777" w:rsidR="00922D99" w:rsidRPr="00922D99" w:rsidRDefault="00922D99" w:rsidP="00922D99">
      <w:pPr>
        <w:keepNext/>
        <w:keepLines/>
        <w:tabs>
          <w:tab w:val="right" w:pos="851"/>
        </w:tabs>
        <w:spacing w:before="240" w:after="120" w:line="240" w:lineRule="exact"/>
        <w:ind w:left="1134" w:right="1134" w:hanging="1134"/>
        <w:rPr>
          <w:b/>
          <w:lang w:val="fr-FR"/>
        </w:rPr>
      </w:pPr>
      <w:r w:rsidRPr="00922D99">
        <w:rPr>
          <w:b/>
          <w:lang w:val="fr-FR"/>
        </w:rPr>
        <w:tab/>
      </w:r>
      <w:r w:rsidRPr="00922D99">
        <w:rPr>
          <w:b/>
          <w:lang w:val="fr-FR"/>
        </w:rPr>
        <w:tab/>
        <w:t>Partie 1, chapitre 1.6, 1.6.7.2.2.2, disposition transitoire «1.2.1 Coupe-flammes − Épreuve selon la norme EN ISO 16852:2010»</w:t>
      </w:r>
    </w:p>
    <w:p w14:paraId="7FF75DA5" w14:textId="77777777" w:rsidR="00922D99" w:rsidRPr="00922D99" w:rsidRDefault="00922D99" w:rsidP="00922D99">
      <w:pPr>
        <w:kinsoku w:val="0"/>
        <w:overflowPunct w:val="0"/>
        <w:autoSpaceDE w:val="0"/>
        <w:autoSpaceDN w:val="0"/>
        <w:adjustRightInd w:val="0"/>
        <w:snapToGrid w:val="0"/>
        <w:spacing w:after="120"/>
        <w:ind w:left="1134" w:right="1134"/>
        <w:jc w:val="both"/>
        <w:rPr>
          <w:lang w:val="fr-FR"/>
        </w:rPr>
      </w:pPr>
      <w:r w:rsidRPr="00922D99">
        <w:rPr>
          <w:i/>
          <w:lang w:val="fr-FR"/>
        </w:rPr>
        <w:t>Au lieu de</w:t>
      </w:r>
      <w:r w:rsidRPr="00922D99">
        <w:rPr>
          <w:lang w:val="fr-FR"/>
        </w:rPr>
        <w:t xml:space="preserve"> N.R.T. à partir du 1</w:t>
      </w:r>
      <w:r w:rsidRPr="00922D99">
        <w:rPr>
          <w:vertAlign w:val="superscript"/>
          <w:lang w:val="fr-FR"/>
        </w:rPr>
        <w:t>er</w:t>
      </w:r>
      <w:r w:rsidRPr="00922D99">
        <w:rPr>
          <w:lang w:val="fr-FR"/>
        </w:rPr>
        <w:t xml:space="preserve"> janvier 2001 </w:t>
      </w:r>
      <w:r w:rsidRPr="00922D99">
        <w:rPr>
          <w:i/>
          <w:lang w:val="fr-FR"/>
        </w:rPr>
        <w:t>lire</w:t>
      </w:r>
      <w:r w:rsidRPr="00922D99">
        <w:rPr>
          <w:lang w:val="fr-FR"/>
        </w:rPr>
        <w:t xml:space="preserve"> N.R.T. à partir du 1</w:t>
      </w:r>
      <w:r w:rsidRPr="00922D99">
        <w:rPr>
          <w:vertAlign w:val="superscript"/>
          <w:lang w:val="fr-FR"/>
        </w:rPr>
        <w:t>er</w:t>
      </w:r>
      <w:r w:rsidRPr="00922D99">
        <w:rPr>
          <w:lang w:val="fr-FR"/>
        </w:rPr>
        <w:t> janvier 2015</w:t>
      </w:r>
    </w:p>
    <w:p w14:paraId="4FD0797A" w14:textId="77777777" w:rsidR="00922D99" w:rsidRPr="00922D99" w:rsidRDefault="00922D99" w:rsidP="00922D99">
      <w:pPr>
        <w:kinsoku w:val="0"/>
        <w:overflowPunct w:val="0"/>
        <w:autoSpaceDE w:val="0"/>
        <w:autoSpaceDN w:val="0"/>
        <w:adjustRightInd w:val="0"/>
        <w:snapToGrid w:val="0"/>
        <w:spacing w:after="120"/>
        <w:ind w:left="1134" w:right="1134"/>
        <w:jc w:val="both"/>
        <w:rPr>
          <w:lang w:val="fr-FR"/>
        </w:rPr>
      </w:pPr>
      <w:r w:rsidRPr="00922D99">
        <w:rPr>
          <w:i/>
          <w:lang w:val="fr-FR"/>
        </w:rPr>
        <w:t>Au lieu de</w:t>
      </w:r>
      <w:r w:rsidRPr="00922D99">
        <w:rPr>
          <w:lang w:val="fr-FR"/>
        </w:rPr>
        <w:t xml:space="preserve"> norme EN 12874:1999 </w:t>
      </w:r>
      <w:r w:rsidRPr="00922D99">
        <w:rPr>
          <w:i/>
          <w:lang w:val="fr-FR"/>
        </w:rPr>
        <w:t>lire</w:t>
      </w:r>
      <w:r w:rsidRPr="00922D99">
        <w:rPr>
          <w:lang w:val="fr-FR"/>
        </w:rPr>
        <w:t xml:space="preserve"> norme EN 12874:2001</w:t>
      </w:r>
    </w:p>
    <w:p w14:paraId="0BD124F3" w14:textId="77777777" w:rsidR="00922D99" w:rsidRPr="00922D99" w:rsidRDefault="00922D99" w:rsidP="00922D99">
      <w:pPr>
        <w:kinsoku w:val="0"/>
        <w:overflowPunct w:val="0"/>
        <w:autoSpaceDE w:val="0"/>
        <w:autoSpaceDN w:val="0"/>
        <w:adjustRightInd w:val="0"/>
        <w:snapToGrid w:val="0"/>
        <w:spacing w:after="120"/>
        <w:ind w:left="1134" w:right="1134"/>
        <w:jc w:val="both"/>
        <w:rPr>
          <w:i/>
          <w:lang w:val="fr-FR"/>
        </w:rPr>
      </w:pPr>
      <w:r w:rsidRPr="00922D99">
        <w:rPr>
          <w:i/>
          <w:lang w:val="fr-FR"/>
        </w:rPr>
        <w:t>(Document de référence : document informel INF.18 tel que modifié)</w:t>
      </w:r>
    </w:p>
    <w:p w14:paraId="718339C5" w14:textId="77777777" w:rsidR="00922D99" w:rsidRPr="00922D99" w:rsidRDefault="00922D99" w:rsidP="00922D99">
      <w:pPr>
        <w:keepNext/>
        <w:keepLines/>
        <w:tabs>
          <w:tab w:val="right" w:pos="851"/>
        </w:tabs>
        <w:spacing w:before="240" w:after="120" w:line="240" w:lineRule="exact"/>
        <w:ind w:left="1134" w:right="1134" w:hanging="1134"/>
        <w:rPr>
          <w:b/>
          <w:lang w:val="fr-FR"/>
        </w:rPr>
      </w:pPr>
      <w:r w:rsidRPr="00922D99">
        <w:rPr>
          <w:lang w:val="fr-FR"/>
        </w:rPr>
        <w:tab/>
      </w:r>
      <w:r w:rsidRPr="00922D99">
        <w:rPr>
          <w:b/>
          <w:lang w:val="fr-FR"/>
        </w:rPr>
        <w:tab/>
        <w:t>Partie 1, chapitre 1.6, 1.6.7.2.2.2, disposition transitoire «1.2.1 Soupape de dégagement à grande vitesse − Épreuve selon la norme EN ISO 16852:2010»,</w:t>
      </w:r>
    </w:p>
    <w:p w14:paraId="524C1CF2" w14:textId="77777777" w:rsidR="00922D99" w:rsidRPr="00922D99" w:rsidRDefault="00922D99" w:rsidP="00922D99">
      <w:pPr>
        <w:kinsoku w:val="0"/>
        <w:overflowPunct w:val="0"/>
        <w:autoSpaceDE w:val="0"/>
        <w:autoSpaceDN w:val="0"/>
        <w:adjustRightInd w:val="0"/>
        <w:snapToGrid w:val="0"/>
        <w:spacing w:after="120"/>
        <w:ind w:left="1134" w:right="1134"/>
        <w:jc w:val="both"/>
        <w:rPr>
          <w:lang w:val="fr-FR"/>
        </w:rPr>
      </w:pPr>
      <w:r w:rsidRPr="00922D99">
        <w:rPr>
          <w:i/>
          <w:lang w:val="fr-FR"/>
        </w:rPr>
        <w:t>Au lieu de</w:t>
      </w:r>
      <w:r w:rsidRPr="00922D99">
        <w:rPr>
          <w:lang w:val="fr-FR"/>
        </w:rPr>
        <w:t xml:space="preserve"> norme EN 12874:1999 </w:t>
      </w:r>
      <w:r w:rsidRPr="00922D99">
        <w:rPr>
          <w:i/>
          <w:lang w:val="fr-FR"/>
        </w:rPr>
        <w:t>lire</w:t>
      </w:r>
      <w:r w:rsidRPr="00922D99">
        <w:rPr>
          <w:lang w:val="fr-FR"/>
        </w:rPr>
        <w:t xml:space="preserve"> norme EN 12874:2001</w:t>
      </w:r>
    </w:p>
    <w:p w14:paraId="4CFF5CC9" w14:textId="77777777" w:rsidR="00922D99" w:rsidRPr="00922D99" w:rsidRDefault="00922D99" w:rsidP="00922D99">
      <w:pPr>
        <w:kinsoku w:val="0"/>
        <w:overflowPunct w:val="0"/>
        <w:autoSpaceDE w:val="0"/>
        <w:autoSpaceDN w:val="0"/>
        <w:adjustRightInd w:val="0"/>
        <w:snapToGrid w:val="0"/>
        <w:spacing w:after="120"/>
        <w:ind w:left="1134" w:right="1134"/>
        <w:jc w:val="both"/>
        <w:rPr>
          <w:i/>
          <w:lang w:val="fr-FR"/>
        </w:rPr>
      </w:pPr>
      <w:r w:rsidRPr="00922D99">
        <w:rPr>
          <w:i/>
          <w:lang w:val="fr-FR"/>
        </w:rPr>
        <w:t>(Document de référence: document informel INF.18 tel que modifié)</w:t>
      </w:r>
    </w:p>
    <w:p w14:paraId="7B9761EF" w14:textId="77777777" w:rsidR="00922D99" w:rsidRPr="00922D99" w:rsidRDefault="00922D99" w:rsidP="00922D99">
      <w:pPr>
        <w:keepNext/>
        <w:keepLines/>
        <w:tabs>
          <w:tab w:val="right" w:pos="851"/>
        </w:tabs>
        <w:spacing w:before="240" w:after="120" w:line="240" w:lineRule="exact"/>
        <w:ind w:left="1134" w:right="1134" w:hanging="1134"/>
        <w:rPr>
          <w:b/>
          <w:lang w:val="fr-FR"/>
        </w:rPr>
      </w:pPr>
      <w:r w:rsidRPr="00922D99">
        <w:rPr>
          <w:b/>
          <w:lang w:val="fr-FR"/>
        </w:rPr>
        <w:tab/>
      </w:r>
      <w:r w:rsidRPr="00922D99">
        <w:rPr>
          <w:b/>
          <w:lang w:val="fr-FR"/>
        </w:rPr>
        <w:tab/>
        <w:t>Partie 1, chapitre 1.16, 1.16.1.2.1, dernier paragraphe</w:t>
      </w:r>
    </w:p>
    <w:p w14:paraId="799502A2" w14:textId="77777777" w:rsidR="00922D99" w:rsidRPr="00922D99" w:rsidRDefault="00922D99" w:rsidP="00922D99">
      <w:pPr>
        <w:kinsoku w:val="0"/>
        <w:overflowPunct w:val="0"/>
        <w:autoSpaceDE w:val="0"/>
        <w:autoSpaceDN w:val="0"/>
        <w:adjustRightInd w:val="0"/>
        <w:snapToGrid w:val="0"/>
        <w:spacing w:after="120"/>
        <w:ind w:left="1134" w:right="1134"/>
        <w:jc w:val="both"/>
        <w:rPr>
          <w:lang w:val="fr-FR"/>
        </w:rPr>
      </w:pPr>
      <w:r w:rsidRPr="00922D99">
        <w:rPr>
          <w:i/>
          <w:lang w:val="fr-FR"/>
        </w:rPr>
        <w:t>Au lieu de</w:t>
      </w:r>
      <w:r w:rsidRPr="00922D99">
        <w:rPr>
          <w:lang w:val="fr-FR"/>
        </w:rPr>
        <w:t xml:space="preserve"> établies </w:t>
      </w:r>
      <w:r w:rsidRPr="00922D99">
        <w:rPr>
          <w:i/>
          <w:lang w:val="fr-FR"/>
        </w:rPr>
        <w:t>lire</w:t>
      </w:r>
      <w:r w:rsidRPr="00922D99">
        <w:rPr>
          <w:lang w:val="fr-FR"/>
        </w:rPr>
        <w:t xml:space="preserve"> établie.</w:t>
      </w:r>
    </w:p>
    <w:p w14:paraId="649307F2" w14:textId="77777777" w:rsidR="00922D99" w:rsidRPr="00922D99" w:rsidRDefault="00922D99" w:rsidP="00922D99">
      <w:pPr>
        <w:kinsoku w:val="0"/>
        <w:overflowPunct w:val="0"/>
        <w:autoSpaceDE w:val="0"/>
        <w:autoSpaceDN w:val="0"/>
        <w:adjustRightInd w:val="0"/>
        <w:snapToGrid w:val="0"/>
        <w:spacing w:after="120"/>
        <w:ind w:left="1134" w:right="1134"/>
        <w:jc w:val="both"/>
        <w:rPr>
          <w:i/>
          <w:lang w:val="fr-FR"/>
        </w:rPr>
      </w:pPr>
      <w:r w:rsidRPr="00922D99">
        <w:rPr>
          <w:i/>
          <w:lang w:val="fr-FR"/>
        </w:rPr>
        <w:t>(Document de référence: Document informel INF.9)</w:t>
      </w:r>
    </w:p>
    <w:p w14:paraId="77A4BBEF" w14:textId="77777777" w:rsidR="00922D99" w:rsidRPr="00922D99" w:rsidRDefault="00922D99" w:rsidP="00922D99">
      <w:pPr>
        <w:keepNext/>
        <w:keepLines/>
        <w:tabs>
          <w:tab w:val="right" w:pos="851"/>
        </w:tabs>
        <w:spacing w:before="240" w:after="120" w:line="240" w:lineRule="exact"/>
        <w:ind w:left="1134" w:right="1134" w:hanging="1134"/>
        <w:rPr>
          <w:b/>
          <w:lang w:val="fr-FR"/>
        </w:rPr>
      </w:pPr>
      <w:r w:rsidRPr="00922D99">
        <w:rPr>
          <w:b/>
          <w:lang w:val="fr-FR"/>
        </w:rPr>
        <w:tab/>
      </w:r>
      <w:r w:rsidRPr="00922D99">
        <w:rPr>
          <w:b/>
          <w:lang w:val="fr-FR"/>
        </w:rPr>
        <w:tab/>
        <w:t>Partie 1, chapitre 1.16, 1.16.3.2, dernier tiret</w:t>
      </w:r>
    </w:p>
    <w:p w14:paraId="05CAA4AE" w14:textId="77777777" w:rsidR="00922D99" w:rsidRPr="00922D99" w:rsidRDefault="00922D99" w:rsidP="00922D99">
      <w:pPr>
        <w:kinsoku w:val="0"/>
        <w:overflowPunct w:val="0"/>
        <w:autoSpaceDE w:val="0"/>
        <w:autoSpaceDN w:val="0"/>
        <w:adjustRightInd w:val="0"/>
        <w:snapToGrid w:val="0"/>
        <w:spacing w:after="120"/>
        <w:ind w:left="1134" w:right="1134"/>
        <w:jc w:val="both"/>
        <w:rPr>
          <w:lang w:val="fr-FR"/>
        </w:rPr>
      </w:pPr>
      <w:r w:rsidRPr="00922D99">
        <w:rPr>
          <w:i/>
          <w:lang w:val="fr-FR"/>
        </w:rPr>
        <w:t>Au lieu de</w:t>
      </w:r>
      <w:r w:rsidRPr="00922D99" w:rsidDel="000D6B8A">
        <w:rPr>
          <w:i/>
          <w:lang w:val="fr-FR"/>
        </w:rPr>
        <w:t xml:space="preserve"> </w:t>
      </w:r>
      <w:r w:rsidRPr="00922D99">
        <w:rPr>
          <w:lang w:val="fr-FR"/>
        </w:rPr>
        <w:t xml:space="preserve">official </w:t>
      </w:r>
      <w:r w:rsidRPr="00922D99">
        <w:rPr>
          <w:i/>
          <w:lang w:val="fr-FR"/>
        </w:rPr>
        <w:t>lire</w:t>
      </w:r>
      <w:r w:rsidRPr="00922D99">
        <w:rPr>
          <w:lang w:val="fr-FR"/>
        </w:rPr>
        <w:t xml:space="preserve"> officiel</w:t>
      </w:r>
    </w:p>
    <w:p w14:paraId="4A1C6D91" w14:textId="77777777" w:rsidR="00922D99" w:rsidRPr="00922D99" w:rsidRDefault="00922D99" w:rsidP="00922D99">
      <w:pPr>
        <w:kinsoku w:val="0"/>
        <w:overflowPunct w:val="0"/>
        <w:autoSpaceDE w:val="0"/>
        <w:autoSpaceDN w:val="0"/>
        <w:adjustRightInd w:val="0"/>
        <w:snapToGrid w:val="0"/>
        <w:spacing w:after="120"/>
        <w:ind w:left="1134" w:right="1134"/>
        <w:jc w:val="both"/>
        <w:rPr>
          <w:i/>
          <w:lang w:val="fr-FR"/>
        </w:rPr>
      </w:pPr>
      <w:r w:rsidRPr="00922D99">
        <w:rPr>
          <w:i/>
          <w:lang w:val="fr-FR"/>
        </w:rPr>
        <w:t>(Document de référence: Document informel INF.9)</w:t>
      </w:r>
    </w:p>
    <w:p w14:paraId="3FA44305" w14:textId="77777777" w:rsidR="00922D99" w:rsidRPr="00922D99" w:rsidRDefault="00922D99" w:rsidP="00922D99">
      <w:pPr>
        <w:keepNext/>
        <w:keepLines/>
        <w:tabs>
          <w:tab w:val="right" w:pos="851"/>
        </w:tabs>
        <w:spacing w:before="240" w:after="120" w:line="240" w:lineRule="exact"/>
        <w:ind w:left="1134" w:right="1134" w:hanging="1134"/>
        <w:rPr>
          <w:b/>
          <w:lang w:val="fr-FR"/>
        </w:rPr>
      </w:pPr>
      <w:r w:rsidRPr="00922D99">
        <w:rPr>
          <w:b/>
          <w:lang w:val="fr-FR"/>
        </w:rPr>
        <w:tab/>
      </w:r>
      <w:r w:rsidRPr="00922D99">
        <w:rPr>
          <w:b/>
          <w:lang w:val="fr-FR"/>
        </w:rPr>
        <w:tab/>
        <w:t>Partie 1, chapitre 1.16, 1.16.3.2, avant-dernier paragraphe</w:t>
      </w:r>
    </w:p>
    <w:p w14:paraId="1BABED83" w14:textId="77777777" w:rsidR="00922D99" w:rsidRPr="00922D99" w:rsidRDefault="00922D99" w:rsidP="00922D99">
      <w:pPr>
        <w:kinsoku w:val="0"/>
        <w:overflowPunct w:val="0"/>
        <w:autoSpaceDE w:val="0"/>
        <w:autoSpaceDN w:val="0"/>
        <w:adjustRightInd w:val="0"/>
        <w:snapToGrid w:val="0"/>
        <w:spacing w:after="120"/>
        <w:ind w:left="1134" w:right="1134"/>
        <w:jc w:val="both"/>
        <w:rPr>
          <w:i/>
          <w:lang w:val="fr-FR"/>
        </w:rPr>
      </w:pPr>
      <w:r w:rsidRPr="00922D99">
        <w:rPr>
          <w:i/>
          <w:lang w:val="fr-FR"/>
        </w:rPr>
        <w:t>Au lieu de</w:t>
      </w:r>
      <w:r w:rsidRPr="00922D99">
        <w:rPr>
          <w:lang w:val="fr-FR"/>
        </w:rPr>
        <w:t xml:space="preserve"> ne permet d’établir </w:t>
      </w:r>
      <w:r w:rsidRPr="00922D99">
        <w:rPr>
          <w:i/>
          <w:lang w:val="fr-FR"/>
        </w:rPr>
        <w:t>lire</w:t>
      </w:r>
      <w:r w:rsidRPr="00922D99">
        <w:rPr>
          <w:lang w:val="fr-FR"/>
        </w:rPr>
        <w:t xml:space="preserve"> ne permet pas d’établir</w:t>
      </w:r>
    </w:p>
    <w:p w14:paraId="2DC37423" w14:textId="77777777" w:rsidR="00922D99" w:rsidRPr="00922D99" w:rsidRDefault="00922D99" w:rsidP="00922D99">
      <w:pPr>
        <w:kinsoku w:val="0"/>
        <w:overflowPunct w:val="0"/>
        <w:autoSpaceDE w:val="0"/>
        <w:autoSpaceDN w:val="0"/>
        <w:adjustRightInd w:val="0"/>
        <w:snapToGrid w:val="0"/>
        <w:spacing w:after="120"/>
        <w:ind w:left="1134" w:right="1134"/>
        <w:jc w:val="both"/>
        <w:rPr>
          <w:i/>
          <w:lang w:val="fr-FR"/>
        </w:rPr>
      </w:pPr>
      <w:r w:rsidRPr="00922D99">
        <w:rPr>
          <w:i/>
          <w:lang w:val="fr-FR"/>
        </w:rPr>
        <w:t>(Document de référence: Document informel INF.9)</w:t>
      </w:r>
    </w:p>
    <w:p w14:paraId="3E4B295F" w14:textId="77777777" w:rsidR="00922D99" w:rsidRPr="00922D99" w:rsidRDefault="00922D99" w:rsidP="00922D99">
      <w:pPr>
        <w:keepNext/>
        <w:keepLines/>
        <w:tabs>
          <w:tab w:val="right" w:pos="851"/>
        </w:tabs>
        <w:spacing w:before="240" w:after="120" w:line="240" w:lineRule="exact"/>
        <w:ind w:left="1134" w:right="1134" w:hanging="1134"/>
        <w:rPr>
          <w:b/>
          <w:lang w:val="fr-FR"/>
        </w:rPr>
      </w:pPr>
      <w:r w:rsidRPr="00922D99">
        <w:rPr>
          <w:b/>
          <w:lang w:val="fr-FR"/>
        </w:rPr>
        <w:tab/>
      </w:r>
      <w:r w:rsidRPr="00922D99">
        <w:rPr>
          <w:b/>
          <w:lang w:val="fr-FR"/>
        </w:rPr>
        <w:tab/>
        <w:t>Partie 1, chapitre 1.16, 1.16.5, dernière phrase</w:t>
      </w:r>
    </w:p>
    <w:p w14:paraId="647F065D" w14:textId="77777777" w:rsidR="00922D99" w:rsidRPr="00922D99" w:rsidRDefault="00922D99" w:rsidP="00922D99">
      <w:pPr>
        <w:kinsoku w:val="0"/>
        <w:overflowPunct w:val="0"/>
        <w:autoSpaceDE w:val="0"/>
        <w:autoSpaceDN w:val="0"/>
        <w:adjustRightInd w:val="0"/>
        <w:snapToGrid w:val="0"/>
        <w:spacing w:after="120"/>
        <w:ind w:left="1134" w:right="1134"/>
        <w:jc w:val="both"/>
        <w:rPr>
          <w:lang w:val="fr-FR"/>
        </w:rPr>
      </w:pPr>
      <w:r w:rsidRPr="00922D99">
        <w:rPr>
          <w:i/>
          <w:lang w:val="fr-FR"/>
        </w:rPr>
        <w:t>Au lieu de</w:t>
      </w:r>
      <w:r w:rsidRPr="00922D99">
        <w:rPr>
          <w:lang w:val="fr-FR"/>
        </w:rPr>
        <w:t xml:space="preserve"> 1.16.1.3.1 </w:t>
      </w:r>
      <w:r w:rsidRPr="00922D99">
        <w:rPr>
          <w:i/>
          <w:lang w:val="fr-FR"/>
        </w:rPr>
        <w:t>lire</w:t>
      </w:r>
      <w:r w:rsidRPr="00922D99">
        <w:rPr>
          <w:lang w:val="fr-FR"/>
        </w:rPr>
        <w:t xml:space="preserve"> 1.16.3.1</w:t>
      </w:r>
    </w:p>
    <w:p w14:paraId="78240A5A" w14:textId="77777777" w:rsidR="00922D99" w:rsidRPr="00922D99" w:rsidRDefault="00922D99" w:rsidP="00922D99">
      <w:pPr>
        <w:kinsoku w:val="0"/>
        <w:overflowPunct w:val="0"/>
        <w:autoSpaceDE w:val="0"/>
        <w:autoSpaceDN w:val="0"/>
        <w:adjustRightInd w:val="0"/>
        <w:snapToGrid w:val="0"/>
        <w:spacing w:after="120"/>
        <w:ind w:left="1134" w:right="1134"/>
        <w:jc w:val="both"/>
        <w:rPr>
          <w:i/>
          <w:lang w:val="fr-FR"/>
        </w:rPr>
      </w:pPr>
      <w:r w:rsidRPr="00922D99">
        <w:rPr>
          <w:i/>
          <w:lang w:val="fr-FR"/>
        </w:rPr>
        <w:t>(Document de référence: Document informel INF.9)</w:t>
      </w:r>
    </w:p>
    <w:p w14:paraId="19AE2678" w14:textId="77777777" w:rsidR="00922D99" w:rsidRPr="00922D99" w:rsidRDefault="00922D99" w:rsidP="00922D99">
      <w:pPr>
        <w:keepNext/>
        <w:keepLines/>
        <w:tabs>
          <w:tab w:val="right" w:pos="851"/>
        </w:tabs>
        <w:spacing w:before="240" w:after="120" w:line="240" w:lineRule="exact"/>
        <w:ind w:left="1134" w:right="1134" w:hanging="1134"/>
        <w:rPr>
          <w:b/>
          <w:lang w:val="fr-FR"/>
        </w:rPr>
      </w:pPr>
      <w:r w:rsidRPr="00922D99">
        <w:rPr>
          <w:b/>
          <w:lang w:val="fr-FR"/>
        </w:rPr>
        <w:tab/>
      </w:r>
      <w:r w:rsidRPr="00922D99">
        <w:rPr>
          <w:b/>
          <w:lang w:val="fr-FR"/>
        </w:rPr>
        <w:tab/>
        <w:t>Partie 3, chapitre 3.3, disposition spéciale 665</w:t>
      </w:r>
    </w:p>
    <w:p w14:paraId="4906822A" w14:textId="77777777" w:rsidR="00922D99" w:rsidRPr="00922D99" w:rsidRDefault="00922D99" w:rsidP="00922D99">
      <w:pPr>
        <w:kinsoku w:val="0"/>
        <w:overflowPunct w:val="0"/>
        <w:autoSpaceDE w:val="0"/>
        <w:autoSpaceDN w:val="0"/>
        <w:adjustRightInd w:val="0"/>
        <w:snapToGrid w:val="0"/>
        <w:spacing w:after="120"/>
        <w:ind w:left="1134" w:right="1134"/>
        <w:jc w:val="both"/>
        <w:rPr>
          <w:i/>
          <w:lang w:val="fr-FR"/>
        </w:rPr>
      </w:pPr>
      <w:r w:rsidRPr="00922D99">
        <w:rPr>
          <w:i/>
          <w:lang w:val="fr-FR"/>
        </w:rPr>
        <w:t>Ajouter, au début du texte</w:t>
      </w:r>
      <w:r w:rsidRPr="00922D99">
        <w:rPr>
          <w:lang w:val="fr-FR"/>
        </w:rPr>
        <w:t xml:space="preserve">, </w:t>
      </w:r>
      <w:r w:rsidRPr="00922D99">
        <w:rPr>
          <w:lang w:val="fr-CH"/>
        </w:rPr>
        <w:t>Excepté dans le cas du transport en vrac</w:t>
      </w:r>
      <w:r w:rsidRPr="00922D99">
        <w:rPr>
          <w:lang w:val="fr-FR"/>
        </w:rPr>
        <w:t>,</w:t>
      </w:r>
    </w:p>
    <w:p w14:paraId="19BC646B" w14:textId="77777777" w:rsidR="00922D99" w:rsidRPr="00922D99" w:rsidRDefault="00922D99" w:rsidP="00922D99">
      <w:pPr>
        <w:kinsoku w:val="0"/>
        <w:overflowPunct w:val="0"/>
        <w:autoSpaceDE w:val="0"/>
        <w:autoSpaceDN w:val="0"/>
        <w:adjustRightInd w:val="0"/>
        <w:snapToGrid w:val="0"/>
        <w:spacing w:after="120"/>
        <w:ind w:left="1134" w:right="1134"/>
        <w:jc w:val="both"/>
        <w:rPr>
          <w:i/>
          <w:lang w:val="fr-FR"/>
        </w:rPr>
      </w:pPr>
      <w:r w:rsidRPr="00922D99">
        <w:rPr>
          <w:i/>
          <w:lang w:val="fr-FR"/>
        </w:rPr>
        <w:t>(Document de référence: ECE/TRANS/WP.15/AC.2/2017/9)</w:t>
      </w:r>
    </w:p>
    <w:p w14:paraId="6B652A92" w14:textId="77777777" w:rsidR="00922D99" w:rsidRPr="00922D99" w:rsidRDefault="00922D99" w:rsidP="00922D99">
      <w:pPr>
        <w:keepNext/>
        <w:keepLines/>
        <w:tabs>
          <w:tab w:val="right" w:pos="851"/>
        </w:tabs>
        <w:spacing w:before="240" w:after="120" w:line="240" w:lineRule="exact"/>
        <w:ind w:left="1134" w:right="1134" w:hanging="1134"/>
        <w:rPr>
          <w:b/>
          <w:lang w:val="fr-FR"/>
        </w:rPr>
      </w:pPr>
      <w:r w:rsidRPr="00922D99">
        <w:rPr>
          <w:b/>
          <w:lang w:val="fr-FR"/>
        </w:rPr>
        <w:lastRenderedPageBreak/>
        <w:tab/>
      </w:r>
      <w:r w:rsidRPr="00922D99">
        <w:rPr>
          <w:b/>
          <w:lang w:val="fr-FR"/>
        </w:rPr>
        <w:tab/>
        <w:t xml:space="preserve">Partie 9, chapitre 9.2, </w:t>
      </w:r>
      <w:r w:rsidRPr="00922D99">
        <w:rPr>
          <w:b/>
          <w:lang w:val="fr-CH"/>
        </w:rPr>
        <w:t>9.2.0.80</w:t>
      </w:r>
      <w:r w:rsidRPr="00922D99">
        <w:rPr>
          <w:b/>
          <w:lang w:val="fr-FR"/>
        </w:rPr>
        <w:t>, titre</w:t>
      </w:r>
    </w:p>
    <w:p w14:paraId="231F0ABE" w14:textId="77777777" w:rsidR="00922D99" w:rsidRPr="00922D99" w:rsidRDefault="00922D99" w:rsidP="00922D99">
      <w:pPr>
        <w:kinsoku w:val="0"/>
        <w:overflowPunct w:val="0"/>
        <w:autoSpaceDE w:val="0"/>
        <w:autoSpaceDN w:val="0"/>
        <w:adjustRightInd w:val="0"/>
        <w:snapToGrid w:val="0"/>
        <w:spacing w:after="120"/>
        <w:ind w:left="1134" w:right="1134"/>
        <w:jc w:val="both"/>
        <w:rPr>
          <w:lang w:val="fr-FR"/>
        </w:rPr>
      </w:pPr>
      <w:r w:rsidRPr="00922D99">
        <w:rPr>
          <w:i/>
          <w:lang w:val="fr-FR"/>
        </w:rPr>
        <w:t>Au lieu de</w:t>
      </w:r>
      <w:r w:rsidRPr="00922D99">
        <w:rPr>
          <w:lang w:val="fr-FR"/>
        </w:rPr>
        <w:t xml:space="preserve"> </w:t>
      </w:r>
      <w:r w:rsidRPr="00922D99">
        <w:rPr>
          <w:bCs/>
          <w:iCs/>
          <w:lang w:val="fr-FR"/>
        </w:rPr>
        <w:t>bateaux à double coque</w:t>
      </w:r>
      <w:r w:rsidRPr="00922D99">
        <w:rPr>
          <w:lang w:val="fr-FR"/>
        </w:rPr>
        <w:t xml:space="preserve"> </w:t>
      </w:r>
      <w:r w:rsidRPr="00922D99">
        <w:rPr>
          <w:i/>
          <w:lang w:val="fr-FR"/>
        </w:rPr>
        <w:t>lire</w:t>
      </w:r>
      <w:r w:rsidRPr="00922D99">
        <w:rPr>
          <w:lang w:val="fr-FR"/>
        </w:rPr>
        <w:t xml:space="preserve"> navires de mer à double coque</w:t>
      </w:r>
    </w:p>
    <w:p w14:paraId="78EBDD7B" w14:textId="77777777" w:rsidR="00922D99" w:rsidRPr="00922D99" w:rsidRDefault="00922D99" w:rsidP="00922D99">
      <w:pPr>
        <w:kinsoku w:val="0"/>
        <w:overflowPunct w:val="0"/>
        <w:autoSpaceDE w:val="0"/>
        <w:autoSpaceDN w:val="0"/>
        <w:adjustRightInd w:val="0"/>
        <w:snapToGrid w:val="0"/>
        <w:spacing w:after="120"/>
        <w:ind w:left="1134" w:right="1134"/>
        <w:jc w:val="both"/>
        <w:rPr>
          <w:i/>
          <w:lang w:val="fr-FR"/>
        </w:rPr>
      </w:pPr>
      <w:r w:rsidRPr="00922D99">
        <w:rPr>
          <w:i/>
          <w:lang w:val="fr-FR"/>
        </w:rPr>
        <w:t>(Document de référence: Document informel INF.7)</w:t>
      </w:r>
    </w:p>
    <w:p w14:paraId="0B9CBC4F" w14:textId="77777777" w:rsidR="00922D99" w:rsidRPr="00922D99" w:rsidRDefault="00922D99" w:rsidP="00922D99">
      <w:pPr>
        <w:keepNext/>
        <w:keepLines/>
        <w:tabs>
          <w:tab w:val="right" w:pos="851"/>
        </w:tabs>
        <w:spacing w:before="240" w:after="120" w:line="240" w:lineRule="exact"/>
        <w:ind w:left="1134" w:right="1134" w:hanging="1134"/>
        <w:rPr>
          <w:b/>
          <w:lang w:val="fr-FR"/>
        </w:rPr>
      </w:pPr>
      <w:r w:rsidRPr="00922D99">
        <w:rPr>
          <w:b/>
          <w:lang w:val="fr-FR"/>
        </w:rPr>
        <w:tab/>
      </w:r>
      <w:r w:rsidRPr="00922D99">
        <w:rPr>
          <w:b/>
          <w:lang w:val="fr-FR"/>
        </w:rPr>
        <w:tab/>
        <w:t xml:space="preserve">Partie 9, chapitre 9.2, </w:t>
      </w:r>
      <w:r w:rsidRPr="00922D99">
        <w:rPr>
          <w:b/>
          <w:lang w:val="fr-CH"/>
        </w:rPr>
        <w:t>9.2.0.80</w:t>
      </w:r>
      <w:r w:rsidRPr="00922D99">
        <w:rPr>
          <w:b/>
          <w:lang w:val="fr-FR"/>
        </w:rPr>
        <w:t>, premier paragraphe</w:t>
      </w:r>
    </w:p>
    <w:p w14:paraId="16F0E9A9" w14:textId="77777777" w:rsidR="00922D99" w:rsidRPr="00922D99" w:rsidRDefault="00922D99" w:rsidP="00922D99">
      <w:pPr>
        <w:kinsoku w:val="0"/>
        <w:overflowPunct w:val="0"/>
        <w:autoSpaceDE w:val="0"/>
        <w:autoSpaceDN w:val="0"/>
        <w:adjustRightInd w:val="0"/>
        <w:snapToGrid w:val="0"/>
        <w:spacing w:after="120"/>
        <w:ind w:left="1134" w:right="1134"/>
        <w:jc w:val="both"/>
        <w:rPr>
          <w:lang w:val="fr-FR"/>
        </w:rPr>
      </w:pPr>
      <w:r w:rsidRPr="00922D99">
        <w:rPr>
          <w:i/>
          <w:lang w:val="fr-FR"/>
        </w:rPr>
        <w:t>Au lieu de</w:t>
      </w:r>
      <w:r w:rsidRPr="00922D99">
        <w:rPr>
          <w:lang w:val="fr-FR"/>
        </w:rPr>
        <w:t xml:space="preserve"> </w:t>
      </w:r>
      <w:r w:rsidRPr="00922D99">
        <w:rPr>
          <w:bCs/>
          <w:iCs/>
          <w:lang w:val="fr-FR"/>
        </w:rPr>
        <w:t>navires à double coque</w:t>
      </w:r>
      <w:r w:rsidRPr="00922D99">
        <w:rPr>
          <w:lang w:val="fr-FR"/>
        </w:rPr>
        <w:t xml:space="preserve"> </w:t>
      </w:r>
      <w:r w:rsidRPr="00922D99">
        <w:rPr>
          <w:i/>
          <w:lang w:val="fr-FR"/>
        </w:rPr>
        <w:t>lire</w:t>
      </w:r>
      <w:r w:rsidRPr="00922D99">
        <w:rPr>
          <w:lang w:val="fr-FR"/>
        </w:rPr>
        <w:t xml:space="preserve"> navires de mer à double coque</w:t>
      </w:r>
    </w:p>
    <w:p w14:paraId="3340AC65" w14:textId="77777777" w:rsidR="00922D99" w:rsidRPr="00922D99" w:rsidRDefault="00922D99" w:rsidP="00922D99">
      <w:pPr>
        <w:kinsoku w:val="0"/>
        <w:overflowPunct w:val="0"/>
        <w:autoSpaceDE w:val="0"/>
        <w:autoSpaceDN w:val="0"/>
        <w:adjustRightInd w:val="0"/>
        <w:snapToGrid w:val="0"/>
        <w:spacing w:after="120"/>
        <w:ind w:left="1134" w:right="1134"/>
        <w:jc w:val="both"/>
        <w:rPr>
          <w:i/>
          <w:lang w:val="fr-FR"/>
        </w:rPr>
      </w:pPr>
      <w:r w:rsidRPr="00922D99">
        <w:rPr>
          <w:i/>
          <w:lang w:val="fr-FR"/>
        </w:rPr>
        <w:t>(Document de référence: Document informel INF.7)</w:t>
      </w:r>
    </w:p>
    <w:p w14:paraId="53227AC7" w14:textId="77777777" w:rsidR="00922D99" w:rsidRPr="00922D99" w:rsidRDefault="00922D99" w:rsidP="00922D99">
      <w:pPr>
        <w:keepNext/>
        <w:keepLines/>
        <w:tabs>
          <w:tab w:val="right" w:pos="851"/>
        </w:tabs>
        <w:spacing w:before="240" w:after="120" w:line="240" w:lineRule="exact"/>
        <w:ind w:left="1134" w:right="1134" w:hanging="1134"/>
        <w:rPr>
          <w:b/>
          <w:lang w:val="fr-FR"/>
        </w:rPr>
      </w:pPr>
      <w:r w:rsidRPr="00922D99">
        <w:rPr>
          <w:b/>
          <w:lang w:val="fr-FR"/>
        </w:rPr>
        <w:tab/>
      </w:r>
      <w:r w:rsidRPr="00922D99">
        <w:rPr>
          <w:b/>
          <w:lang w:val="fr-FR"/>
        </w:rPr>
        <w:tab/>
        <w:t xml:space="preserve">Partie 9, chapitre 9.2, </w:t>
      </w:r>
      <w:r w:rsidRPr="00922D99">
        <w:rPr>
          <w:b/>
          <w:lang w:val="fr-CH"/>
        </w:rPr>
        <w:t>9.2.0.88.1</w:t>
      </w:r>
      <w:r w:rsidRPr="00922D99">
        <w:rPr>
          <w:b/>
          <w:lang w:val="fr-FR"/>
        </w:rPr>
        <w:t>, premier phrase</w:t>
      </w:r>
    </w:p>
    <w:p w14:paraId="6CCD0732" w14:textId="77777777" w:rsidR="00922D99" w:rsidRPr="00922D99" w:rsidRDefault="00922D99" w:rsidP="00922D99">
      <w:pPr>
        <w:kinsoku w:val="0"/>
        <w:overflowPunct w:val="0"/>
        <w:autoSpaceDE w:val="0"/>
        <w:autoSpaceDN w:val="0"/>
        <w:adjustRightInd w:val="0"/>
        <w:snapToGrid w:val="0"/>
        <w:spacing w:after="120"/>
        <w:ind w:left="1134" w:right="1134"/>
        <w:jc w:val="both"/>
        <w:rPr>
          <w:lang w:val="fr-FR"/>
        </w:rPr>
      </w:pPr>
      <w:r w:rsidRPr="00922D99">
        <w:rPr>
          <w:i/>
          <w:lang w:val="fr-FR"/>
        </w:rPr>
        <w:t>Au lieu de</w:t>
      </w:r>
      <w:r w:rsidRPr="00922D99">
        <w:rPr>
          <w:lang w:val="fr-FR"/>
        </w:rPr>
        <w:t xml:space="preserve"> </w:t>
      </w:r>
      <w:r w:rsidRPr="00922D99">
        <w:rPr>
          <w:bCs/>
          <w:iCs/>
          <w:lang w:val="fr-FR"/>
        </w:rPr>
        <w:t>bateaux à double coque</w:t>
      </w:r>
      <w:r w:rsidRPr="00922D99">
        <w:rPr>
          <w:lang w:val="fr-FR"/>
        </w:rPr>
        <w:t xml:space="preserve"> </w:t>
      </w:r>
      <w:r w:rsidRPr="00922D99">
        <w:rPr>
          <w:i/>
          <w:lang w:val="fr-FR"/>
        </w:rPr>
        <w:t>lire</w:t>
      </w:r>
      <w:r w:rsidRPr="00922D99">
        <w:rPr>
          <w:lang w:val="fr-FR"/>
        </w:rPr>
        <w:t xml:space="preserve"> navires de mer à double coque</w:t>
      </w:r>
    </w:p>
    <w:p w14:paraId="109A0061" w14:textId="77777777" w:rsidR="00922D99" w:rsidRPr="00922D99" w:rsidRDefault="00922D99" w:rsidP="00922D99">
      <w:pPr>
        <w:kinsoku w:val="0"/>
        <w:overflowPunct w:val="0"/>
        <w:autoSpaceDE w:val="0"/>
        <w:autoSpaceDN w:val="0"/>
        <w:adjustRightInd w:val="0"/>
        <w:snapToGrid w:val="0"/>
        <w:spacing w:after="120"/>
        <w:ind w:left="1134" w:right="1134"/>
        <w:jc w:val="both"/>
        <w:rPr>
          <w:i/>
          <w:lang w:val="fr-FR"/>
        </w:rPr>
      </w:pPr>
      <w:r w:rsidRPr="00922D99">
        <w:rPr>
          <w:i/>
          <w:lang w:val="fr-FR"/>
        </w:rPr>
        <w:t>(Document de référence: Document informel INF.7)</w:t>
      </w:r>
    </w:p>
    <w:p w14:paraId="5FBC1683" w14:textId="09B3B911" w:rsidR="00F248D0" w:rsidRDefault="00922D99" w:rsidP="00922D99">
      <w:pPr>
        <w:pStyle w:val="HChG"/>
        <w:rPr>
          <w:lang w:val="fr-FR"/>
        </w:rPr>
      </w:pPr>
      <w:r>
        <w:rPr>
          <w:lang w:val="fr-FR"/>
        </w:rPr>
        <w:br w:type="page"/>
      </w:r>
      <w:r>
        <w:rPr>
          <w:lang w:val="fr-FR"/>
        </w:rPr>
        <w:lastRenderedPageBreak/>
        <w:t>Annexe II</w:t>
      </w:r>
    </w:p>
    <w:p w14:paraId="6E4E6B81" w14:textId="77777777" w:rsidR="00922D99" w:rsidRPr="00922D99" w:rsidRDefault="00922D99" w:rsidP="00922D99">
      <w:pPr>
        <w:keepNext/>
        <w:keepLines/>
        <w:tabs>
          <w:tab w:val="right" w:pos="851"/>
        </w:tabs>
        <w:spacing w:before="360" w:after="240" w:line="300" w:lineRule="exact"/>
        <w:ind w:left="1134" w:right="1134" w:hanging="1134"/>
        <w:rPr>
          <w:b/>
          <w:sz w:val="28"/>
          <w:lang w:val="fr-CH"/>
        </w:rPr>
      </w:pPr>
      <w:r w:rsidRPr="00922D99">
        <w:rPr>
          <w:b/>
          <w:sz w:val="28"/>
          <w:lang w:val="fr-FR"/>
        </w:rPr>
        <w:tab/>
      </w:r>
      <w:r w:rsidRPr="00922D99">
        <w:rPr>
          <w:b/>
          <w:sz w:val="28"/>
          <w:lang w:val="fr-FR"/>
        </w:rPr>
        <w:tab/>
      </w:r>
      <w:r w:rsidRPr="00922D99">
        <w:rPr>
          <w:b/>
          <w:sz w:val="28"/>
          <w:lang w:val="fr-CH"/>
        </w:rPr>
        <w:t>Projet d’amendements au Règlement annexé à l’ADN pour entrée en vigueur le 1er janvier 2019</w:t>
      </w:r>
    </w:p>
    <w:p w14:paraId="517F1FC3" w14:textId="77777777" w:rsidR="00922D99" w:rsidRPr="00922D99" w:rsidRDefault="00922D99" w:rsidP="00922D99">
      <w:pPr>
        <w:keepNext/>
        <w:keepLines/>
        <w:tabs>
          <w:tab w:val="right" w:pos="851"/>
        </w:tabs>
        <w:spacing w:before="240" w:after="120" w:line="240" w:lineRule="exact"/>
        <w:ind w:left="1134" w:right="1134" w:hanging="1134"/>
        <w:rPr>
          <w:b/>
          <w:lang w:val="fr-FR"/>
        </w:rPr>
      </w:pPr>
      <w:r w:rsidRPr="00922D99">
        <w:rPr>
          <w:lang w:val="fr-FR"/>
        </w:rPr>
        <w:tab/>
      </w:r>
      <w:r w:rsidRPr="00922D99">
        <w:rPr>
          <w:b/>
          <w:lang w:val="fr-FR"/>
        </w:rPr>
        <w:tab/>
        <w:t>Chapitre 1.1</w:t>
      </w:r>
    </w:p>
    <w:p w14:paraId="14F25349" w14:textId="77777777" w:rsidR="00922D99" w:rsidRPr="00922D99" w:rsidRDefault="00922D99" w:rsidP="00922D99">
      <w:pPr>
        <w:spacing w:after="120"/>
        <w:ind w:left="1134" w:right="1134"/>
        <w:jc w:val="both"/>
        <w:rPr>
          <w:lang w:val="fr-FR"/>
        </w:rPr>
      </w:pPr>
      <w:r w:rsidRPr="00922D99">
        <w:rPr>
          <w:lang w:val="fr-FR"/>
        </w:rPr>
        <w:t>1.1.4.3</w:t>
      </w:r>
      <w:r w:rsidRPr="00922D99">
        <w:rPr>
          <w:lang w:val="fr-FR"/>
        </w:rPr>
        <w:tab/>
      </w:r>
      <w:r w:rsidRPr="00922D99">
        <w:rPr>
          <w:lang w:val="fr-FR"/>
        </w:rPr>
        <w:tab/>
      </w:r>
      <w:r w:rsidRPr="00922D99">
        <w:rPr>
          <w:lang w:val="fr-CH"/>
        </w:rPr>
        <w:t>Modifier la</w:t>
      </w:r>
      <w:r w:rsidRPr="00922D99">
        <w:rPr>
          <w:lang w:val="fr-FR"/>
        </w:rPr>
        <w:t xml:space="preserve"> note de bas de page 2 pour lire:</w:t>
      </w:r>
    </w:p>
    <w:p w14:paraId="2F71CA06" w14:textId="77777777" w:rsidR="00922D99" w:rsidRPr="00922D99" w:rsidRDefault="00922D99" w:rsidP="00922D99">
      <w:pPr>
        <w:spacing w:after="120"/>
        <w:ind w:left="1134" w:right="1134"/>
        <w:jc w:val="both"/>
        <w:rPr>
          <w:lang w:val="fr-FR"/>
        </w:rPr>
      </w:pPr>
      <w:r w:rsidRPr="00922D99">
        <w:rPr>
          <w:lang w:val="fr-FR"/>
        </w:rPr>
        <w:t>«</w:t>
      </w:r>
      <w:r w:rsidRPr="00922D99">
        <w:rPr>
          <w:vertAlign w:val="superscript"/>
          <w:lang w:val="fr-FR"/>
        </w:rPr>
        <w:t>2</w:t>
      </w:r>
      <w:r w:rsidRPr="00922D99">
        <w:rPr>
          <w:vertAlign w:val="superscript"/>
          <w:lang w:val="fr-FR"/>
        </w:rPr>
        <w:tab/>
      </w:r>
      <w:r w:rsidRPr="00922D99">
        <w:rPr>
          <w:i/>
          <w:lang w:val="fr-FR"/>
        </w:rPr>
        <w:t xml:space="preserve">L’Organisation maritime internationale (OMI) a publié la circulaire CCC.1/Circ.3 (et ses rectificatifs), intitulée </w:t>
      </w:r>
      <w:r w:rsidRPr="00922D99">
        <w:rPr>
          <w:i/>
          <w:lang w:val="fr-CH"/>
        </w:rPr>
        <w:t>“Revised guidance on the continued use of existing IMO type portable tanks and road tank vehicles for the transport of dangerous goods”</w:t>
      </w:r>
      <w:r w:rsidRPr="00922D99">
        <w:rPr>
          <w:i/>
          <w:lang w:val="fr-FR"/>
        </w:rPr>
        <w:t xml:space="preserve"> (Indications révisées concernant la poursuite de l’utilisation des citernes mobiles et des véhicules-citernes routiers de type OMI existants pour le transport des marchandises dangereuses). Le texte de cette directive est disponible en anglais sur le site Internet de l’OMI à l’adresse suivante: www.imo.org.».</w:t>
      </w:r>
    </w:p>
    <w:p w14:paraId="3B600BFE" w14:textId="77777777" w:rsidR="00922D99" w:rsidRPr="00922D99" w:rsidRDefault="00922D99" w:rsidP="00922D99">
      <w:pPr>
        <w:spacing w:after="120"/>
        <w:ind w:left="1134" w:right="1134"/>
        <w:jc w:val="both"/>
        <w:rPr>
          <w:i/>
          <w:lang w:val="fr-FR"/>
        </w:rPr>
      </w:pPr>
      <w:r w:rsidRPr="00922D99">
        <w:rPr>
          <w:i/>
          <w:lang w:val="fr-FR"/>
        </w:rPr>
        <w:t>(Document de référence: document informel INF.6)</w:t>
      </w:r>
    </w:p>
    <w:p w14:paraId="6EB8D182" w14:textId="77777777" w:rsidR="00922D99" w:rsidRPr="00922D99" w:rsidRDefault="00922D99" w:rsidP="00922D99">
      <w:pPr>
        <w:keepNext/>
        <w:keepLines/>
        <w:tabs>
          <w:tab w:val="right" w:pos="851"/>
        </w:tabs>
        <w:spacing w:before="240" w:after="120" w:line="240" w:lineRule="exact"/>
        <w:ind w:left="1134" w:right="1134" w:hanging="1134"/>
        <w:rPr>
          <w:b/>
          <w:lang w:val="fr-FR"/>
        </w:rPr>
      </w:pPr>
      <w:r w:rsidRPr="00922D99">
        <w:rPr>
          <w:b/>
          <w:sz w:val="24"/>
          <w:lang w:val="fr-CH"/>
        </w:rPr>
        <w:tab/>
      </w:r>
      <w:r w:rsidRPr="00922D99">
        <w:rPr>
          <w:b/>
          <w:sz w:val="24"/>
          <w:lang w:val="fr-CH"/>
        </w:rPr>
        <w:tab/>
      </w:r>
      <w:r w:rsidRPr="00922D99">
        <w:rPr>
          <w:b/>
          <w:lang w:val="fr-FR"/>
        </w:rPr>
        <w:t>Chapitre 3.2</w:t>
      </w:r>
    </w:p>
    <w:p w14:paraId="434A57F2" w14:textId="77777777" w:rsidR="00922D99" w:rsidRPr="00922D99" w:rsidRDefault="00922D99" w:rsidP="00922D99">
      <w:pPr>
        <w:tabs>
          <w:tab w:val="left" w:pos="1985"/>
        </w:tabs>
        <w:spacing w:after="120"/>
        <w:ind w:left="1134" w:right="1134"/>
        <w:jc w:val="both"/>
        <w:rPr>
          <w:lang w:val="fr-FR"/>
        </w:rPr>
      </w:pPr>
      <w:r w:rsidRPr="00922D99">
        <w:rPr>
          <w:lang w:val="fr-FR"/>
        </w:rPr>
        <w:t>3.2.3.1</w:t>
      </w:r>
      <w:r w:rsidRPr="00922D99">
        <w:rPr>
          <w:lang w:val="fr-FR"/>
        </w:rPr>
        <w:tab/>
        <w:t>Dans la colonne (5) ‘Dangers’, modifier le quatrième paragraphe pour lire comme suit:</w:t>
      </w:r>
    </w:p>
    <w:p w14:paraId="161CB22A" w14:textId="77777777" w:rsidR="00922D99" w:rsidRPr="00922D99" w:rsidRDefault="00922D99" w:rsidP="00922D99">
      <w:pPr>
        <w:spacing w:after="120"/>
        <w:ind w:left="1134" w:right="1134"/>
        <w:jc w:val="both"/>
        <w:rPr>
          <w:lang w:val="fr-FR"/>
        </w:rPr>
      </w:pPr>
      <w:r w:rsidRPr="00922D99">
        <w:rPr>
          <w:lang w:val="fr-FR"/>
        </w:rPr>
        <w:t>«Lorsqu’il s’agit d’une matière ou d’un mélange avec des caractéristiques CMR selon les critères des catégories 1A ou 1B des chapitres 3.5, 3.6 et 3.7 du SGH, ces indications sont complétées par le code 'CMR'.».</w:t>
      </w:r>
    </w:p>
    <w:p w14:paraId="65EBA12A" w14:textId="77777777" w:rsidR="00922D99" w:rsidRPr="00922D99" w:rsidRDefault="00922D99" w:rsidP="00922D99">
      <w:pPr>
        <w:spacing w:after="120"/>
        <w:ind w:left="1134" w:right="1134"/>
        <w:jc w:val="both"/>
        <w:rPr>
          <w:i/>
          <w:lang w:val="fr-FR"/>
        </w:rPr>
      </w:pPr>
      <w:r w:rsidRPr="00922D99">
        <w:rPr>
          <w:i/>
          <w:lang w:val="fr-FR"/>
        </w:rPr>
        <w:t>(Document de référence: ECE/TRANS/WP.15/AC.2/2017/6)</w:t>
      </w:r>
    </w:p>
    <w:p w14:paraId="1B92B308" w14:textId="77777777" w:rsidR="00922D99" w:rsidRPr="00922D99" w:rsidRDefault="00922D99" w:rsidP="00922D99">
      <w:pPr>
        <w:keepNext/>
        <w:keepLines/>
        <w:spacing w:after="120"/>
        <w:ind w:left="1134" w:right="1134"/>
        <w:jc w:val="both"/>
        <w:rPr>
          <w:lang w:val="fr-CH"/>
        </w:rPr>
      </w:pPr>
      <w:r w:rsidRPr="00922D99">
        <w:rPr>
          <w:lang w:val="fr-CH"/>
        </w:rPr>
        <w:t>3.2.4.3, point 9.</w:t>
      </w:r>
      <w:r w:rsidRPr="00922D99">
        <w:rPr>
          <w:lang w:val="fr-CH"/>
        </w:rPr>
        <w:tab/>
        <w:t>Modifier la note de bas de page * de sorte qu’elle se lise comme suit :</w:t>
      </w:r>
    </w:p>
    <w:p w14:paraId="65EB0D86" w14:textId="77777777" w:rsidR="00922D99" w:rsidRPr="00922D99" w:rsidRDefault="00922D99" w:rsidP="00922D99">
      <w:pPr>
        <w:spacing w:after="120"/>
        <w:ind w:left="1134" w:right="1134"/>
        <w:jc w:val="both"/>
        <w:rPr>
          <w:lang w:val="fr-CH"/>
        </w:rPr>
      </w:pPr>
      <w:r w:rsidRPr="00922D99">
        <w:rPr>
          <w:lang w:val="fr-CH"/>
        </w:rPr>
        <w:t>«*</w:t>
      </w:r>
      <w:r w:rsidRPr="00922D99">
        <w:rPr>
          <w:lang w:val="fr-CH"/>
        </w:rPr>
        <w:tab/>
      </w:r>
      <w:r w:rsidRPr="00922D99">
        <w:rPr>
          <w:i/>
          <w:lang w:val="fr-CH"/>
        </w:rPr>
        <w:t xml:space="preserve">Étant donné qu’il n’existe pas encore de liste internationale officielle des matières CMR des catégories 1A et 1B, en attendant qu’une telle liste soit disponible, la liste des matières CMR des catégories 1A et 1B selon le Règlement </w:t>
      </w:r>
      <w:r w:rsidRPr="00922D99">
        <w:rPr>
          <w:bCs/>
          <w:i/>
          <w:lang w:val="fr-CH"/>
        </w:rPr>
        <w:t>(</w:t>
      </w:r>
      <w:r w:rsidRPr="00922D99">
        <w:rPr>
          <w:i/>
          <w:lang w:val="fr-CH"/>
        </w:rPr>
        <w:t>CE) n</w:t>
      </w:r>
      <w:r w:rsidRPr="00922D99">
        <w:rPr>
          <w:i/>
          <w:vertAlign w:val="superscript"/>
          <w:lang w:val="fr-CH"/>
        </w:rPr>
        <w:t>o</w:t>
      </w:r>
      <w:r w:rsidRPr="00922D99">
        <w:rPr>
          <w:i/>
          <w:lang w:val="fr-CH"/>
        </w:rPr>
        <w:t> 1272/2008 du Parlement européen et du Conseil, tel que modifié, est applicable.</w:t>
      </w:r>
      <w:r w:rsidRPr="00922D99">
        <w:rPr>
          <w:lang w:val="fr-CH"/>
        </w:rPr>
        <w:t>».</w:t>
      </w:r>
    </w:p>
    <w:p w14:paraId="0572C2CC" w14:textId="77777777" w:rsidR="00922D99" w:rsidRPr="00922D99" w:rsidRDefault="00922D99" w:rsidP="00922D99">
      <w:pPr>
        <w:spacing w:after="120"/>
        <w:ind w:left="1134" w:right="1134"/>
        <w:jc w:val="both"/>
        <w:rPr>
          <w:lang w:val="fr-CH"/>
        </w:rPr>
      </w:pPr>
      <w:r w:rsidRPr="00922D99">
        <w:rPr>
          <w:i/>
          <w:lang w:val="fr-FR"/>
        </w:rPr>
        <w:t>(Document de référence: ECE/TRANS/WP.15/AC.2/2017/10 tel que modifié)</w:t>
      </w:r>
    </w:p>
    <w:p w14:paraId="1EA7BBEA" w14:textId="77777777" w:rsidR="00922D99" w:rsidRPr="00922D99" w:rsidRDefault="00922D99" w:rsidP="00922D99">
      <w:pPr>
        <w:keepNext/>
        <w:keepLines/>
        <w:tabs>
          <w:tab w:val="right" w:pos="851"/>
        </w:tabs>
        <w:spacing w:before="240" w:after="120" w:line="240" w:lineRule="exact"/>
        <w:ind w:left="1134" w:right="1134" w:hanging="1134"/>
        <w:rPr>
          <w:b/>
          <w:lang w:val="fr-FR"/>
        </w:rPr>
      </w:pPr>
      <w:r w:rsidRPr="00922D99">
        <w:rPr>
          <w:b/>
          <w:sz w:val="24"/>
          <w:lang w:val="fr-CH"/>
        </w:rPr>
        <w:tab/>
      </w:r>
      <w:r w:rsidRPr="00922D99">
        <w:rPr>
          <w:b/>
          <w:lang w:val="fr-FR"/>
        </w:rPr>
        <w:tab/>
        <w:t>Chapitre 7.1</w:t>
      </w:r>
    </w:p>
    <w:p w14:paraId="23E0D581" w14:textId="77777777" w:rsidR="00922D99" w:rsidRPr="00922D99" w:rsidRDefault="00922D99" w:rsidP="00922D99">
      <w:pPr>
        <w:spacing w:after="120"/>
        <w:ind w:left="1134" w:right="1134"/>
        <w:jc w:val="both"/>
        <w:rPr>
          <w:lang w:val="fr-FR"/>
        </w:rPr>
      </w:pPr>
      <w:r w:rsidRPr="00922D99">
        <w:rPr>
          <w:lang w:val="fr-FR"/>
        </w:rPr>
        <w:t>7.1.3.31</w:t>
      </w:r>
      <w:r w:rsidRPr="00922D99">
        <w:rPr>
          <w:lang w:val="fr-FR"/>
        </w:rPr>
        <w:tab/>
        <w:t>Modifier pour lire comme suit:</w:t>
      </w:r>
    </w:p>
    <w:p w14:paraId="036B7302" w14:textId="77777777" w:rsidR="00922D99" w:rsidRPr="00922D99" w:rsidRDefault="00922D99" w:rsidP="00922D99">
      <w:pPr>
        <w:spacing w:after="120"/>
        <w:ind w:left="1134" w:right="1134"/>
        <w:jc w:val="both"/>
        <w:rPr>
          <w:lang w:val="fr-FR"/>
        </w:rPr>
      </w:pPr>
      <w:r w:rsidRPr="00922D99">
        <w:rPr>
          <w:lang w:val="fr-FR"/>
        </w:rPr>
        <w:t>«</w:t>
      </w:r>
      <w:r w:rsidRPr="00922D99">
        <w:rPr>
          <w:b/>
          <w:lang w:val="fr-FR"/>
        </w:rPr>
        <w:t>7.1.3.31</w:t>
      </w:r>
      <w:r w:rsidRPr="00922D99">
        <w:rPr>
          <w:b/>
          <w:lang w:val="fr-FR"/>
        </w:rPr>
        <w:tab/>
      </w:r>
      <w:r w:rsidRPr="00922D99">
        <w:rPr>
          <w:b/>
          <w:i/>
          <w:lang w:val="fr-FR"/>
        </w:rPr>
        <w:t>Machines</w:t>
      </w:r>
    </w:p>
    <w:p w14:paraId="4C27CF98" w14:textId="77777777" w:rsidR="00922D99" w:rsidRPr="00922D99" w:rsidRDefault="00922D99" w:rsidP="00922D99">
      <w:pPr>
        <w:spacing w:after="120"/>
        <w:ind w:left="1134" w:right="1134"/>
        <w:jc w:val="both"/>
        <w:rPr>
          <w:lang w:val="fr-FR"/>
        </w:rPr>
      </w:pPr>
      <w:r w:rsidRPr="00922D99">
        <w:rPr>
          <w:lang w:val="fr-FR"/>
        </w:rPr>
        <w:t>Il est interdit d’utiliser des moteurs fonctionnant avec un combustible dont le point d’éclair est inférieur ou égal à 55 °C (par exemple les moteurs à essence). Cette disposition ne s’applique pas:</w:t>
      </w:r>
    </w:p>
    <w:p w14:paraId="2E53D914" w14:textId="77777777" w:rsidR="00922D99" w:rsidRPr="00922D99" w:rsidRDefault="00922D99" w:rsidP="00922D99">
      <w:pPr>
        <w:pStyle w:val="Bullet1G"/>
        <w:rPr>
          <w:lang w:val="fr-FR"/>
        </w:rPr>
      </w:pPr>
      <w:r w:rsidRPr="00922D99">
        <w:rPr>
          <w:lang w:val="fr-FR"/>
        </w:rPr>
        <w:t>Aux moteurs hors-bord à essence des bateaux de sauvetage;</w:t>
      </w:r>
    </w:p>
    <w:p w14:paraId="61BBAC74" w14:textId="77777777" w:rsidR="00922D99" w:rsidRPr="00922D99" w:rsidRDefault="00922D99" w:rsidP="00922D99">
      <w:pPr>
        <w:pStyle w:val="Bullet1G"/>
        <w:rPr>
          <w:lang w:val="fr-FR"/>
        </w:rPr>
      </w:pPr>
      <w:r w:rsidRPr="00922D99">
        <w:rPr>
          <w:lang w:val="fr-FR"/>
        </w:rPr>
        <w:t xml:space="preserve">Aux systèmes de propulsion et aux systèmes auxiliaires qui satisfont aux prescriptions du chapitre 30 et de la section 1 de l’annexe 8 du Standard européen </w:t>
      </w:r>
      <w:r w:rsidRPr="00922D99">
        <w:rPr>
          <w:lang w:val="fr-FR"/>
        </w:rPr>
        <w:lastRenderedPageBreak/>
        <w:t>établissant les prescriptions techniques des bateaux de navigation intérieure (ES−TRIN), dans sa version modifiée</w:t>
      </w:r>
      <w:r w:rsidRPr="00922D99">
        <w:rPr>
          <w:sz w:val="18"/>
          <w:vertAlign w:val="superscript"/>
          <w:lang w:val="fr-CH"/>
        </w:rPr>
        <w:footnoteReference w:customMarkFollows="1" w:id="3"/>
        <w:t>*</w:t>
      </w:r>
      <w:r w:rsidRPr="00922D99">
        <w:rPr>
          <w:lang w:val="fr-FR"/>
        </w:rPr>
        <w:t>».</w:t>
      </w:r>
    </w:p>
    <w:p w14:paraId="77D3D653" w14:textId="77777777" w:rsidR="00922D99" w:rsidRPr="00922D99" w:rsidRDefault="00922D99" w:rsidP="00922D99">
      <w:pPr>
        <w:spacing w:after="120"/>
        <w:ind w:left="1134" w:right="1134"/>
        <w:jc w:val="both"/>
        <w:rPr>
          <w:lang w:val="fr-FR"/>
        </w:rPr>
      </w:pPr>
      <w:r w:rsidRPr="00922D99">
        <w:rPr>
          <w:i/>
          <w:lang w:val="fr-FR"/>
        </w:rPr>
        <w:t>(Document de référence: ECE/TRANS/WP.15/AC.2/2017/17 tel que modifié par le document informel INF.28)</w:t>
      </w:r>
    </w:p>
    <w:p w14:paraId="14D2157B" w14:textId="77777777" w:rsidR="00922D99" w:rsidRPr="00922D99" w:rsidRDefault="00922D99" w:rsidP="00922D99">
      <w:pPr>
        <w:spacing w:after="120"/>
        <w:ind w:left="1134" w:right="1134"/>
        <w:jc w:val="both"/>
        <w:rPr>
          <w:lang w:val="fr-CH"/>
        </w:rPr>
      </w:pPr>
      <w:r w:rsidRPr="00922D99">
        <w:rPr>
          <w:lang w:val="fr-CH"/>
        </w:rPr>
        <w:t>7.1.4.4.2</w:t>
      </w:r>
      <w:r w:rsidRPr="00922D99">
        <w:rPr>
          <w:lang w:val="fr-CH"/>
        </w:rPr>
        <w:tab/>
        <w:t>Modifier le premier tiret pour lire comme suit: «- conteneurs fermées;».</w:t>
      </w:r>
    </w:p>
    <w:p w14:paraId="5A8ED5BE" w14:textId="77777777" w:rsidR="00922D99" w:rsidRPr="00922D99" w:rsidRDefault="00922D99" w:rsidP="00922D99">
      <w:pPr>
        <w:spacing w:after="120"/>
        <w:ind w:left="1134" w:right="1134"/>
        <w:jc w:val="both"/>
        <w:rPr>
          <w:i/>
          <w:lang w:val="fr-CH"/>
        </w:rPr>
      </w:pPr>
      <w:r w:rsidRPr="00922D99">
        <w:rPr>
          <w:i/>
          <w:lang w:val="fr-CH"/>
        </w:rPr>
        <w:t>(Document de référence: Document informel INF.5)</w:t>
      </w:r>
    </w:p>
    <w:p w14:paraId="34AAAD7F" w14:textId="77777777" w:rsidR="00922D99" w:rsidRPr="00922D99" w:rsidRDefault="00922D99" w:rsidP="00922D99">
      <w:pPr>
        <w:keepNext/>
        <w:keepLines/>
        <w:tabs>
          <w:tab w:val="right" w:pos="851"/>
        </w:tabs>
        <w:spacing w:before="240" w:after="120" w:line="240" w:lineRule="exact"/>
        <w:ind w:left="1134" w:right="1134" w:hanging="1134"/>
        <w:rPr>
          <w:b/>
          <w:lang w:val="fr-FR"/>
        </w:rPr>
      </w:pPr>
      <w:r w:rsidRPr="00922D99">
        <w:rPr>
          <w:b/>
          <w:lang w:val="fr-FR"/>
        </w:rPr>
        <w:tab/>
      </w:r>
      <w:r w:rsidRPr="00922D99">
        <w:rPr>
          <w:b/>
          <w:lang w:val="fr-FR"/>
        </w:rPr>
        <w:tab/>
        <w:t>Chapitre 7.2</w:t>
      </w:r>
    </w:p>
    <w:p w14:paraId="12CEA1F4" w14:textId="77777777" w:rsidR="00922D99" w:rsidRPr="00922D99" w:rsidRDefault="00922D99" w:rsidP="00922D99">
      <w:pPr>
        <w:spacing w:after="120"/>
        <w:ind w:left="1134" w:right="1134"/>
        <w:jc w:val="both"/>
        <w:rPr>
          <w:lang w:val="fr-FR"/>
        </w:rPr>
      </w:pPr>
      <w:r w:rsidRPr="00922D99">
        <w:rPr>
          <w:lang w:val="fr-FR"/>
        </w:rPr>
        <w:t>7.2.3.31.1</w:t>
      </w:r>
      <w:r w:rsidRPr="00922D99">
        <w:rPr>
          <w:lang w:val="fr-FR"/>
        </w:rPr>
        <w:tab/>
        <w:t>Modifier pour lire comme suit:</w:t>
      </w:r>
    </w:p>
    <w:p w14:paraId="1C27C5B1" w14:textId="77777777" w:rsidR="00922D99" w:rsidRPr="00922D99" w:rsidRDefault="00922D99" w:rsidP="00922D99">
      <w:pPr>
        <w:spacing w:after="120"/>
        <w:ind w:left="1134" w:right="1134"/>
        <w:jc w:val="both"/>
        <w:rPr>
          <w:lang w:val="fr-FR"/>
        </w:rPr>
      </w:pPr>
      <w:r w:rsidRPr="00922D99">
        <w:rPr>
          <w:lang w:val="fr-FR"/>
        </w:rPr>
        <w:t>«Il est interdit d’utiliser des moteurs fonctionnant avec un combustible dont le point d’éclair est inférieur ou égal à 55 °C (par exemple les moteurs à essence). Cette disposition ne s’applique pas :</w:t>
      </w:r>
    </w:p>
    <w:p w14:paraId="3CD7C5AF" w14:textId="77777777" w:rsidR="00922D99" w:rsidRPr="00922D99" w:rsidRDefault="00922D99" w:rsidP="00922D99">
      <w:pPr>
        <w:pStyle w:val="Bullet1G"/>
        <w:rPr>
          <w:lang w:val="fr-FR"/>
        </w:rPr>
      </w:pPr>
      <w:r w:rsidRPr="00922D99">
        <w:rPr>
          <w:lang w:val="fr-FR"/>
        </w:rPr>
        <w:t>Aux moteurs hors-bord à essence des bateaux de sauvetage;</w:t>
      </w:r>
    </w:p>
    <w:p w14:paraId="3CC78EC2" w14:textId="77777777" w:rsidR="00922D99" w:rsidRPr="00922D99" w:rsidRDefault="00922D99" w:rsidP="00922D99">
      <w:pPr>
        <w:pStyle w:val="Bullet1G"/>
        <w:rPr>
          <w:lang w:val="fr-FR"/>
        </w:rPr>
      </w:pPr>
      <w:r w:rsidRPr="00922D99">
        <w:rPr>
          <w:lang w:val="fr-FR"/>
        </w:rPr>
        <w:t>Aux systèmes de propulsion et aux systèmes auxiliaires qui satisfont aux prescriptions du chapitre 30 et de la section 1 de l’annexe 8 du Standard européen établissant les prescriptions techniques des bateaux de navigation intérieure (ES−TRIN), dans sa version modifiée*.».</w:t>
      </w:r>
    </w:p>
    <w:p w14:paraId="4EBC8D8E" w14:textId="77777777" w:rsidR="00922D99" w:rsidRPr="00922D99" w:rsidRDefault="00922D99" w:rsidP="00922D99">
      <w:pPr>
        <w:spacing w:after="120"/>
        <w:ind w:left="1134" w:right="1134"/>
        <w:jc w:val="both"/>
        <w:rPr>
          <w:i/>
          <w:lang w:val="fr-FR"/>
        </w:rPr>
      </w:pPr>
      <w:r w:rsidRPr="00922D99">
        <w:rPr>
          <w:i/>
          <w:lang w:val="fr-FR"/>
        </w:rPr>
        <w:t>(Document de référence: ECE/TRANS/WP.15/AC.2/2017/17 tel que modifié par le document informel INF.28)</w:t>
      </w:r>
    </w:p>
    <w:p w14:paraId="328F5BB3" w14:textId="77777777" w:rsidR="00922D99" w:rsidRPr="00922D99" w:rsidRDefault="00922D99" w:rsidP="00922D99">
      <w:pPr>
        <w:keepNext/>
        <w:keepLines/>
        <w:tabs>
          <w:tab w:val="right" w:pos="851"/>
        </w:tabs>
        <w:spacing w:before="240" w:after="120" w:line="240" w:lineRule="exact"/>
        <w:ind w:left="1134" w:right="1134" w:hanging="1134"/>
        <w:rPr>
          <w:b/>
          <w:lang w:val="fr-FR"/>
        </w:rPr>
      </w:pPr>
      <w:r w:rsidRPr="00922D99">
        <w:rPr>
          <w:b/>
          <w:lang w:val="fr-FR"/>
        </w:rPr>
        <w:tab/>
      </w:r>
      <w:r w:rsidRPr="00922D99">
        <w:rPr>
          <w:b/>
          <w:lang w:val="fr-FR"/>
        </w:rPr>
        <w:tab/>
        <w:t>Chapitre 9.1</w:t>
      </w:r>
    </w:p>
    <w:p w14:paraId="40BDB712" w14:textId="77777777" w:rsidR="00922D99" w:rsidRPr="00922D99" w:rsidRDefault="00922D99" w:rsidP="00922D99">
      <w:pPr>
        <w:spacing w:after="120"/>
        <w:ind w:left="1134" w:right="1134"/>
        <w:jc w:val="both"/>
        <w:rPr>
          <w:lang w:val="fr-FR"/>
        </w:rPr>
      </w:pPr>
      <w:r w:rsidRPr="00922D99">
        <w:rPr>
          <w:lang w:val="fr-FR"/>
        </w:rPr>
        <w:t>9.1.0.31.1</w:t>
      </w:r>
      <w:r w:rsidRPr="00922D99">
        <w:rPr>
          <w:lang w:val="fr-FR"/>
        </w:rPr>
        <w:tab/>
        <w:t>Ajouter une dernière phrase, libellée comme suit:</w:t>
      </w:r>
    </w:p>
    <w:p w14:paraId="49250D99" w14:textId="77777777" w:rsidR="00922D99" w:rsidRPr="00922D99" w:rsidRDefault="00922D99" w:rsidP="00922D99">
      <w:pPr>
        <w:spacing w:after="120"/>
        <w:ind w:left="1134" w:right="1134"/>
        <w:jc w:val="both"/>
        <w:rPr>
          <w:lang w:val="fr-FR"/>
        </w:rPr>
      </w:pPr>
      <w:r w:rsidRPr="00922D99">
        <w:rPr>
          <w:lang w:val="fr-FR"/>
        </w:rPr>
        <w:t>«Cette disposition ne s’applique pas aux moteurs à combustion interne qui font partie d’un système de propulsion ou d’un système auxiliaire. Ces systèmes devant satisfaire aux prescriptions du chapitre 30 et de la section 1 de l’annexe 8 du Standard européen établissant les prescriptions techniques des bateaux de navigation intérieure (ES-TRIN), dans sa version modifiée*.».</w:t>
      </w:r>
    </w:p>
    <w:p w14:paraId="2D877B2D" w14:textId="77777777" w:rsidR="00922D99" w:rsidRPr="00922D99" w:rsidRDefault="00922D99" w:rsidP="00922D99">
      <w:pPr>
        <w:spacing w:after="120"/>
        <w:ind w:left="1134" w:right="1134"/>
        <w:jc w:val="both"/>
        <w:rPr>
          <w:lang w:val="fr-CH"/>
        </w:rPr>
      </w:pPr>
      <w:r w:rsidRPr="00922D99">
        <w:rPr>
          <w:i/>
          <w:lang w:val="fr-FR"/>
        </w:rPr>
        <w:t>(Document de référence: ECE/TRANS/WP.15/AC.2/2017/17 tel que modifié par le document informel INF.28)</w:t>
      </w:r>
    </w:p>
    <w:p w14:paraId="418D49F6" w14:textId="77777777" w:rsidR="00922D99" w:rsidRPr="00922D99" w:rsidRDefault="00922D99" w:rsidP="00922D99">
      <w:pPr>
        <w:keepNext/>
        <w:keepLines/>
        <w:tabs>
          <w:tab w:val="right" w:pos="851"/>
        </w:tabs>
        <w:spacing w:before="240" w:after="120" w:line="240" w:lineRule="exact"/>
        <w:ind w:left="1134" w:right="1134" w:hanging="1134"/>
        <w:rPr>
          <w:b/>
          <w:lang w:val="fr-FR"/>
        </w:rPr>
      </w:pPr>
      <w:r w:rsidRPr="00922D99">
        <w:rPr>
          <w:b/>
          <w:lang w:val="fr-FR"/>
        </w:rPr>
        <w:tab/>
      </w:r>
      <w:r w:rsidRPr="00922D99">
        <w:rPr>
          <w:b/>
          <w:lang w:val="fr-FR"/>
        </w:rPr>
        <w:tab/>
        <w:t>Chapitre 9.3</w:t>
      </w:r>
    </w:p>
    <w:p w14:paraId="645B2953" w14:textId="77777777" w:rsidR="00922D99" w:rsidRPr="00922D99" w:rsidRDefault="00922D99" w:rsidP="00922D99">
      <w:pPr>
        <w:spacing w:after="120"/>
        <w:ind w:left="1134" w:right="1134"/>
        <w:jc w:val="both"/>
        <w:rPr>
          <w:lang w:val="fr-FR"/>
        </w:rPr>
      </w:pPr>
      <w:r w:rsidRPr="00922D99">
        <w:rPr>
          <w:lang w:val="fr-FR"/>
        </w:rPr>
        <w:t>9.3.1.31.1, 9.3.2.31.1 et 9.3.3.31.1</w:t>
      </w:r>
      <w:r w:rsidRPr="00922D99">
        <w:rPr>
          <w:lang w:val="fr-FR"/>
        </w:rPr>
        <w:tab/>
        <w:t>Modifier pour lire comme suit:</w:t>
      </w:r>
    </w:p>
    <w:p w14:paraId="184D2F85" w14:textId="77777777" w:rsidR="00922D99" w:rsidRPr="00922D99" w:rsidRDefault="00922D99" w:rsidP="00922D99">
      <w:pPr>
        <w:spacing w:after="120"/>
        <w:ind w:left="1134" w:right="1134"/>
        <w:jc w:val="both"/>
        <w:rPr>
          <w:lang w:val="fr-FR"/>
        </w:rPr>
      </w:pPr>
      <w:r w:rsidRPr="00922D99">
        <w:rPr>
          <w:lang w:val="fr-FR"/>
        </w:rPr>
        <w:t xml:space="preserve">«Seuls les moteurs à combustion interne utilisant un combustible qui a un point d’éclair supérieur à 55 °C sont admis. Cette disposition ne s’applique pas aux moteurs à combustion interne qui font partie d’un système de propulsion ou d’un système auxiliaire. Ces systèmes devant satisfaire aux prescriptions du chapitre 30 et de la section 1 de l’annexe 8 du </w:t>
      </w:r>
      <w:r w:rsidRPr="00922D99">
        <w:rPr>
          <w:lang w:val="fr-FR"/>
        </w:rPr>
        <w:lastRenderedPageBreak/>
        <w:t>Standard européen établissant les prescriptions techniques des bateaux de navigation intérieure (ES-TRIN), dans sa version modifiée*.».</w:t>
      </w:r>
    </w:p>
    <w:p w14:paraId="6424B70A" w14:textId="77777777" w:rsidR="00922D99" w:rsidRPr="00922D99" w:rsidRDefault="00922D99" w:rsidP="00922D99">
      <w:pPr>
        <w:spacing w:after="120"/>
        <w:ind w:left="1134" w:right="1134"/>
        <w:jc w:val="both"/>
        <w:rPr>
          <w:i/>
          <w:lang w:val="fr-FR"/>
        </w:rPr>
      </w:pPr>
      <w:r w:rsidRPr="00922D99">
        <w:rPr>
          <w:i/>
          <w:lang w:val="fr-FR"/>
        </w:rPr>
        <w:t>(Document de référence: ECE/TRANS/WP.15/AC.2/2017/17 tel que modifié par le document informel INF.28)</w:t>
      </w:r>
    </w:p>
    <w:p w14:paraId="4DB87EE6" w14:textId="77777777" w:rsidR="00453AAC" w:rsidRPr="00241EB6" w:rsidRDefault="00241EB6" w:rsidP="00241EB6">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453AAC" w:rsidRPr="00241EB6" w:rsidSect="003B0B11">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0E9D6" w14:textId="77777777" w:rsidR="007660A3" w:rsidRDefault="007660A3"/>
  </w:endnote>
  <w:endnote w:type="continuationSeparator" w:id="0">
    <w:p w14:paraId="29346FAB" w14:textId="77777777" w:rsidR="007660A3" w:rsidRDefault="007660A3"/>
  </w:endnote>
  <w:endnote w:type="continuationNotice" w:id="1">
    <w:p w14:paraId="0B297A1E" w14:textId="77777777" w:rsidR="007660A3" w:rsidRDefault="007660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95C99" w14:textId="247F94FB" w:rsidR="007660A3" w:rsidRDefault="007660A3">
    <w:pPr>
      <w:pStyle w:val="Footer"/>
    </w:pPr>
    <w:r>
      <w:rPr>
        <w:rStyle w:val="PageNumber"/>
      </w:rPr>
      <w:fldChar w:fldCharType="begin"/>
    </w:r>
    <w:r>
      <w:rPr>
        <w:rStyle w:val="PageNumber"/>
      </w:rPr>
      <w:instrText xml:space="preserve"> PAGE </w:instrText>
    </w:r>
    <w:r>
      <w:rPr>
        <w:rStyle w:val="PageNumber"/>
      </w:rPr>
      <w:fldChar w:fldCharType="separate"/>
    </w:r>
    <w:r w:rsidR="00D62059">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A9FB4" w14:textId="49548869" w:rsidR="007660A3" w:rsidRDefault="007660A3" w:rsidP="0059355D">
    <w:pPr>
      <w:pStyle w:val="Footer"/>
      <w:jc w:val="right"/>
    </w:pPr>
    <w:r>
      <w:rPr>
        <w:rStyle w:val="PageNumber"/>
      </w:rPr>
      <w:fldChar w:fldCharType="begin"/>
    </w:r>
    <w:r>
      <w:rPr>
        <w:rStyle w:val="PageNumber"/>
      </w:rPr>
      <w:instrText xml:space="preserve"> PAGE </w:instrText>
    </w:r>
    <w:r>
      <w:rPr>
        <w:rStyle w:val="PageNumber"/>
      </w:rPr>
      <w:fldChar w:fldCharType="separate"/>
    </w:r>
    <w:r w:rsidR="00D62059">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B1F18" w14:textId="77777777" w:rsidR="007660A3" w:rsidRPr="000B175B" w:rsidRDefault="007660A3" w:rsidP="000B175B">
      <w:pPr>
        <w:tabs>
          <w:tab w:val="right" w:pos="2155"/>
        </w:tabs>
        <w:spacing w:after="80"/>
        <w:ind w:left="680"/>
        <w:rPr>
          <w:u w:val="single"/>
        </w:rPr>
      </w:pPr>
      <w:r>
        <w:rPr>
          <w:u w:val="single"/>
        </w:rPr>
        <w:tab/>
      </w:r>
    </w:p>
  </w:footnote>
  <w:footnote w:type="continuationSeparator" w:id="0">
    <w:p w14:paraId="5E509E0D" w14:textId="77777777" w:rsidR="007660A3" w:rsidRPr="00FC68B7" w:rsidRDefault="007660A3" w:rsidP="00FC68B7">
      <w:pPr>
        <w:tabs>
          <w:tab w:val="left" w:pos="2155"/>
        </w:tabs>
        <w:spacing w:after="80"/>
        <w:ind w:left="680"/>
        <w:rPr>
          <w:u w:val="single"/>
        </w:rPr>
      </w:pPr>
      <w:r>
        <w:rPr>
          <w:u w:val="single"/>
        </w:rPr>
        <w:tab/>
      </w:r>
    </w:p>
  </w:footnote>
  <w:footnote w:type="continuationNotice" w:id="1">
    <w:p w14:paraId="15D0AF15" w14:textId="77777777" w:rsidR="007660A3" w:rsidRDefault="007660A3"/>
  </w:footnote>
  <w:footnote w:id="2">
    <w:p w14:paraId="6EB5F1F9" w14:textId="77777777" w:rsidR="007660A3" w:rsidRPr="00B84024" w:rsidRDefault="007660A3">
      <w:pPr>
        <w:pStyle w:val="FootnoteText"/>
        <w:rPr>
          <w:lang w:val="fr-CH"/>
        </w:rPr>
      </w:pPr>
      <w:r w:rsidRPr="00B84024">
        <w:rPr>
          <w:rStyle w:val="FootnoteReference"/>
          <w:lang w:val="fr-CH"/>
        </w:rPr>
        <w:tab/>
      </w:r>
      <w:r w:rsidRPr="00B84024">
        <w:rPr>
          <w:rStyle w:val="FootnoteReference"/>
          <w:sz w:val="20"/>
          <w:vertAlign w:val="baseline"/>
          <w:lang w:val="fr-CH"/>
        </w:rPr>
        <w:t>*</w:t>
      </w:r>
      <w:r w:rsidRPr="00B84024">
        <w:rPr>
          <w:rStyle w:val="FootnoteReference"/>
          <w:sz w:val="20"/>
          <w:vertAlign w:val="baseline"/>
          <w:lang w:val="fr-CH"/>
        </w:rPr>
        <w:tab/>
      </w:r>
      <w:r w:rsidRPr="00B84024">
        <w:rPr>
          <w:lang w:val="fr-FR"/>
        </w:rPr>
        <w:t>Diffusé en langue allemande par la Commission centrale pour la navigation du Rhin sous la cote CCNR/ZKR/ADN/WP.15/AC.2/62.</w:t>
      </w:r>
    </w:p>
  </w:footnote>
  <w:footnote w:id="3">
    <w:p w14:paraId="56D5C7FB" w14:textId="77777777" w:rsidR="00922D99" w:rsidRPr="00922D99" w:rsidRDefault="00922D99" w:rsidP="00922D99">
      <w:pPr>
        <w:pStyle w:val="FootnoteText"/>
        <w:rPr>
          <w:sz w:val="20"/>
          <w:lang w:val="fr-CH"/>
        </w:rPr>
      </w:pPr>
      <w:r w:rsidRPr="00922D99">
        <w:rPr>
          <w:rStyle w:val="FootnoteReference"/>
          <w:sz w:val="20"/>
          <w:lang w:val="fr-CH"/>
        </w:rPr>
        <w:tab/>
        <w:t>*</w:t>
      </w:r>
      <w:r w:rsidRPr="00922D99">
        <w:rPr>
          <w:rStyle w:val="FootnoteReference"/>
          <w:sz w:val="20"/>
          <w:lang w:val="fr-CH"/>
        </w:rPr>
        <w:tab/>
      </w:r>
      <w:r w:rsidRPr="00922D99">
        <w:rPr>
          <w:sz w:val="20"/>
          <w:lang w:val="fr-CH"/>
        </w:rPr>
        <w:t xml:space="preserve">Tel qu’il figure sur le site Web du </w:t>
      </w:r>
      <w:r w:rsidRPr="00922D99">
        <w:rPr>
          <w:sz w:val="20"/>
          <w:shd w:val="clear" w:color="auto" w:fill="FFFFFF"/>
          <w:lang w:val="fr-CH"/>
        </w:rPr>
        <w:t>Comité européen pour l’élaboration de standards dans le domaine de la navigation intérieure (CESNI), à l’adresse suivante: https://www.cesni.eu/</w:t>
      </w:r>
      <w:r w:rsidRPr="00922D99">
        <w:rPr>
          <w:sz w:val="20"/>
          <w:lang w:val="fr-CH"/>
        </w:rPr>
        <w:t>documents/es-trin/</w:t>
      </w:r>
      <w:r w:rsidRPr="00922D99">
        <w:rPr>
          <w:sz w:val="20"/>
          <w:shd w:val="clear" w:color="auto" w:fill="FFFFFF"/>
          <w:lang w:val="fr-CH"/>
        </w:rPr>
        <w:t xml:space="preserve"> </w:t>
      </w:r>
      <w:r w:rsidRPr="00922D99">
        <w:rPr>
          <w:spacing w:val="-1"/>
          <w:sz w:val="20"/>
          <w:shd w:val="clear" w:color="auto" w:fill="FFFFFF"/>
          <w:lang w:val="fr-CH"/>
        </w:rPr>
        <w:t xml:space="preserve">[on pourra également se reporter aux dispositions équivalentes qui figurent dans les </w:t>
      </w:r>
      <w:r w:rsidRPr="00922D99">
        <w:rPr>
          <w:spacing w:val="-1"/>
          <w:sz w:val="20"/>
          <w:lang w:val="fr-CH"/>
        </w:rPr>
        <w:t>Recommandations</w:t>
      </w:r>
      <w:r w:rsidRPr="00922D99">
        <w:rPr>
          <w:sz w:val="20"/>
          <w:lang w:val="fr-CH"/>
        </w:rPr>
        <w:t xml:space="preserve"> relatives à des prescriptions techniques harmonisées à l’échelle européenne applicables aux bateaux de navigation intérieure</w:t>
      </w:r>
      <w:r w:rsidRPr="00922D99">
        <w:rPr>
          <w:sz w:val="20"/>
          <w:shd w:val="clear" w:color="auto" w:fill="FFFFFF"/>
          <w:lang w:val="fr-CH"/>
        </w:rPr>
        <w:t xml:space="preserve"> de la CEE (résolution n</w:t>
      </w:r>
      <w:r w:rsidRPr="00922D99">
        <w:rPr>
          <w:sz w:val="20"/>
          <w:shd w:val="clear" w:color="auto" w:fill="FFFFFF"/>
          <w:vertAlign w:val="superscript"/>
          <w:lang w:val="fr-CH"/>
        </w:rPr>
        <w:t>o</w:t>
      </w:r>
      <w:r w:rsidRPr="00922D99">
        <w:rPr>
          <w:sz w:val="20"/>
          <w:shd w:val="clear" w:color="auto" w:fill="FFFFFF"/>
          <w:lang w:val="fr-CH"/>
        </w:rPr>
        <w:t xml:space="preserve"> 61 du </w:t>
      </w:r>
      <w:r w:rsidRPr="00922D99">
        <w:rPr>
          <w:sz w:val="20"/>
          <w:lang w:val="fr-CH"/>
        </w:rPr>
        <w:t>Comité des transports intérieurs − Groupe de travail des transports par voie navigable, telle que révisée et modifiée, à consulter à l’adresse suivante : http://www.unece.org/trans/main/sc3/sc3res.html)].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D6299" w14:textId="77777777" w:rsidR="007660A3" w:rsidRPr="00AA47CD" w:rsidRDefault="007660A3" w:rsidP="009427B2">
    <w:pPr>
      <w:pStyle w:val="Header"/>
    </w:pPr>
    <w:r>
      <w:t>ECE/TRANS/WP.15/AC.2/62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73ACD" w14:textId="77777777" w:rsidR="007660A3" w:rsidRPr="00AA47CD" w:rsidRDefault="007660A3" w:rsidP="0084355D">
    <w:pPr>
      <w:pStyle w:val="Header"/>
      <w:jc w:val="right"/>
    </w:pPr>
    <w:r w:rsidRPr="00AA47CD">
      <w:t>ECE/TRANS/WP.15/AC.2/</w:t>
    </w:r>
    <w:r>
      <w:t>62</w:t>
    </w:r>
  </w:p>
  <w:p w14:paraId="0887B40D" w14:textId="77777777" w:rsidR="007660A3" w:rsidRDefault="007660A3" w:rsidP="0084355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697F76"/>
    <w:multiLevelType w:val="hybridMultilevel"/>
    <w:tmpl w:val="CD9A29F6"/>
    <w:lvl w:ilvl="0" w:tplc="80DE5F42">
      <w:start w:val="1"/>
      <w:numFmt w:val="upperRoman"/>
      <w:lvlText w:val="%1."/>
      <w:lvlJc w:val="left"/>
      <w:pPr>
        <w:tabs>
          <w:tab w:val="num" w:pos="1395"/>
        </w:tabs>
        <w:ind w:left="1395" w:hanging="72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1"/>
  </w:num>
  <w:num w:numId="15">
    <w:abstractNumId w:val="16"/>
  </w:num>
  <w:num w:numId="16">
    <w:abstractNumId w:val="12"/>
  </w:num>
  <w:num w:numId="17">
    <w:abstractNumId w:val="17"/>
  </w:num>
  <w:num w:numId="18">
    <w:abstractNumId w:val="18"/>
  </w:num>
  <w:num w:numId="1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61D"/>
    <w:rsid w:val="0000000A"/>
    <w:rsid w:val="00002A7D"/>
    <w:rsid w:val="000038A8"/>
    <w:rsid w:val="00004CB4"/>
    <w:rsid w:val="00006790"/>
    <w:rsid w:val="00006EF7"/>
    <w:rsid w:val="0001172E"/>
    <w:rsid w:val="000168CA"/>
    <w:rsid w:val="00027624"/>
    <w:rsid w:val="000474E5"/>
    <w:rsid w:val="00050F6B"/>
    <w:rsid w:val="00056188"/>
    <w:rsid w:val="00060675"/>
    <w:rsid w:val="000678CD"/>
    <w:rsid w:val="00071383"/>
    <w:rsid w:val="0007297F"/>
    <w:rsid w:val="00072C8C"/>
    <w:rsid w:val="00074FD0"/>
    <w:rsid w:val="00075498"/>
    <w:rsid w:val="000800B1"/>
    <w:rsid w:val="00081CE0"/>
    <w:rsid w:val="00081E5B"/>
    <w:rsid w:val="00084D30"/>
    <w:rsid w:val="00090320"/>
    <w:rsid w:val="00091148"/>
    <w:rsid w:val="000931C0"/>
    <w:rsid w:val="00096F6E"/>
    <w:rsid w:val="000A214D"/>
    <w:rsid w:val="000A2E09"/>
    <w:rsid w:val="000B175B"/>
    <w:rsid w:val="000B3A0F"/>
    <w:rsid w:val="000B41FA"/>
    <w:rsid w:val="000B5EAB"/>
    <w:rsid w:val="000B695D"/>
    <w:rsid w:val="000E0415"/>
    <w:rsid w:val="000E7EB0"/>
    <w:rsid w:val="000F3557"/>
    <w:rsid w:val="000F7715"/>
    <w:rsid w:val="00101BFA"/>
    <w:rsid w:val="00103E99"/>
    <w:rsid w:val="001040DE"/>
    <w:rsid w:val="00114509"/>
    <w:rsid w:val="00127049"/>
    <w:rsid w:val="00156B99"/>
    <w:rsid w:val="001613A7"/>
    <w:rsid w:val="00166124"/>
    <w:rsid w:val="00167404"/>
    <w:rsid w:val="00167F20"/>
    <w:rsid w:val="00174AF7"/>
    <w:rsid w:val="00176DF1"/>
    <w:rsid w:val="00184DDA"/>
    <w:rsid w:val="001900CD"/>
    <w:rsid w:val="00192A87"/>
    <w:rsid w:val="0019444B"/>
    <w:rsid w:val="001965B3"/>
    <w:rsid w:val="0019692D"/>
    <w:rsid w:val="001A0452"/>
    <w:rsid w:val="001A3481"/>
    <w:rsid w:val="001B4B04"/>
    <w:rsid w:val="001B5875"/>
    <w:rsid w:val="001B75EF"/>
    <w:rsid w:val="001C4B9C"/>
    <w:rsid w:val="001C6663"/>
    <w:rsid w:val="001C7895"/>
    <w:rsid w:val="001D15C4"/>
    <w:rsid w:val="001D26DF"/>
    <w:rsid w:val="001D312D"/>
    <w:rsid w:val="001D3EF8"/>
    <w:rsid w:val="001F0A17"/>
    <w:rsid w:val="001F1599"/>
    <w:rsid w:val="001F1961"/>
    <w:rsid w:val="001F19C4"/>
    <w:rsid w:val="002043F0"/>
    <w:rsid w:val="00204BB8"/>
    <w:rsid w:val="002060B9"/>
    <w:rsid w:val="00211E0B"/>
    <w:rsid w:val="00216E82"/>
    <w:rsid w:val="00232575"/>
    <w:rsid w:val="00241EB6"/>
    <w:rsid w:val="00247258"/>
    <w:rsid w:val="00257CAC"/>
    <w:rsid w:val="002606F4"/>
    <w:rsid w:val="00263A6D"/>
    <w:rsid w:val="00270343"/>
    <w:rsid w:val="00275DB3"/>
    <w:rsid w:val="00283944"/>
    <w:rsid w:val="002848D8"/>
    <w:rsid w:val="00285D26"/>
    <w:rsid w:val="00296407"/>
    <w:rsid w:val="002974E9"/>
    <w:rsid w:val="002A214F"/>
    <w:rsid w:val="002A7F94"/>
    <w:rsid w:val="002B109A"/>
    <w:rsid w:val="002B72EF"/>
    <w:rsid w:val="002C1973"/>
    <w:rsid w:val="002C57D6"/>
    <w:rsid w:val="002C6C1F"/>
    <w:rsid w:val="002C6D45"/>
    <w:rsid w:val="002D345D"/>
    <w:rsid w:val="002D4CF0"/>
    <w:rsid w:val="002D6E53"/>
    <w:rsid w:val="002F046D"/>
    <w:rsid w:val="002F669F"/>
    <w:rsid w:val="003007E7"/>
    <w:rsid w:val="003015F2"/>
    <w:rsid w:val="00301764"/>
    <w:rsid w:val="00302B3E"/>
    <w:rsid w:val="003229D8"/>
    <w:rsid w:val="00323AD2"/>
    <w:rsid w:val="00326771"/>
    <w:rsid w:val="003307FE"/>
    <w:rsid w:val="00336C97"/>
    <w:rsid w:val="00337D65"/>
    <w:rsid w:val="00337F88"/>
    <w:rsid w:val="003410E4"/>
    <w:rsid w:val="00342432"/>
    <w:rsid w:val="0034575A"/>
    <w:rsid w:val="00352D4B"/>
    <w:rsid w:val="003542FA"/>
    <w:rsid w:val="00354724"/>
    <w:rsid w:val="00354CED"/>
    <w:rsid w:val="0035592B"/>
    <w:rsid w:val="0035638C"/>
    <w:rsid w:val="00370928"/>
    <w:rsid w:val="00383063"/>
    <w:rsid w:val="0038518F"/>
    <w:rsid w:val="0039640B"/>
    <w:rsid w:val="00397094"/>
    <w:rsid w:val="003A46BB"/>
    <w:rsid w:val="003A4EC7"/>
    <w:rsid w:val="003A7295"/>
    <w:rsid w:val="003B027B"/>
    <w:rsid w:val="003B0B11"/>
    <w:rsid w:val="003B1F60"/>
    <w:rsid w:val="003B66B4"/>
    <w:rsid w:val="003C2CC4"/>
    <w:rsid w:val="003C7026"/>
    <w:rsid w:val="003D4B23"/>
    <w:rsid w:val="003D58A1"/>
    <w:rsid w:val="003E20B1"/>
    <w:rsid w:val="003E278A"/>
    <w:rsid w:val="003F2A34"/>
    <w:rsid w:val="004032CF"/>
    <w:rsid w:val="00413520"/>
    <w:rsid w:val="00414F7A"/>
    <w:rsid w:val="00431D4D"/>
    <w:rsid w:val="004325CB"/>
    <w:rsid w:val="00440A07"/>
    <w:rsid w:val="0044124B"/>
    <w:rsid w:val="004522AB"/>
    <w:rsid w:val="00453AAC"/>
    <w:rsid w:val="00462880"/>
    <w:rsid w:val="004629BE"/>
    <w:rsid w:val="0047298C"/>
    <w:rsid w:val="00475224"/>
    <w:rsid w:val="00476F24"/>
    <w:rsid w:val="004909E7"/>
    <w:rsid w:val="004A3363"/>
    <w:rsid w:val="004B1000"/>
    <w:rsid w:val="004B45B0"/>
    <w:rsid w:val="004C28E2"/>
    <w:rsid w:val="004C55B0"/>
    <w:rsid w:val="004C68D7"/>
    <w:rsid w:val="004E4179"/>
    <w:rsid w:val="004F0843"/>
    <w:rsid w:val="004F6BA0"/>
    <w:rsid w:val="0050052B"/>
    <w:rsid w:val="00503BEA"/>
    <w:rsid w:val="00504BF9"/>
    <w:rsid w:val="00513BD9"/>
    <w:rsid w:val="00514518"/>
    <w:rsid w:val="0051641A"/>
    <w:rsid w:val="00524646"/>
    <w:rsid w:val="00526675"/>
    <w:rsid w:val="005308C7"/>
    <w:rsid w:val="00533616"/>
    <w:rsid w:val="00535ABA"/>
    <w:rsid w:val="005371A0"/>
    <w:rsid w:val="0053768B"/>
    <w:rsid w:val="005420F2"/>
    <w:rsid w:val="0054285C"/>
    <w:rsid w:val="00547A88"/>
    <w:rsid w:val="00564BF4"/>
    <w:rsid w:val="00572350"/>
    <w:rsid w:val="005779B6"/>
    <w:rsid w:val="005811F0"/>
    <w:rsid w:val="00584173"/>
    <w:rsid w:val="00586975"/>
    <w:rsid w:val="0059355D"/>
    <w:rsid w:val="00595520"/>
    <w:rsid w:val="005A44B9"/>
    <w:rsid w:val="005B1BA0"/>
    <w:rsid w:val="005B3DB3"/>
    <w:rsid w:val="005C11B4"/>
    <w:rsid w:val="005C4F38"/>
    <w:rsid w:val="005C69A7"/>
    <w:rsid w:val="005D15CA"/>
    <w:rsid w:val="005D390C"/>
    <w:rsid w:val="005E355F"/>
    <w:rsid w:val="005F3066"/>
    <w:rsid w:val="005F3E61"/>
    <w:rsid w:val="005F51F6"/>
    <w:rsid w:val="00602D50"/>
    <w:rsid w:val="00604DDD"/>
    <w:rsid w:val="006115CC"/>
    <w:rsid w:val="00611FC4"/>
    <w:rsid w:val="00617067"/>
    <w:rsid w:val="006176FB"/>
    <w:rsid w:val="00630FCB"/>
    <w:rsid w:val="0063132F"/>
    <w:rsid w:val="00632F10"/>
    <w:rsid w:val="0063339A"/>
    <w:rsid w:val="0064017F"/>
    <w:rsid w:val="00640B26"/>
    <w:rsid w:val="00642502"/>
    <w:rsid w:val="006473EC"/>
    <w:rsid w:val="00647D2E"/>
    <w:rsid w:val="00667D6B"/>
    <w:rsid w:val="00671922"/>
    <w:rsid w:val="006770B2"/>
    <w:rsid w:val="00683B93"/>
    <w:rsid w:val="006940E1"/>
    <w:rsid w:val="0069629D"/>
    <w:rsid w:val="006A3C72"/>
    <w:rsid w:val="006A500D"/>
    <w:rsid w:val="006A7392"/>
    <w:rsid w:val="006B03A1"/>
    <w:rsid w:val="006B06A7"/>
    <w:rsid w:val="006B67D9"/>
    <w:rsid w:val="006C25E0"/>
    <w:rsid w:val="006C5535"/>
    <w:rsid w:val="006D0589"/>
    <w:rsid w:val="006D4426"/>
    <w:rsid w:val="006D5DB2"/>
    <w:rsid w:val="006E564B"/>
    <w:rsid w:val="006E7154"/>
    <w:rsid w:val="006F05F9"/>
    <w:rsid w:val="006F309C"/>
    <w:rsid w:val="007003CD"/>
    <w:rsid w:val="0070701E"/>
    <w:rsid w:val="0070702F"/>
    <w:rsid w:val="0071198D"/>
    <w:rsid w:val="0071480B"/>
    <w:rsid w:val="00716F94"/>
    <w:rsid w:val="0072632A"/>
    <w:rsid w:val="007358E8"/>
    <w:rsid w:val="00736ECE"/>
    <w:rsid w:val="0074533B"/>
    <w:rsid w:val="0075471E"/>
    <w:rsid w:val="0076432E"/>
    <w:rsid w:val="007643BC"/>
    <w:rsid w:val="007660A3"/>
    <w:rsid w:val="00771C51"/>
    <w:rsid w:val="00781790"/>
    <w:rsid w:val="00787CBC"/>
    <w:rsid w:val="007959FE"/>
    <w:rsid w:val="007A0CF1"/>
    <w:rsid w:val="007A7CC0"/>
    <w:rsid w:val="007B6A61"/>
    <w:rsid w:val="007B6BA5"/>
    <w:rsid w:val="007C3390"/>
    <w:rsid w:val="007C42D8"/>
    <w:rsid w:val="007C4F4B"/>
    <w:rsid w:val="007C68C8"/>
    <w:rsid w:val="007D0DAA"/>
    <w:rsid w:val="007D7362"/>
    <w:rsid w:val="007E4914"/>
    <w:rsid w:val="007F5CE2"/>
    <w:rsid w:val="007F6611"/>
    <w:rsid w:val="00806661"/>
    <w:rsid w:val="00810BAC"/>
    <w:rsid w:val="0081435F"/>
    <w:rsid w:val="008175E9"/>
    <w:rsid w:val="008242D7"/>
    <w:rsid w:val="00825578"/>
    <w:rsid w:val="0082577B"/>
    <w:rsid w:val="0084355D"/>
    <w:rsid w:val="00852CA7"/>
    <w:rsid w:val="008558E7"/>
    <w:rsid w:val="00862545"/>
    <w:rsid w:val="00866893"/>
    <w:rsid w:val="00866F02"/>
    <w:rsid w:val="00867D18"/>
    <w:rsid w:val="00871F9A"/>
    <w:rsid w:val="00871FD5"/>
    <w:rsid w:val="00875F26"/>
    <w:rsid w:val="008762E1"/>
    <w:rsid w:val="00876B8E"/>
    <w:rsid w:val="0088172E"/>
    <w:rsid w:val="00881EFA"/>
    <w:rsid w:val="00883E28"/>
    <w:rsid w:val="00883F4B"/>
    <w:rsid w:val="008979B1"/>
    <w:rsid w:val="008A6B25"/>
    <w:rsid w:val="008A6C4F"/>
    <w:rsid w:val="008B03B2"/>
    <w:rsid w:val="008B1D83"/>
    <w:rsid w:val="008B389E"/>
    <w:rsid w:val="008C490D"/>
    <w:rsid w:val="008C5BCB"/>
    <w:rsid w:val="008D045E"/>
    <w:rsid w:val="008D3F25"/>
    <w:rsid w:val="008D4D82"/>
    <w:rsid w:val="008D4F13"/>
    <w:rsid w:val="008E0E09"/>
    <w:rsid w:val="008E0E46"/>
    <w:rsid w:val="008E2DEA"/>
    <w:rsid w:val="008E31B9"/>
    <w:rsid w:val="008E7116"/>
    <w:rsid w:val="008F143B"/>
    <w:rsid w:val="008F2ECC"/>
    <w:rsid w:val="008F3882"/>
    <w:rsid w:val="008F3C40"/>
    <w:rsid w:val="008F4B7C"/>
    <w:rsid w:val="0090355B"/>
    <w:rsid w:val="009137F1"/>
    <w:rsid w:val="00913E10"/>
    <w:rsid w:val="00914DC3"/>
    <w:rsid w:val="00922D99"/>
    <w:rsid w:val="00926E47"/>
    <w:rsid w:val="009427B2"/>
    <w:rsid w:val="00947162"/>
    <w:rsid w:val="00953163"/>
    <w:rsid w:val="009601FF"/>
    <w:rsid w:val="00960D5D"/>
    <w:rsid w:val="009610D0"/>
    <w:rsid w:val="0096375C"/>
    <w:rsid w:val="009662E6"/>
    <w:rsid w:val="0097095E"/>
    <w:rsid w:val="00980F57"/>
    <w:rsid w:val="0098592B"/>
    <w:rsid w:val="00985FC4"/>
    <w:rsid w:val="00990766"/>
    <w:rsid w:val="00991261"/>
    <w:rsid w:val="00992C68"/>
    <w:rsid w:val="009964C4"/>
    <w:rsid w:val="009970DD"/>
    <w:rsid w:val="009A3888"/>
    <w:rsid w:val="009A7B81"/>
    <w:rsid w:val="009D01C0"/>
    <w:rsid w:val="009D6A08"/>
    <w:rsid w:val="009D7D28"/>
    <w:rsid w:val="009E0A16"/>
    <w:rsid w:val="009E7970"/>
    <w:rsid w:val="009F2EAC"/>
    <w:rsid w:val="009F57E3"/>
    <w:rsid w:val="009F6E2E"/>
    <w:rsid w:val="00A02421"/>
    <w:rsid w:val="00A10F4F"/>
    <w:rsid w:val="00A11067"/>
    <w:rsid w:val="00A1704A"/>
    <w:rsid w:val="00A21959"/>
    <w:rsid w:val="00A23B11"/>
    <w:rsid w:val="00A23E9E"/>
    <w:rsid w:val="00A3640F"/>
    <w:rsid w:val="00A425EB"/>
    <w:rsid w:val="00A446D0"/>
    <w:rsid w:val="00A45CB7"/>
    <w:rsid w:val="00A47439"/>
    <w:rsid w:val="00A47B2D"/>
    <w:rsid w:val="00A5132E"/>
    <w:rsid w:val="00A64C3B"/>
    <w:rsid w:val="00A72F22"/>
    <w:rsid w:val="00A733BC"/>
    <w:rsid w:val="00A748A6"/>
    <w:rsid w:val="00A749C1"/>
    <w:rsid w:val="00A76A69"/>
    <w:rsid w:val="00A77D0C"/>
    <w:rsid w:val="00A824E7"/>
    <w:rsid w:val="00A879A4"/>
    <w:rsid w:val="00A9061E"/>
    <w:rsid w:val="00A96CEB"/>
    <w:rsid w:val="00AA0236"/>
    <w:rsid w:val="00AA0FF8"/>
    <w:rsid w:val="00AA47CD"/>
    <w:rsid w:val="00AA5632"/>
    <w:rsid w:val="00AA756C"/>
    <w:rsid w:val="00AC00F1"/>
    <w:rsid w:val="00AC0F2C"/>
    <w:rsid w:val="00AC502A"/>
    <w:rsid w:val="00AF3A98"/>
    <w:rsid w:val="00AF58C1"/>
    <w:rsid w:val="00B03E68"/>
    <w:rsid w:val="00B06643"/>
    <w:rsid w:val="00B13D3A"/>
    <w:rsid w:val="00B15055"/>
    <w:rsid w:val="00B17B93"/>
    <w:rsid w:val="00B17FC5"/>
    <w:rsid w:val="00B217B0"/>
    <w:rsid w:val="00B30179"/>
    <w:rsid w:val="00B303D7"/>
    <w:rsid w:val="00B35415"/>
    <w:rsid w:val="00B37B15"/>
    <w:rsid w:val="00B4482F"/>
    <w:rsid w:val="00B45C02"/>
    <w:rsid w:val="00B66011"/>
    <w:rsid w:val="00B72A1E"/>
    <w:rsid w:val="00B81E12"/>
    <w:rsid w:val="00B84024"/>
    <w:rsid w:val="00BA339B"/>
    <w:rsid w:val="00BC1E7E"/>
    <w:rsid w:val="00BC2E45"/>
    <w:rsid w:val="00BC74E9"/>
    <w:rsid w:val="00BD6422"/>
    <w:rsid w:val="00BE36A9"/>
    <w:rsid w:val="00BE618E"/>
    <w:rsid w:val="00BE7A1E"/>
    <w:rsid w:val="00BE7BEC"/>
    <w:rsid w:val="00BF0A5A"/>
    <w:rsid w:val="00BF0AE7"/>
    <w:rsid w:val="00BF0E63"/>
    <w:rsid w:val="00BF12A3"/>
    <w:rsid w:val="00BF16D7"/>
    <w:rsid w:val="00BF2373"/>
    <w:rsid w:val="00BF6606"/>
    <w:rsid w:val="00C044E2"/>
    <w:rsid w:val="00C048CB"/>
    <w:rsid w:val="00C066F3"/>
    <w:rsid w:val="00C06865"/>
    <w:rsid w:val="00C07CA9"/>
    <w:rsid w:val="00C10783"/>
    <w:rsid w:val="00C112DB"/>
    <w:rsid w:val="00C15DFC"/>
    <w:rsid w:val="00C278D4"/>
    <w:rsid w:val="00C37397"/>
    <w:rsid w:val="00C413F6"/>
    <w:rsid w:val="00C44604"/>
    <w:rsid w:val="00C44BB0"/>
    <w:rsid w:val="00C45BBB"/>
    <w:rsid w:val="00C463DD"/>
    <w:rsid w:val="00C47794"/>
    <w:rsid w:val="00C70809"/>
    <w:rsid w:val="00C73AED"/>
    <w:rsid w:val="00C745C3"/>
    <w:rsid w:val="00C805A7"/>
    <w:rsid w:val="00CA2221"/>
    <w:rsid w:val="00CA24A4"/>
    <w:rsid w:val="00CA3137"/>
    <w:rsid w:val="00CB348D"/>
    <w:rsid w:val="00CB34BE"/>
    <w:rsid w:val="00CB763D"/>
    <w:rsid w:val="00CD46F5"/>
    <w:rsid w:val="00CD6C29"/>
    <w:rsid w:val="00CE4A8F"/>
    <w:rsid w:val="00CE52ED"/>
    <w:rsid w:val="00CF071D"/>
    <w:rsid w:val="00CF116C"/>
    <w:rsid w:val="00D018CB"/>
    <w:rsid w:val="00D15B04"/>
    <w:rsid w:val="00D15C92"/>
    <w:rsid w:val="00D2031B"/>
    <w:rsid w:val="00D21084"/>
    <w:rsid w:val="00D23EAC"/>
    <w:rsid w:val="00D25EC1"/>
    <w:rsid w:val="00D25FE2"/>
    <w:rsid w:val="00D26898"/>
    <w:rsid w:val="00D37DA9"/>
    <w:rsid w:val="00D406A7"/>
    <w:rsid w:val="00D43252"/>
    <w:rsid w:val="00D433EA"/>
    <w:rsid w:val="00D44D86"/>
    <w:rsid w:val="00D4707D"/>
    <w:rsid w:val="00D50B7D"/>
    <w:rsid w:val="00D52012"/>
    <w:rsid w:val="00D62059"/>
    <w:rsid w:val="00D63CEC"/>
    <w:rsid w:val="00D64DF4"/>
    <w:rsid w:val="00D67CDF"/>
    <w:rsid w:val="00D704E5"/>
    <w:rsid w:val="00D72727"/>
    <w:rsid w:val="00D731DD"/>
    <w:rsid w:val="00D75F65"/>
    <w:rsid w:val="00D908A9"/>
    <w:rsid w:val="00D978C6"/>
    <w:rsid w:val="00DA0956"/>
    <w:rsid w:val="00DA357F"/>
    <w:rsid w:val="00DA3E12"/>
    <w:rsid w:val="00DB4E06"/>
    <w:rsid w:val="00DB66FA"/>
    <w:rsid w:val="00DC18AD"/>
    <w:rsid w:val="00DC2BDB"/>
    <w:rsid w:val="00DC4FD9"/>
    <w:rsid w:val="00DD1FB0"/>
    <w:rsid w:val="00DD5DCD"/>
    <w:rsid w:val="00DE0CB9"/>
    <w:rsid w:val="00DE1486"/>
    <w:rsid w:val="00DE5105"/>
    <w:rsid w:val="00DF0EA0"/>
    <w:rsid w:val="00DF1A1E"/>
    <w:rsid w:val="00DF50C7"/>
    <w:rsid w:val="00DF6A82"/>
    <w:rsid w:val="00DF7CAE"/>
    <w:rsid w:val="00E02011"/>
    <w:rsid w:val="00E1773B"/>
    <w:rsid w:val="00E423C0"/>
    <w:rsid w:val="00E6414C"/>
    <w:rsid w:val="00E7260F"/>
    <w:rsid w:val="00E82C50"/>
    <w:rsid w:val="00E86772"/>
    <w:rsid w:val="00E8702D"/>
    <w:rsid w:val="00E916A9"/>
    <w:rsid w:val="00E916DE"/>
    <w:rsid w:val="00E93BF3"/>
    <w:rsid w:val="00E96630"/>
    <w:rsid w:val="00ED18DC"/>
    <w:rsid w:val="00ED6201"/>
    <w:rsid w:val="00ED7A2A"/>
    <w:rsid w:val="00EE2A27"/>
    <w:rsid w:val="00EE4832"/>
    <w:rsid w:val="00EF1D7F"/>
    <w:rsid w:val="00EF4426"/>
    <w:rsid w:val="00EF623D"/>
    <w:rsid w:val="00F0137E"/>
    <w:rsid w:val="00F03CF2"/>
    <w:rsid w:val="00F1361D"/>
    <w:rsid w:val="00F143EF"/>
    <w:rsid w:val="00F207BA"/>
    <w:rsid w:val="00F21786"/>
    <w:rsid w:val="00F21F15"/>
    <w:rsid w:val="00F248D0"/>
    <w:rsid w:val="00F3023F"/>
    <w:rsid w:val="00F336D1"/>
    <w:rsid w:val="00F3742B"/>
    <w:rsid w:val="00F37C29"/>
    <w:rsid w:val="00F41FDB"/>
    <w:rsid w:val="00F5337D"/>
    <w:rsid w:val="00F56D63"/>
    <w:rsid w:val="00F5724F"/>
    <w:rsid w:val="00F609A9"/>
    <w:rsid w:val="00F74DFC"/>
    <w:rsid w:val="00F77E67"/>
    <w:rsid w:val="00F80C99"/>
    <w:rsid w:val="00F867EC"/>
    <w:rsid w:val="00F91B2B"/>
    <w:rsid w:val="00FB47DC"/>
    <w:rsid w:val="00FB5453"/>
    <w:rsid w:val="00FB6F24"/>
    <w:rsid w:val="00FC03CD"/>
    <w:rsid w:val="00FC0646"/>
    <w:rsid w:val="00FC0826"/>
    <w:rsid w:val="00FC0D31"/>
    <w:rsid w:val="00FC1652"/>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B0C4DBA"/>
  <w15:docId w15:val="{46C10F25-CE97-4F41-A06D-6F3EAE9A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71E"/>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ChGChar">
    <w:name w:val="_ H _Ch_G Char"/>
    <w:link w:val="HChG"/>
    <w:rsid w:val="0075471E"/>
    <w:rPr>
      <w:b/>
      <w:sz w:val="2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SingleTxtGChar">
    <w:name w:val="_ Single Txt_G Char"/>
    <w:link w:val="SingleTxtG"/>
    <w:rsid w:val="003307FE"/>
    <w:rPr>
      <w:lang w:val="en-GB" w:eastAsia="en-US" w:bidi="ar-SA"/>
    </w:rPr>
  </w:style>
  <w:style w:type="paragraph" w:styleId="BalloonText">
    <w:name w:val="Balloon Text"/>
    <w:basedOn w:val="Normal"/>
    <w:link w:val="BalloonTextChar"/>
    <w:rsid w:val="008F2ECC"/>
    <w:pPr>
      <w:spacing w:line="240" w:lineRule="auto"/>
    </w:pPr>
    <w:rPr>
      <w:rFonts w:ascii="Tahoma" w:hAnsi="Tahoma" w:cs="Tahoma"/>
      <w:sz w:val="16"/>
      <w:szCs w:val="16"/>
    </w:rPr>
  </w:style>
  <w:style w:type="character" w:customStyle="1" w:styleId="BalloonTextChar">
    <w:name w:val="Balloon Text Char"/>
    <w:link w:val="BalloonText"/>
    <w:rsid w:val="008F2ECC"/>
    <w:rPr>
      <w:rFonts w:ascii="Tahoma" w:hAnsi="Tahoma" w:cs="Tahoma"/>
      <w:sz w:val="16"/>
      <w:szCs w:val="16"/>
      <w:lang w:eastAsia="en-US"/>
    </w:rPr>
  </w:style>
  <w:style w:type="character" w:customStyle="1" w:styleId="FootnoteTextChar">
    <w:name w:val="Footnote Text Char"/>
    <w:aliases w:val="5_G Char"/>
    <w:link w:val="FootnoteText"/>
    <w:rsid w:val="00602D50"/>
    <w:rPr>
      <w:sz w:val="18"/>
      <w:lang w:eastAsia="en-US"/>
    </w:rPr>
  </w:style>
  <w:style w:type="character" w:styleId="CommentReference">
    <w:name w:val="annotation reference"/>
    <w:basedOn w:val="DefaultParagraphFont"/>
    <w:rsid w:val="00602D50"/>
    <w:rPr>
      <w:sz w:val="16"/>
      <w:szCs w:val="16"/>
    </w:rPr>
  </w:style>
  <w:style w:type="paragraph" w:styleId="CommentText">
    <w:name w:val="annotation text"/>
    <w:basedOn w:val="Normal"/>
    <w:link w:val="CommentTextChar"/>
    <w:rsid w:val="00602D50"/>
  </w:style>
  <w:style w:type="character" w:customStyle="1" w:styleId="CommentTextChar">
    <w:name w:val="Comment Text Char"/>
    <w:basedOn w:val="DefaultParagraphFont"/>
    <w:link w:val="CommentText"/>
    <w:rsid w:val="00602D50"/>
    <w:rPr>
      <w:lang w:eastAsia="en-US"/>
    </w:rPr>
  </w:style>
  <w:style w:type="paragraph" w:styleId="CommentSubject">
    <w:name w:val="annotation subject"/>
    <w:basedOn w:val="CommentText"/>
    <w:next w:val="CommentText"/>
    <w:link w:val="CommentSubjectChar"/>
    <w:rsid w:val="00602D50"/>
    <w:rPr>
      <w:b/>
      <w:bCs/>
    </w:rPr>
  </w:style>
  <w:style w:type="character" w:customStyle="1" w:styleId="CommentSubjectChar">
    <w:name w:val="Comment Subject Char"/>
    <w:basedOn w:val="CommentTextChar"/>
    <w:link w:val="CommentSubject"/>
    <w:rsid w:val="00602D50"/>
    <w:rPr>
      <w:b/>
      <w:bCs/>
      <w:lang w:eastAsia="en-US"/>
    </w:rPr>
  </w:style>
  <w:style w:type="paragraph" w:styleId="Subtitle">
    <w:name w:val="Subtitle"/>
    <w:basedOn w:val="Normal"/>
    <w:next w:val="Normal"/>
    <w:link w:val="SubtitleChar"/>
    <w:qFormat/>
    <w:rsid w:val="00F37C29"/>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F37C29"/>
    <w:rPr>
      <w:rFonts w:asciiTheme="majorHAnsi" w:eastAsiaTheme="majorEastAsia" w:hAnsiTheme="majorHAnsi" w:cstheme="maj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ns/danger/publi/adn/adnclassification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20</Pages>
  <Words>7097</Words>
  <Characters>40459</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ECE/TRANS/WP</vt:lpstr>
    </vt:vector>
  </TitlesOfParts>
  <Company>UNECE</Company>
  <LinksUpToDate>false</LinksUpToDate>
  <CharactersWithSpaces>47462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dc:title>
  <dc:creator>Collet</dc:creator>
  <cp:lastModifiedBy>Caillot</cp:lastModifiedBy>
  <cp:revision>15</cp:revision>
  <cp:lastPrinted>2017-02-08T13:05:00Z</cp:lastPrinted>
  <dcterms:created xsi:type="dcterms:W3CDTF">2017-02-08T13:03:00Z</dcterms:created>
  <dcterms:modified xsi:type="dcterms:W3CDTF">2017-02-10T15:03:00Z</dcterms:modified>
</cp:coreProperties>
</file>