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5950FA" w:rsidRPr="005950FA" w:rsidTr="008F224B">
        <w:trPr>
          <w:cantSplit/>
          <w:trHeight w:hRule="exact" w:val="851"/>
        </w:trPr>
        <w:tc>
          <w:tcPr>
            <w:tcW w:w="1276" w:type="dxa"/>
            <w:vAlign w:val="bottom"/>
          </w:tcPr>
          <w:p w:rsidR="005950FA" w:rsidRPr="005950FA" w:rsidRDefault="005950FA" w:rsidP="005950FA">
            <w:pPr>
              <w:rPr>
                <w:rFonts w:eastAsia="Times New Roman"/>
              </w:rPr>
            </w:pPr>
          </w:p>
        </w:tc>
        <w:tc>
          <w:tcPr>
            <w:tcW w:w="8363" w:type="dxa"/>
            <w:gridSpan w:val="2"/>
            <w:vAlign w:val="bottom"/>
          </w:tcPr>
          <w:p w:rsidR="005950FA" w:rsidRPr="005950FA" w:rsidRDefault="005950FA" w:rsidP="005950FA">
            <w:pPr>
              <w:ind w:left="6095"/>
              <w:jc w:val="right"/>
              <w:rPr>
                <w:rFonts w:eastAsia="Times New Roman"/>
              </w:rPr>
            </w:pPr>
            <w:r w:rsidRPr="005950FA">
              <w:rPr>
                <w:rFonts w:eastAsia="Times New Roman"/>
                <w:b/>
                <w:sz w:val="40"/>
                <w:szCs w:val="40"/>
              </w:rPr>
              <w:t>INF.</w:t>
            </w:r>
            <w:r>
              <w:rPr>
                <w:rFonts w:eastAsia="Times New Roman"/>
                <w:b/>
                <w:sz w:val="40"/>
                <w:szCs w:val="40"/>
              </w:rPr>
              <w:t>7</w:t>
            </w:r>
          </w:p>
        </w:tc>
      </w:tr>
      <w:tr w:rsidR="005950FA" w:rsidRPr="005950FA" w:rsidTr="008F224B">
        <w:trPr>
          <w:cantSplit/>
          <w:trHeight w:hRule="exact" w:val="3980"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5950FA" w:rsidRPr="005950FA" w:rsidRDefault="005950FA" w:rsidP="005950FA">
            <w:pPr>
              <w:spacing w:before="120" w:after="120"/>
              <w:rPr>
                <w:rFonts w:eastAsia="Times New Roman"/>
                <w:b/>
                <w:sz w:val="28"/>
                <w:szCs w:val="28"/>
              </w:rPr>
            </w:pPr>
            <w:r w:rsidRPr="005950FA">
              <w:rPr>
                <w:rFonts w:eastAsia="Times New Roman"/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5950FA">
                <w:rPr>
                  <w:rFonts w:eastAsia="Times New Roman"/>
                  <w:b/>
                  <w:sz w:val="28"/>
                  <w:szCs w:val="28"/>
                </w:rPr>
                <w:t>Europe</w:t>
              </w:r>
            </w:smartTag>
          </w:p>
          <w:p w:rsidR="005950FA" w:rsidRPr="005950FA" w:rsidRDefault="005950FA" w:rsidP="005950FA">
            <w:pPr>
              <w:spacing w:before="120"/>
              <w:rPr>
                <w:rFonts w:eastAsia="Times New Roman"/>
                <w:sz w:val="28"/>
                <w:szCs w:val="28"/>
              </w:rPr>
            </w:pPr>
            <w:r w:rsidRPr="005950FA">
              <w:rPr>
                <w:rFonts w:eastAsia="Times New Roman"/>
                <w:sz w:val="28"/>
                <w:szCs w:val="28"/>
              </w:rPr>
              <w:t>Inland Transport Committee</w:t>
            </w:r>
          </w:p>
          <w:p w:rsidR="005950FA" w:rsidRPr="005950FA" w:rsidRDefault="005950FA" w:rsidP="005950FA">
            <w:pPr>
              <w:spacing w:before="120"/>
              <w:rPr>
                <w:rFonts w:eastAsia="Times New Roman"/>
                <w:b/>
              </w:rPr>
            </w:pPr>
            <w:r w:rsidRPr="005950FA">
              <w:rPr>
                <w:rFonts w:eastAsia="Times New Roman"/>
                <w:b/>
              </w:rPr>
              <w:t>Working Party on the Transport of Dangerous Goods</w:t>
            </w:r>
          </w:p>
          <w:p w:rsidR="005950FA" w:rsidRPr="005950FA" w:rsidRDefault="005950FA" w:rsidP="005950FA">
            <w:pPr>
              <w:spacing w:before="120"/>
              <w:rPr>
                <w:rFonts w:eastAsia="Times New Roman"/>
                <w:b/>
              </w:rPr>
            </w:pPr>
            <w:r w:rsidRPr="005950FA">
              <w:rPr>
                <w:rFonts w:eastAsia="Times New Roman"/>
                <w:b/>
              </w:rPr>
              <w:t>Joint Meeting of Experts on the Regulations annexed to the</w:t>
            </w:r>
            <w:r w:rsidRPr="005950FA">
              <w:rPr>
                <w:rFonts w:eastAsia="Times New Roman"/>
                <w:b/>
              </w:rPr>
              <w:br/>
              <w:t>European Agreement concerning the International Carriage</w:t>
            </w:r>
            <w:r w:rsidRPr="005950FA">
              <w:rPr>
                <w:rFonts w:eastAsia="Times New Roman"/>
                <w:b/>
              </w:rPr>
              <w:br/>
              <w:t>of Dangerous Goods by Inland Waterways (ADN)</w:t>
            </w:r>
            <w:r w:rsidRPr="005950FA">
              <w:rPr>
                <w:rFonts w:eastAsia="Times New Roman"/>
                <w:b/>
              </w:rPr>
              <w:br/>
              <w:t>(ADN Safety Committee)</w:t>
            </w:r>
          </w:p>
          <w:p w:rsidR="005950FA" w:rsidRPr="005950FA" w:rsidRDefault="005950FA" w:rsidP="005950FA">
            <w:pPr>
              <w:spacing w:before="120"/>
              <w:rPr>
                <w:rFonts w:eastAsia="Times New Roman"/>
                <w:b/>
              </w:rPr>
            </w:pPr>
            <w:r w:rsidRPr="005950FA">
              <w:rPr>
                <w:rFonts w:eastAsia="Times New Roman"/>
                <w:b/>
              </w:rPr>
              <w:t>Thirtieth session</w:t>
            </w:r>
          </w:p>
          <w:p w:rsidR="005950FA" w:rsidRPr="005950FA" w:rsidRDefault="005950FA" w:rsidP="005950FA">
            <w:pPr>
              <w:rPr>
                <w:rFonts w:eastAsia="Times New Roman"/>
              </w:rPr>
            </w:pPr>
            <w:r w:rsidRPr="005950FA">
              <w:rPr>
                <w:rFonts w:eastAsia="Times New Roman"/>
              </w:rPr>
              <w:t>Geneva, 23–27 January 2017</w:t>
            </w:r>
            <w:r w:rsidRPr="005950FA">
              <w:rPr>
                <w:rFonts w:eastAsia="Times New Roman"/>
              </w:rPr>
              <w:br/>
              <w:t>Item 4 (</w:t>
            </w:r>
            <w:r>
              <w:rPr>
                <w:rFonts w:eastAsia="Times New Roman"/>
              </w:rPr>
              <w:t>c</w:t>
            </w:r>
            <w:r w:rsidRPr="005950FA">
              <w:rPr>
                <w:rFonts w:eastAsia="Times New Roman"/>
              </w:rPr>
              <w:t>) of the provisional agenda</w:t>
            </w:r>
          </w:p>
          <w:p w:rsidR="005950FA" w:rsidRPr="005950FA" w:rsidRDefault="005950FA" w:rsidP="005950FA">
            <w:pPr>
              <w:rPr>
                <w:rFonts w:eastAsia="Times New Roman"/>
                <w:b/>
                <w:bCs/>
                <w:lang w:val="en-US"/>
              </w:rPr>
            </w:pPr>
            <w:r w:rsidRPr="005950FA">
              <w:rPr>
                <w:rFonts w:eastAsia="Times New Roman"/>
                <w:b/>
                <w:bCs/>
              </w:rPr>
              <w:t>Implementation of the European Agreement concerning the International Carriage of Dangerous Goods by Inland Waterways (ADN):</w:t>
            </w:r>
          </w:p>
          <w:p w:rsidR="005950FA" w:rsidRPr="005950FA" w:rsidRDefault="00EE00DD" w:rsidP="005950FA">
            <w:pPr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</w:rPr>
              <w:t>i</w:t>
            </w:r>
            <w:r w:rsidRPr="00EE00DD">
              <w:rPr>
                <w:rFonts w:eastAsia="Times New Roman"/>
                <w:b/>
                <w:bCs/>
              </w:rPr>
              <w:t>nterpretation of the Regulations annexed to ADN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5950FA" w:rsidRPr="005950FA" w:rsidRDefault="005950FA" w:rsidP="005950FA">
            <w:pPr>
              <w:spacing w:before="120"/>
              <w:rPr>
                <w:rFonts w:eastAsia="Times New Roman"/>
              </w:rPr>
            </w:pPr>
          </w:p>
          <w:p w:rsidR="005950FA" w:rsidRPr="005950FA" w:rsidRDefault="005950FA" w:rsidP="005950FA">
            <w:pPr>
              <w:spacing w:before="120"/>
              <w:rPr>
                <w:rFonts w:eastAsia="Times New Roman"/>
              </w:rPr>
            </w:pPr>
          </w:p>
          <w:p w:rsidR="005950FA" w:rsidRPr="005950FA" w:rsidRDefault="005950FA" w:rsidP="005950FA">
            <w:pPr>
              <w:spacing w:before="120"/>
              <w:rPr>
                <w:rFonts w:eastAsia="Times New Roman"/>
              </w:rPr>
            </w:pPr>
            <w:r w:rsidRPr="005950FA">
              <w:rPr>
                <w:rFonts w:eastAsia="Times New Roman"/>
              </w:rPr>
              <w:t>English</w:t>
            </w:r>
          </w:p>
          <w:p w:rsidR="005950FA" w:rsidRPr="005950FA" w:rsidRDefault="005950FA" w:rsidP="004437A8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4437A8">
              <w:rPr>
                <w:rFonts w:eastAsia="Times New Roman"/>
              </w:rPr>
              <w:t>7</w:t>
            </w:r>
            <w:bookmarkStart w:id="0" w:name="_GoBack"/>
            <w:bookmarkEnd w:id="0"/>
            <w:r w:rsidRPr="005950FA">
              <w:rPr>
                <w:rFonts w:eastAsia="Times New Roman"/>
              </w:rPr>
              <w:t xml:space="preserve"> December 2016</w:t>
            </w:r>
          </w:p>
        </w:tc>
      </w:tr>
    </w:tbl>
    <w:p w:rsidR="004E76AB" w:rsidRPr="00D2078A" w:rsidRDefault="004E76AB" w:rsidP="005950FA">
      <w:pPr>
        <w:pStyle w:val="HChG"/>
      </w:pPr>
      <w:r w:rsidRPr="00D2078A">
        <w:tab/>
      </w:r>
      <w:r>
        <w:tab/>
      </w:r>
      <w:r w:rsidR="00D4615F">
        <w:t>Two issues regarding the interpretation of the Regulations annexed to ADN</w:t>
      </w:r>
    </w:p>
    <w:p w:rsidR="004E76AB" w:rsidRPr="00D2078A" w:rsidRDefault="004E76AB" w:rsidP="005950FA">
      <w:pPr>
        <w:pStyle w:val="H1G"/>
      </w:pPr>
      <w:r w:rsidRPr="00D2078A">
        <w:tab/>
      </w:r>
      <w:r w:rsidRPr="00D2078A">
        <w:tab/>
      </w:r>
      <w:r w:rsidR="003567E5" w:rsidRPr="005950FA">
        <w:t>Transmitted</w:t>
      </w:r>
      <w:r w:rsidR="003567E5">
        <w:t xml:space="preserve"> by the Government of France</w:t>
      </w:r>
    </w:p>
    <w:p w:rsidR="004E76AB" w:rsidRPr="005950FA" w:rsidRDefault="005950FA" w:rsidP="005950FA">
      <w:pPr>
        <w:pStyle w:val="HChG"/>
      </w:pPr>
      <w:r>
        <w:tab/>
      </w:r>
      <w:r>
        <w:tab/>
      </w:r>
      <w:r w:rsidR="004E76AB" w:rsidRPr="00D2078A">
        <w:t>Introduction</w:t>
      </w:r>
    </w:p>
    <w:p w:rsidR="00E35450" w:rsidRDefault="00E35450" w:rsidP="00D4615F">
      <w:pPr>
        <w:pStyle w:val="SingleTxtG"/>
      </w:pP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 wishes to </w:t>
      </w:r>
      <w:r w:rsidR="00D4615F">
        <w:t>know the positions and/or interpretations of the other Contracting Parties to ADN on the two following issues:</w:t>
      </w:r>
    </w:p>
    <w:p w:rsidR="00D4615F" w:rsidRPr="00D4615F" w:rsidRDefault="003567E5" w:rsidP="00D4615F">
      <w:pPr>
        <w:pStyle w:val="SingleTxtG"/>
      </w:pPr>
      <w:r>
        <w:t>1</w:t>
      </w:r>
      <w:r>
        <w:tab/>
      </w:r>
      <w:r w:rsidR="00D4615F">
        <w:t xml:space="preserve">ADN 1.15.2.4 indicates that: </w:t>
      </w:r>
      <w:r w:rsidR="00D4615F" w:rsidRPr="00D4615F">
        <w:rPr>
          <w:i/>
          <w:iCs/>
        </w:rPr>
        <w:t xml:space="preserve">“Each Contracting Party may or may not decide to recognize the classification societies in question, </w:t>
      </w:r>
      <w:r w:rsidR="00D4615F" w:rsidRPr="00D4615F">
        <w:rPr>
          <w:b/>
          <w:bCs/>
          <w:i/>
          <w:iCs/>
          <w:u w:val="single"/>
        </w:rPr>
        <w:t>only on the basis of the list referred to in 1.15.2.3</w:t>
      </w:r>
      <w:r w:rsidR="00D4615F" w:rsidRPr="00D4615F">
        <w:rPr>
          <w:i/>
          <w:iCs/>
        </w:rPr>
        <w:t>.”</w:t>
      </w:r>
    </w:p>
    <w:p w:rsidR="00D4615F" w:rsidRPr="00D4615F" w:rsidRDefault="00E35450" w:rsidP="00D4615F">
      <w:pPr>
        <w:pStyle w:val="SingleTxtG"/>
        <w:rPr>
          <w:lang w:val="fr-FR"/>
        </w:rPr>
      </w:pPr>
      <w:r w:rsidRPr="005950FA">
        <w:rPr>
          <w:lang w:val="fr-CH"/>
        </w:rPr>
        <w:t>T</w:t>
      </w:r>
      <w:r w:rsidR="005F6B8F" w:rsidRPr="005950FA">
        <w:rPr>
          <w:lang w:val="fr-CH"/>
        </w:rPr>
        <w:t>h</w:t>
      </w:r>
      <w:r w:rsidR="00D4615F" w:rsidRPr="005950FA">
        <w:rPr>
          <w:lang w:val="fr-CH"/>
        </w:rPr>
        <w:t>is issue, in the English version, is about the same than in the (official) French version</w:t>
      </w:r>
      <w:r w:rsidR="00D4615F" w:rsidRPr="00D4615F">
        <w:rPr>
          <w:lang w:val="fr-FR"/>
        </w:rPr>
        <w:t xml:space="preserve">: </w:t>
      </w:r>
      <w:r w:rsidR="00D4615F" w:rsidRPr="00D4615F">
        <w:rPr>
          <w:i/>
          <w:iCs/>
          <w:lang w:val="fr-FR"/>
        </w:rPr>
        <w:t xml:space="preserve">“Chaque Partie contractante peut décider, </w:t>
      </w:r>
      <w:r w:rsidR="00D4615F" w:rsidRPr="00D4615F">
        <w:rPr>
          <w:b/>
          <w:bCs/>
          <w:i/>
          <w:iCs/>
          <w:u w:val="single"/>
          <w:lang w:val="fr-FR"/>
        </w:rPr>
        <w:t>uniquement sur la base de la liste visée au 1.15.2.3</w:t>
      </w:r>
      <w:r w:rsidR="00D4615F" w:rsidRPr="00D4615F">
        <w:rPr>
          <w:i/>
          <w:iCs/>
          <w:lang w:val="fr-FR"/>
        </w:rPr>
        <w:t>, d'agréer ou non les sociétés de classification y figurant.”</w:t>
      </w:r>
    </w:p>
    <w:p w:rsidR="00D4615F" w:rsidRPr="00D4615F" w:rsidRDefault="00D4615F" w:rsidP="00A61C41">
      <w:pPr>
        <w:pStyle w:val="SingleTxtG"/>
      </w:pPr>
      <w:r w:rsidRPr="00D4615F">
        <w:t xml:space="preserve">The topic is that, in the </w:t>
      </w:r>
      <w:r>
        <w:t xml:space="preserve">current </w:t>
      </w:r>
      <w:r w:rsidRPr="00D4615F">
        <w:t xml:space="preserve">text </w:t>
      </w:r>
      <w:r w:rsidR="00A61C41">
        <w:t xml:space="preserve">(French or English), when a Contracting Party decides the recognition only on the basis of the list referred to in 1.15.2.3, this recognition deals with the classification </w:t>
      </w:r>
      <w:r w:rsidR="00A61C41" w:rsidRPr="00A61C41">
        <w:rPr>
          <w:b/>
          <w:bCs/>
          <w:u w:val="single"/>
        </w:rPr>
        <w:t>societies</w:t>
      </w:r>
      <w:r w:rsidR="00A61C41">
        <w:t xml:space="preserve"> (plural form) in question.</w:t>
      </w:r>
    </w:p>
    <w:p w:rsidR="0088748D" w:rsidRDefault="00A61C41" w:rsidP="0088748D">
      <w:pPr>
        <w:pStyle w:val="SingleTxtG"/>
      </w:pPr>
      <w:r>
        <w:t>Therefore, the subsequent question</w:t>
      </w:r>
      <w:r w:rsidR="0088748D">
        <w:t>s</w:t>
      </w:r>
      <w:r>
        <w:t xml:space="preserve"> </w:t>
      </w:r>
      <w:r w:rsidR="0088748D">
        <w:t>are</w:t>
      </w:r>
      <w:r>
        <w:t>:</w:t>
      </w:r>
    </w:p>
    <w:p w:rsidR="0088748D" w:rsidRDefault="0088748D" w:rsidP="0088748D">
      <w:pPr>
        <w:pStyle w:val="SingleTxtG"/>
        <w:numPr>
          <w:ilvl w:val="0"/>
          <w:numId w:val="17"/>
        </w:numPr>
      </w:pPr>
      <w:r>
        <w:t>Because the reference to the classification societies in 1.15.2.4 is plural, doest it imply that, when a Contracting Party has not defined additional criteria (other than those in 1.15.2.3), it shall recognize all the classification included in the list?</w:t>
      </w:r>
    </w:p>
    <w:p w:rsidR="0088748D" w:rsidRDefault="0088748D" w:rsidP="0088748D">
      <w:pPr>
        <w:pStyle w:val="SingleTxtG"/>
        <w:numPr>
          <w:ilvl w:val="0"/>
          <w:numId w:val="17"/>
        </w:numPr>
      </w:pPr>
      <w:r>
        <w:t>Or may this Contracting Party select one or several classification societies in the list of the recommended ones?</w:t>
      </w:r>
    </w:p>
    <w:p w:rsidR="0088748D" w:rsidRDefault="0088748D" w:rsidP="0088748D">
      <w:pPr>
        <w:pStyle w:val="SingleTxtG"/>
        <w:numPr>
          <w:ilvl w:val="0"/>
          <w:numId w:val="17"/>
        </w:numPr>
      </w:pPr>
      <w:r>
        <w:t>And in this latter case, on what basis?</w:t>
      </w:r>
    </w:p>
    <w:p w:rsidR="00E42409" w:rsidRDefault="00A61C41" w:rsidP="00E42409">
      <w:pPr>
        <w:pStyle w:val="SingleTxtG"/>
      </w:pPr>
      <w:r>
        <w:t>2</w:t>
      </w:r>
      <w:r>
        <w:tab/>
        <w:t xml:space="preserve">ADN </w:t>
      </w:r>
      <w:r w:rsidR="00E42409">
        <w:t>9.2.0.88</w:t>
      </w:r>
      <w:r>
        <w:t xml:space="preserve"> </w:t>
      </w:r>
      <w:r w:rsidR="00E42409">
        <w:t>requires that:</w:t>
      </w:r>
    </w:p>
    <w:p w:rsidR="00D4615F" w:rsidRDefault="00E42409" w:rsidP="00E42409">
      <w:pPr>
        <w:pStyle w:val="SingleTxtG"/>
      </w:pPr>
      <w:r>
        <w:t xml:space="preserve">9.2.0.88.1 </w:t>
      </w:r>
      <w:r w:rsidRPr="00E42409">
        <w:rPr>
          <w:i/>
          <w:iCs/>
        </w:rPr>
        <w:t>“Double-hull vessels intended to carry dangerous goods of Classes 2, 3, 4.1, 4.2, 4.3, 5.1, 5.2, 6.1, 7, 8 or 9 …., shall be built under survey of a recognised classification society in accordance with the rules established by that classification society to its highest class.”</w:t>
      </w:r>
      <w:r>
        <w:t>; and</w:t>
      </w:r>
    </w:p>
    <w:p w:rsidR="00E42409" w:rsidRPr="00E42409" w:rsidRDefault="00E42409" w:rsidP="00E42409">
      <w:pPr>
        <w:pStyle w:val="SingleTxtG"/>
      </w:pPr>
      <w:r>
        <w:lastRenderedPageBreak/>
        <w:t xml:space="preserve">9.2.0.88.2 </w:t>
      </w:r>
      <w:r w:rsidRPr="00E42409">
        <w:rPr>
          <w:i/>
          <w:iCs/>
        </w:rPr>
        <w:t>“The vessel’s highest class shall be continued.”</w:t>
      </w:r>
    </w:p>
    <w:p w:rsidR="00E42409" w:rsidRDefault="00E42409" w:rsidP="00D4615F">
      <w:pPr>
        <w:pStyle w:val="SingleTxtG"/>
      </w:pPr>
      <w:r>
        <w:t xml:space="preserve">The topic is that ADN Chapter 9.2 </w:t>
      </w:r>
      <w:r w:rsidR="00A37B91">
        <w:t xml:space="preserve">(or at least 9.2.0.0 to 9.2.0.79) </w:t>
      </w:r>
      <w:r>
        <w:t>deals with seagoing vessels</w:t>
      </w:r>
      <w:r w:rsidR="00A37B91">
        <w:t>, and that it is not easy to know whether the vessels referred to in 9.2.0.88 are or not seagoing vessels.</w:t>
      </w:r>
    </w:p>
    <w:p w:rsidR="00A37B91" w:rsidRDefault="00A37B91" w:rsidP="00D4615F">
      <w:pPr>
        <w:pStyle w:val="SingleTxtG"/>
      </w:pPr>
      <w:r>
        <w:t xml:space="preserve">In the case where the vessels referred to in 9.2.0.88 are seagoing vessels, they may </w:t>
      </w:r>
      <w:r w:rsidR="005E2F33">
        <w:t>be built under survey of a classification society (and the highest class may be continued, too), but with a classification society which does not belong to the list of the ADN list of classification societies recommended for agreement.</w:t>
      </w:r>
    </w:p>
    <w:p w:rsidR="005E2F33" w:rsidRDefault="005E2F33" w:rsidP="00D4615F">
      <w:pPr>
        <w:pStyle w:val="SingleTxtG"/>
      </w:pP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 wonders how these provisions of ADN 9.2.0.88 have to be read and/or interpreted.</w:t>
      </w:r>
    </w:p>
    <w:p w:rsidR="00DB3E0C" w:rsidRDefault="00DB3E0C" w:rsidP="00DB3E0C">
      <w:pPr>
        <w:pStyle w:val="HChG"/>
        <w:ind w:left="420" w:firstLine="0"/>
      </w:pPr>
      <w:r>
        <w:tab/>
      </w:r>
      <w:r>
        <w:tab/>
        <w:t>Action requested of the Committee</w:t>
      </w:r>
    </w:p>
    <w:p w:rsidR="004E76AB" w:rsidRDefault="00DB3E0C" w:rsidP="005950FA">
      <w:pPr>
        <w:pStyle w:val="SingleTxtG"/>
      </w:pPr>
      <w:r w:rsidRPr="00DB3E0C">
        <w:t>The S</w:t>
      </w:r>
      <w:r>
        <w:t xml:space="preserve">afety </w:t>
      </w:r>
      <w:r w:rsidRPr="00DB3E0C">
        <w:t>Committee</w:t>
      </w:r>
      <w:r w:rsidR="005E2F33">
        <w:t>, and specially the other Contracting Parties,</w:t>
      </w:r>
      <w:r w:rsidRPr="00DB3E0C">
        <w:t xml:space="preserve"> </w:t>
      </w:r>
      <w:r w:rsidR="005E2F33">
        <w:t>are</w:t>
      </w:r>
      <w:r w:rsidRPr="00DB3E0C">
        <w:t xml:space="preserve"> invited to </w:t>
      </w:r>
      <w:r w:rsidR="005E2F33">
        <w:t>share their reading and/or interpretation of the above points 1 and 2</w:t>
      </w:r>
      <w:r w:rsidR="005950FA">
        <w:t>.</w:t>
      </w:r>
    </w:p>
    <w:p w:rsidR="005950FA" w:rsidRPr="005950FA" w:rsidRDefault="005950FA" w:rsidP="005950F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950FA" w:rsidRPr="005950FA" w:rsidSect="00C32FB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23D" w:rsidRPr="00FB1744" w:rsidRDefault="00B0723D" w:rsidP="00FB1744">
      <w:pPr>
        <w:pStyle w:val="Footer"/>
      </w:pPr>
    </w:p>
  </w:endnote>
  <w:endnote w:type="continuationSeparator" w:id="0">
    <w:p w:rsidR="00B0723D" w:rsidRPr="00FB1744" w:rsidRDefault="00B0723D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33" w:rsidRPr="00C32FBF" w:rsidRDefault="005E2F33" w:rsidP="00C32FBF">
    <w:pPr>
      <w:pStyle w:val="Footer"/>
      <w:tabs>
        <w:tab w:val="right" w:pos="9598"/>
      </w:tabs>
    </w:pPr>
    <w:r w:rsidRPr="00C32FBF">
      <w:rPr>
        <w:b/>
        <w:sz w:val="18"/>
      </w:rPr>
      <w:fldChar w:fldCharType="begin"/>
    </w:r>
    <w:r w:rsidRPr="00C32FBF">
      <w:rPr>
        <w:b/>
        <w:sz w:val="18"/>
      </w:rPr>
      <w:instrText xml:space="preserve"> PAGE  \* MERGEFORMAT </w:instrText>
    </w:r>
    <w:r w:rsidRPr="00C32FBF">
      <w:rPr>
        <w:b/>
        <w:sz w:val="18"/>
      </w:rPr>
      <w:fldChar w:fldCharType="separate"/>
    </w:r>
    <w:r w:rsidR="004437A8">
      <w:rPr>
        <w:b/>
        <w:noProof/>
        <w:sz w:val="18"/>
      </w:rPr>
      <w:t>2</w:t>
    </w:r>
    <w:r w:rsidRPr="00C32FB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33" w:rsidRPr="00C32FBF" w:rsidRDefault="005E2F33" w:rsidP="00C32FBF">
    <w:pPr>
      <w:pStyle w:val="Footer"/>
      <w:tabs>
        <w:tab w:val="right" w:pos="9598"/>
      </w:tabs>
      <w:rPr>
        <w:b/>
        <w:sz w:val="18"/>
      </w:rPr>
    </w:pPr>
    <w:r>
      <w:tab/>
    </w:r>
    <w:r w:rsidRPr="00C32FBF">
      <w:rPr>
        <w:b/>
        <w:sz w:val="18"/>
      </w:rPr>
      <w:fldChar w:fldCharType="begin"/>
    </w:r>
    <w:r w:rsidRPr="00C32FBF">
      <w:rPr>
        <w:b/>
        <w:sz w:val="18"/>
      </w:rPr>
      <w:instrText xml:space="preserve"> PAGE  \* MERGEFORMAT </w:instrText>
    </w:r>
    <w:r w:rsidRPr="00C32FBF">
      <w:rPr>
        <w:b/>
        <w:sz w:val="18"/>
      </w:rPr>
      <w:fldChar w:fldCharType="separate"/>
    </w:r>
    <w:r w:rsidR="005950FA">
      <w:rPr>
        <w:b/>
        <w:noProof/>
        <w:sz w:val="18"/>
      </w:rPr>
      <w:t>3</w:t>
    </w:r>
    <w:r w:rsidRPr="00C32F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33" w:rsidRPr="00D2078A" w:rsidRDefault="005E2F33" w:rsidP="00C32FBF">
    <w:pPr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23D" w:rsidRPr="00FB1744" w:rsidRDefault="00B0723D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B0723D" w:rsidRPr="00FB1744" w:rsidRDefault="00B0723D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33" w:rsidRPr="005950FA" w:rsidRDefault="005E2F33" w:rsidP="00BF7964">
    <w:pPr>
      <w:pStyle w:val="Header"/>
    </w:pPr>
    <w:r w:rsidRPr="005950FA">
      <w:t>INF.</w:t>
    </w:r>
    <w:r w:rsidR="005950FA" w:rsidRPr="005950FA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33" w:rsidRPr="00C32FBF" w:rsidRDefault="005E2F33" w:rsidP="00C32FBF">
    <w:pPr>
      <w:pStyle w:val="Header"/>
      <w:jc w:val="right"/>
    </w:pPr>
    <w:r w:rsidRPr="00C32FBF">
      <w:t>ECE/TRA</w:t>
    </w:r>
    <w:r>
      <w:t>NS/WP.15/AC.2/2017/15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5554E5"/>
    <w:multiLevelType w:val="hybridMultilevel"/>
    <w:tmpl w:val="26DAD4BA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85FDB"/>
    <w:multiLevelType w:val="hybridMultilevel"/>
    <w:tmpl w:val="6B761194"/>
    <w:lvl w:ilvl="0" w:tplc="C982076E">
      <w:start w:val="1"/>
      <w:numFmt w:val="decimal"/>
      <w:lvlText w:val="%1."/>
      <w:lvlJc w:val="left"/>
      <w:pPr>
        <w:ind w:left="1689" w:hanging="55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573A08DC"/>
    <w:multiLevelType w:val="hybridMultilevel"/>
    <w:tmpl w:val="29D4FA64"/>
    <w:lvl w:ilvl="0" w:tplc="96B4F106">
      <w:start w:val="1"/>
      <w:numFmt w:val="decimal"/>
      <w:lvlText w:val="%1."/>
      <w:lvlJc w:val="left"/>
      <w:pPr>
        <w:ind w:left="1689" w:hanging="55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BD81EB3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E5160BA"/>
    <w:multiLevelType w:val="hybridMultilevel"/>
    <w:tmpl w:val="1CA400E8"/>
    <w:lvl w:ilvl="0" w:tplc="853CD8F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1" w15:restartNumberingAfterBreak="0">
    <w:nsid w:val="72B60F3E"/>
    <w:multiLevelType w:val="hybridMultilevel"/>
    <w:tmpl w:val="F6E2DB76"/>
    <w:lvl w:ilvl="0" w:tplc="2BFA8378">
      <w:start w:val="1"/>
      <w:numFmt w:val="decimal"/>
      <w:lvlText w:val="%1."/>
      <w:lvlJc w:val="left"/>
      <w:pPr>
        <w:ind w:left="1689" w:hanging="55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 w15:restartNumberingAfterBreak="0">
    <w:nsid w:val="775726C8"/>
    <w:multiLevelType w:val="hybridMultilevel"/>
    <w:tmpl w:val="44829922"/>
    <w:lvl w:ilvl="0" w:tplc="30626D4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3" w15:restartNumberingAfterBreak="0">
    <w:nsid w:val="784B2EB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7D7F386E"/>
    <w:multiLevelType w:val="hybridMultilevel"/>
    <w:tmpl w:val="6D0CF72A"/>
    <w:lvl w:ilvl="0" w:tplc="5D260B50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4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15"/>
  </w:num>
  <w:num w:numId="13">
    <w:abstractNumId w:val="12"/>
  </w:num>
  <w:num w:numId="14">
    <w:abstractNumId w:val="10"/>
  </w:num>
  <w:num w:numId="15">
    <w:abstractNumId w:val="9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567"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710"/>
    <w:rsid w:val="00046E92"/>
    <w:rsid w:val="000677CA"/>
    <w:rsid w:val="000B4F2F"/>
    <w:rsid w:val="000B615C"/>
    <w:rsid w:val="000F66A9"/>
    <w:rsid w:val="00106A43"/>
    <w:rsid w:val="001170DC"/>
    <w:rsid w:val="001425AE"/>
    <w:rsid w:val="00154C02"/>
    <w:rsid w:val="00177579"/>
    <w:rsid w:val="001C1C43"/>
    <w:rsid w:val="00204EB5"/>
    <w:rsid w:val="00247E2C"/>
    <w:rsid w:val="00287A54"/>
    <w:rsid w:val="002963EC"/>
    <w:rsid w:val="002D6C53"/>
    <w:rsid w:val="002F5595"/>
    <w:rsid w:val="003131E2"/>
    <w:rsid w:val="00327D7F"/>
    <w:rsid w:val="00334F6A"/>
    <w:rsid w:val="00342AC8"/>
    <w:rsid w:val="003567E5"/>
    <w:rsid w:val="0038052C"/>
    <w:rsid w:val="003B4550"/>
    <w:rsid w:val="004437A8"/>
    <w:rsid w:val="00452125"/>
    <w:rsid w:val="00461253"/>
    <w:rsid w:val="00463595"/>
    <w:rsid w:val="004671C1"/>
    <w:rsid w:val="00491A68"/>
    <w:rsid w:val="004C3F96"/>
    <w:rsid w:val="004E76AB"/>
    <w:rsid w:val="005042C2"/>
    <w:rsid w:val="00535005"/>
    <w:rsid w:val="00550DEF"/>
    <w:rsid w:val="005950FA"/>
    <w:rsid w:val="00595889"/>
    <w:rsid w:val="005B7347"/>
    <w:rsid w:val="005E2F33"/>
    <w:rsid w:val="005F3F8A"/>
    <w:rsid w:val="005F4DAD"/>
    <w:rsid w:val="005F6B8F"/>
    <w:rsid w:val="00616531"/>
    <w:rsid w:val="00631881"/>
    <w:rsid w:val="006427AC"/>
    <w:rsid w:val="00671529"/>
    <w:rsid w:val="00717266"/>
    <w:rsid w:val="007268F9"/>
    <w:rsid w:val="007C52B0"/>
    <w:rsid w:val="00853410"/>
    <w:rsid w:val="0088748D"/>
    <w:rsid w:val="00894E1D"/>
    <w:rsid w:val="008E5B74"/>
    <w:rsid w:val="009411B4"/>
    <w:rsid w:val="00941650"/>
    <w:rsid w:val="00967585"/>
    <w:rsid w:val="009D0139"/>
    <w:rsid w:val="009F5CDC"/>
    <w:rsid w:val="00A3525E"/>
    <w:rsid w:val="00A37B91"/>
    <w:rsid w:val="00A46D97"/>
    <w:rsid w:val="00A61C41"/>
    <w:rsid w:val="00A775CF"/>
    <w:rsid w:val="00A81985"/>
    <w:rsid w:val="00A95E91"/>
    <w:rsid w:val="00AB3C7E"/>
    <w:rsid w:val="00AC46A6"/>
    <w:rsid w:val="00AE4C38"/>
    <w:rsid w:val="00B06045"/>
    <w:rsid w:val="00B0723D"/>
    <w:rsid w:val="00B64A2E"/>
    <w:rsid w:val="00BC5DC4"/>
    <w:rsid w:val="00BD2EE4"/>
    <w:rsid w:val="00BF7964"/>
    <w:rsid w:val="00C0141B"/>
    <w:rsid w:val="00C04418"/>
    <w:rsid w:val="00C125CF"/>
    <w:rsid w:val="00C32FBF"/>
    <w:rsid w:val="00C35A27"/>
    <w:rsid w:val="00C57AFC"/>
    <w:rsid w:val="00C72375"/>
    <w:rsid w:val="00C75753"/>
    <w:rsid w:val="00D04710"/>
    <w:rsid w:val="00D1081B"/>
    <w:rsid w:val="00D2078A"/>
    <w:rsid w:val="00D4615F"/>
    <w:rsid w:val="00D47EEA"/>
    <w:rsid w:val="00DB3E0C"/>
    <w:rsid w:val="00DD6019"/>
    <w:rsid w:val="00DF65FB"/>
    <w:rsid w:val="00E02C2B"/>
    <w:rsid w:val="00E30429"/>
    <w:rsid w:val="00E35450"/>
    <w:rsid w:val="00E42409"/>
    <w:rsid w:val="00EA6778"/>
    <w:rsid w:val="00ED6C48"/>
    <w:rsid w:val="00EE00DD"/>
    <w:rsid w:val="00EE4111"/>
    <w:rsid w:val="00F65F5D"/>
    <w:rsid w:val="00F86A3A"/>
    <w:rsid w:val="00F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6683C9"/>
  <w15:docId w15:val="{C50485BF-2314-487F-BEF3-2FAF6F46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line="240" w:lineRule="atLeast"/>
    </w:pPr>
    <w:rPr>
      <w:rFonts w:ascii="Times New Roman" w:hAnsi="Times New Roman" w:cs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7268F9"/>
    <w:pPr>
      <w:spacing w:line="240" w:lineRule="auto"/>
      <w:outlineLvl w:val="1"/>
    </w:pPr>
    <w:rPr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7268F9"/>
    <w:pPr>
      <w:spacing w:line="240" w:lineRule="auto"/>
      <w:outlineLvl w:val="2"/>
    </w:pPr>
    <w:rPr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7268F9"/>
    <w:pPr>
      <w:spacing w:line="240" w:lineRule="auto"/>
      <w:outlineLvl w:val="3"/>
    </w:pPr>
    <w:rPr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7268F9"/>
    <w:pPr>
      <w:spacing w:line="240" w:lineRule="auto"/>
      <w:outlineLvl w:val="4"/>
    </w:pPr>
    <w:rPr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7268F9"/>
    <w:pPr>
      <w:spacing w:line="240" w:lineRule="auto"/>
      <w:outlineLvl w:val="5"/>
    </w:pPr>
    <w:rPr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7268F9"/>
    <w:pPr>
      <w:spacing w:line="240" w:lineRule="auto"/>
      <w:outlineLvl w:val="6"/>
    </w:pPr>
    <w:rPr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7268F9"/>
    <w:pPr>
      <w:spacing w:line="240" w:lineRule="auto"/>
      <w:outlineLvl w:val="7"/>
    </w:pPr>
    <w:rPr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7268F9"/>
    <w:pPr>
      <w:spacing w:line="240" w:lineRule="auto"/>
      <w:outlineLvl w:val="8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locked/>
    <w:rsid w:val="003B4550"/>
    <w:rPr>
      <w:rFonts w:ascii="Times New Roman" w:hAnsi="Times New Roman" w:cs="Times New Roman"/>
      <w:b/>
      <w:sz w:val="20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locked/>
    <w:rsid w:val="00247E2C"/>
    <w:rPr>
      <w:rFonts w:ascii="Times New Roman" w:eastAsia="SimSun" w:hAnsi="Times New Roman" w:cs="Times New Roman"/>
      <w:sz w:val="20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character" w:styleId="EndnoteReference">
    <w:name w:val="endnote reference"/>
    <w:aliases w:val="1_G"/>
    <w:basedOn w:val="DefaultParagraphFont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7268F9"/>
    <w:rPr>
      <w:rFonts w:ascii="Times New Roman" w:eastAsia="SimSun" w:hAnsi="Times New Roman" w:cs="Times New Roman"/>
      <w:sz w:val="20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locked/>
    <w:rsid w:val="007268F9"/>
    <w:rPr>
      <w:rFonts w:ascii="Times New Roman" w:eastAsia="SimSun" w:hAnsi="Times New Roman" w:cs="Times New Roman"/>
      <w:sz w:val="20"/>
      <w:szCs w:val="20"/>
    </w:rPr>
  </w:style>
  <w:style w:type="character" w:styleId="FootnoteReference">
    <w:name w:val="footnote reference"/>
    <w:aliases w:val="4_G"/>
    <w:basedOn w:val="DefaultParagraphFont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locked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locked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locked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locked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locked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locked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locked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locked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locked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basedOn w:val="DefaultParagraphFont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qFormat/>
    <w:rsid w:val="007268F9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line="240" w:lineRule="atLeast"/>
    </w:pPr>
    <w:rPr>
      <w:rFonts w:ascii="Times New Roman" w:hAnsi="Times New Roman" w:cs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17266"/>
    <w:rPr>
      <w:rFonts w:ascii="Tahoma" w:hAnsi="Tahoma" w:cs="Tahoma"/>
      <w:sz w:val="16"/>
      <w:szCs w:val="16"/>
      <w:lang w:val="x-none" w:eastAsia="en-US"/>
    </w:rPr>
  </w:style>
  <w:style w:type="character" w:styleId="Strong">
    <w:name w:val="Strong"/>
    <w:basedOn w:val="DefaultParagraphFont"/>
    <w:qFormat/>
    <w:rsid w:val="00EA6778"/>
    <w:rPr>
      <w:rFonts w:cs="Times New Roman"/>
      <w:b/>
      <w:bCs/>
    </w:rPr>
  </w:style>
  <w:style w:type="numbering" w:styleId="111111">
    <w:name w:val="Outline List 2"/>
    <w:basedOn w:val="NoList"/>
    <w:rsid w:val="00033D39"/>
    <w:pPr>
      <w:numPr>
        <w:numId w:val="5"/>
      </w:numPr>
    </w:pPr>
  </w:style>
  <w:style w:type="numbering" w:styleId="1ai">
    <w:name w:val="Outline List 1"/>
    <w:basedOn w:val="NoList"/>
    <w:rsid w:val="00033D39"/>
    <w:pPr>
      <w:numPr>
        <w:numId w:val="6"/>
      </w:numPr>
    </w:pPr>
  </w:style>
  <w:style w:type="paragraph" w:customStyle="1" w:styleId="Default">
    <w:name w:val="Default"/>
    <w:rsid w:val="003567E5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fr-FR" w:eastAsia="ja-JP"/>
    </w:rPr>
  </w:style>
  <w:style w:type="character" w:styleId="Hyperlink">
    <w:name w:val="Hyperlink"/>
    <w:basedOn w:val="DefaultParagraphFont"/>
    <w:rsid w:val="00EE4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WP15-AC2-30-infYYe.doc</vt:lpstr>
      <vt:lpstr>WP15-AC2-30-infYYe.doc</vt:lpstr>
    </vt:vector>
  </TitlesOfParts>
  <Company>DCM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WP15-AC2-30-infYYe.doc</dc:title>
  <dc:subject>WP15-AC2-30-infYYe.doc</dc:subject>
  <dc:creator>Giltsoff</dc:creator>
  <dc:description>Final</dc:description>
  <cp:lastModifiedBy>Lucille</cp:lastModifiedBy>
  <cp:revision>5</cp:revision>
  <cp:lastPrinted>2016-12-21T13:27:00Z</cp:lastPrinted>
  <dcterms:created xsi:type="dcterms:W3CDTF">2016-12-27T10:49:00Z</dcterms:created>
  <dcterms:modified xsi:type="dcterms:W3CDTF">2016-12-30T09:19:00Z</dcterms:modified>
</cp:coreProperties>
</file>