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137D2" w:rsidRPr="00E137D2" w:rsidTr="00CA76C4">
        <w:trPr>
          <w:cantSplit/>
          <w:trHeight w:hRule="exact" w:val="851"/>
        </w:trPr>
        <w:tc>
          <w:tcPr>
            <w:tcW w:w="1276" w:type="dxa"/>
            <w:vAlign w:val="bottom"/>
          </w:tcPr>
          <w:p w:rsidR="00E137D2" w:rsidRPr="00E137D2" w:rsidRDefault="00E137D2" w:rsidP="00E137D2">
            <w:pPr>
              <w:suppressAutoHyphens/>
              <w:spacing w:after="0" w:line="240" w:lineRule="atLeast"/>
              <w:ind w:left="0" w:firstLine="0"/>
              <w:rPr>
                <w:color w:val="auto"/>
                <w:szCs w:val="20"/>
                <w:lang w:eastAsia="en-US"/>
              </w:rPr>
            </w:pPr>
          </w:p>
        </w:tc>
        <w:tc>
          <w:tcPr>
            <w:tcW w:w="8363" w:type="dxa"/>
            <w:gridSpan w:val="2"/>
            <w:vAlign w:val="bottom"/>
          </w:tcPr>
          <w:p w:rsidR="00E137D2" w:rsidRPr="00E137D2" w:rsidRDefault="00E137D2" w:rsidP="00E137D2">
            <w:pPr>
              <w:suppressAutoHyphens/>
              <w:spacing w:after="0" w:line="240" w:lineRule="atLeast"/>
              <w:ind w:left="6095" w:firstLine="0"/>
              <w:jc w:val="right"/>
              <w:rPr>
                <w:color w:val="auto"/>
                <w:szCs w:val="20"/>
                <w:lang w:eastAsia="en-US"/>
              </w:rPr>
            </w:pPr>
            <w:r w:rsidRPr="00E137D2">
              <w:rPr>
                <w:b/>
                <w:color w:val="auto"/>
                <w:sz w:val="40"/>
                <w:szCs w:val="40"/>
                <w:lang w:eastAsia="en-US"/>
              </w:rPr>
              <w:t>INF.</w:t>
            </w:r>
            <w:r>
              <w:rPr>
                <w:b/>
                <w:color w:val="auto"/>
                <w:sz w:val="40"/>
                <w:szCs w:val="40"/>
                <w:lang w:eastAsia="en-US"/>
              </w:rPr>
              <w:t>15</w:t>
            </w:r>
          </w:p>
        </w:tc>
      </w:tr>
      <w:tr w:rsidR="00E137D2" w:rsidRPr="00E137D2" w:rsidTr="00CA76C4">
        <w:trPr>
          <w:cantSplit/>
          <w:trHeight w:hRule="exact" w:val="3980"/>
        </w:trPr>
        <w:tc>
          <w:tcPr>
            <w:tcW w:w="6804" w:type="dxa"/>
            <w:gridSpan w:val="2"/>
            <w:tcBorders>
              <w:bottom w:val="single" w:sz="12" w:space="0" w:color="auto"/>
            </w:tcBorders>
          </w:tcPr>
          <w:p w:rsidR="00E137D2" w:rsidRPr="00E137D2" w:rsidRDefault="00E137D2" w:rsidP="00E137D2">
            <w:pPr>
              <w:suppressAutoHyphens/>
              <w:spacing w:before="120" w:after="120" w:line="240" w:lineRule="atLeast"/>
              <w:ind w:left="0" w:firstLine="0"/>
              <w:rPr>
                <w:b/>
                <w:color w:val="auto"/>
                <w:sz w:val="28"/>
                <w:szCs w:val="28"/>
                <w:lang w:eastAsia="en-US"/>
              </w:rPr>
            </w:pPr>
            <w:r w:rsidRPr="00E137D2">
              <w:rPr>
                <w:b/>
                <w:color w:val="auto"/>
                <w:sz w:val="28"/>
                <w:szCs w:val="28"/>
                <w:lang w:eastAsia="en-US"/>
              </w:rPr>
              <w:t xml:space="preserve">Economic Commission for </w:t>
            </w:r>
            <w:smartTag w:uri="urn:schemas-microsoft-com:office:smarttags" w:element="place">
              <w:r w:rsidRPr="00E137D2">
                <w:rPr>
                  <w:b/>
                  <w:color w:val="auto"/>
                  <w:sz w:val="28"/>
                  <w:szCs w:val="28"/>
                  <w:lang w:eastAsia="en-US"/>
                </w:rPr>
                <w:t>Europe</w:t>
              </w:r>
            </w:smartTag>
          </w:p>
          <w:p w:rsidR="00E137D2" w:rsidRPr="00E137D2" w:rsidRDefault="00E137D2" w:rsidP="00E137D2">
            <w:pPr>
              <w:suppressAutoHyphens/>
              <w:spacing w:before="120" w:after="0" w:line="240" w:lineRule="atLeast"/>
              <w:ind w:left="0" w:firstLine="0"/>
              <w:rPr>
                <w:color w:val="auto"/>
                <w:sz w:val="28"/>
                <w:szCs w:val="28"/>
                <w:lang w:eastAsia="en-US"/>
              </w:rPr>
            </w:pPr>
            <w:r w:rsidRPr="00E137D2">
              <w:rPr>
                <w:color w:val="auto"/>
                <w:sz w:val="28"/>
                <w:szCs w:val="28"/>
                <w:lang w:eastAsia="en-US"/>
              </w:rPr>
              <w:t>Inland Transport Committee</w:t>
            </w:r>
          </w:p>
          <w:p w:rsidR="00E137D2" w:rsidRPr="00E137D2" w:rsidRDefault="00E137D2" w:rsidP="00E137D2">
            <w:pPr>
              <w:suppressAutoHyphens/>
              <w:spacing w:before="120" w:after="0" w:line="240" w:lineRule="atLeast"/>
              <w:ind w:left="0" w:firstLine="0"/>
              <w:rPr>
                <w:b/>
                <w:color w:val="auto"/>
                <w:szCs w:val="20"/>
                <w:lang w:eastAsia="en-US"/>
              </w:rPr>
            </w:pPr>
            <w:r w:rsidRPr="00E137D2">
              <w:rPr>
                <w:b/>
                <w:color w:val="auto"/>
                <w:szCs w:val="20"/>
                <w:lang w:eastAsia="en-US"/>
              </w:rPr>
              <w:t>Working Party on the Transport of Dangerous Goods</w:t>
            </w:r>
          </w:p>
          <w:p w:rsidR="00E137D2" w:rsidRPr="00E137D2" w:rsidRDefault="00E137D2" w:rsidP="00E137D2">
            <w:pPr>
              <w:suppressAutoHyphens/>
              <w:spacing w:before="120" w:after="0" w:line="240" w:lineRule="atLeast"/>
              <w:ind w:left="0" w:firstLine="0"/>
              <w:rPr>
                <w:b/>
                <w:color w:val="auto"/>
                <w:szCs w:val="20"/>
                <w:lang w:eastAsia="en-US"/>
              </w:rPr>
            </w:pPr>
            <w:r w:rsidRPr="00E137D2">
              <w:rPr>
                <w:b/>
                <w:color w:val="auto"/>
                <w:szCs w:val="20"/>
                <w:lang w:eastAsia="en-US"/>
              </w:rPr>
              <w:t>Joint Meeting of Experts on the Regulations annexed to the</w:t>
            </w:r>
            <w:r w:rsidRPr="00E137D2">
              <w:rPr>
                <w:b/>
                <w:color w:val="auto"/>
                <w:szCs w:val="20"/>
                <w:lang w:eastAsia="en-US"/>
              </w:rPr>
              <w:br/>
              <w:t>European Agreement concerning the International Carriage</w:t>
            </w:r>
            <w:r w:rsidRPr="00E137D2">
              <w:rPr>
                <w:b/>
                <w:color w:val="auto"/>
                <w:szCs w:val="20"/>
                <w:lang w:eastAsia="en-US"/>
              </w:rPr>
              <w:br/>
              <w:t>of Dangerous Goods by Inland Waterways (ADN)</w:t>
            </w:r>
            <w:r w:rsidRPr="00E137D2">
              <w:rPr>
                <w:b/>
                <w:color w:val="auto"/>
                <w:szCs w:val="20"/>
                <w:lang w:eastAsia="en-US"/>
              </w:rPr>
              <w:br/>
              <w:t>(ADN Safety Committee)</w:t>
            </w:r>
          </w:p>
          <w:p w:rsidR="00E137D2" w:rsidRPr="00E137D2" w:rsidRDefault="00E137D2" w:rsidP="00E137D2">
            <w:pPr>
              <w:suppressAutoHyphens/>
              <w:spacing w:before="120" w:after="0" w:line="240" w:lineRule="atLeast"/>
              <w:ind w:left="0" w:firstLine="0"/>
              <w:rPr>
                <w:b/>
                <w:color w:val="auto"/>
                <w:szCs w:val="20"/>
                <w:lang w:eastAsia="en-US"/>
              </w:rPr>
            </w:pPr>
            <w:r w:rsidRPr="00E137D2">
              <w:rPr>
                <w:b/>
                <w:color w:val="auto"/>
                <w:szCs w:val="20"/>
                <w:lang w:eastAsia="en-US"/>
              </w:rPr>
              <w:t>Thirtieth session</w:t>
            </w:r>
          </w:p>
          <w:p w:rsidR="00E137D2" w:rsidRPr="00E137D2" w:rsidRDefault="00E137D2" w:rsidP="00E137D2">
            <w:pPr>
              <w:suppressAutoHyphens/>
              <w:spacing w:after="0" w:line="240" w:lineRule="atLeast"/>
              <w:ind w:left="0" w:firstLine="0"/>
              <w:rPr>
                <w:color w:val="auto"/>
                <w:szCs w:val="20"/>
                <w:lang w:eastAsia="en-US"/>
              </w:rPr>
            </w:pPr>
            <w:r w:rsidRPr="00E137D2">
              <w:rPr>
                <w:color w:val="auto"/>
                <w:szCs w:val="20"/>
                <w:lang w:eastAsia="en-US"/>
              </w:rPr>
              <w:t>Geneva, 23–27 January 2017</w:t>
            </w:r>
            <w:r w:rsidRPr="00E137D2">
              <w:rPr>
                <w:color w:val="auto"/>
                <w:szCs w:val="20"/>
                <w:lang w:eastAsia="en-US"/>
              </w:rPr>
              <w:br/>
              <w:t>Item 4 (c) of the provisional agenda</w:t>
            </w:r>
          </w:p>
          <w:p w:rsidR="00E137D2" w:rsidRPr="00E137D2" w:rsidRDefault="00E137D2" w:rsidP="00E137D2">
            <w:pPr>
              <w:suppressAutoHyphens/>
              <w:spacing w:after="0" w:line="240" w:lineRule="atLeast"/>
              <w:ind w:left="0" w:firstLine="0"/>
              <w:rPr>
                <w:b/>
                <w:bCs/>
                <w:color w:val="auto"/>
                <w:szCs w:val="20"/>
                <w:lang w:val="en-US" w:eastAsia="en-US"/>
              </w:rPr>
            </w:pPr>
            <w:r w:rsidRPr="00E137D2">
              <w:rPr>
                <w:b/>
                <w:bCs/>
                <w:color w:val="auto"/>
                <w:szCs w:val="20"/>
                <w:lang w:eastAsia="en-US"/>
              </w:rPr>
              <w:t>Implementation of the European Agreement concerning the International Carriage of Dangerous Goods by Inland Waterways (ADN):</w:t>
            </w:r>
          </w:p>
          <w:p w:rsidR="00E137D2" w:rsidRPr="00E137D2" w:rsidRDefault="00E137D2" w:rsidP="00E137D2">
            <w:pPr>
              <w:suppressAutoHyphens/>
              <w:spacing w:after="0" w:line="240" w:lineRule="atLeast"/>
              <w:ind w:left="0" w:firstLine="0"/>
              <w:rPr>
                <w:b/>
                <w:bCs/>
                <w:color w:val="auto"/>
                <w:szCs w:val="20"/>
                <w:lang w:val="en-US" w:eastAsia="en-US"/>
              </w:rPr>
            </w:pPr>
            <w:r w:rsidRPr="00E137D2">
              <w:rPr>
                <w:b/>
                <w:bCs/>
                <w:color w:val="auto"/>
                <w:szCs w:val="20"/>
                <w:lang w:val="en-US" w:eastAsia="en-US"/>
              </w:rPr>
              <w:t>interpretation of the Regulations annexed to ADN</w:t>
            </w:r>
          </w:p>
        </w:tc>
        <w:tc>
          <w:tcPr>
            <w:tcW w:w="2835" w:type="dxa"/>
            <w:tcBorders>
              <w:bottom w:val="single" w:sz="12" w:space="0" w:color="auto"/>
            </w:tcBorders>
          </w:tcPr>
          <w:p w:rsidR="00E137D2" w:rsidRPr="00E137D2" w:rsidRDefault="00E137D2" w:rsidP="00E137D2">
            <w:pPr>
              <w:suppressAutoHyphens/>
              <w:spacing w:before="120" w:after="0" w:line="240" w:lineRule="atLeast"/>
              <w:ind w:left="0" w:firstLine="0"/>
              <w:rPr>
                <w:color w:val="auto"/>
                <w:szCs w:val="20"/>
                <w:lang w:eastAsia="en-US"/>
              </w:rPr>
            </w:pPr>
          </w:p>
          <w:p w:rsidR="00E137D2" w:rsidRPr="00E137D2" w:rsidRDefault="00E137D2" w:rsidP="00E137D2">
            <w:pPr>
              <w:suppressAutoHyphens/>
              <w:spacing w:before="120" w:after="0" w:line="240" w:lineRule="atLeast"/>
              <w:ind w:left="0" w:firstLine="0"/>
              <w:rPr>
                <w:color w:val="auto"/>
                <w:szCs w:val="20"/>
                <w:lang w:eastAsia="en-US"/>
              </w:rPr>
            </w:pPr>
          </w:p>
          <w:p w:rsidR="00E137D2" w:rsidRPr="00E137D2" w:rsidRDefault="00E137D2" w:rsidP="00E137D2">
            <w:pPr>
              <w:suppressAutoHyphens/>
              <w:spacing w:before="120" w:after="0" w:line="240" w:lineRule="atLeast"/>
              <w:ind w:left="0" w:firstLine="0"/>
              <w:rPr>
                <w:color w:val="auto"/>
                <w:szCs w:val="20"/>
                <w:lang w:eastAsia="en-US"/>
              </w:rPr>
            </w:pPr>
            <w:r w:rsidRPr="00E137D2">
              <w:rPr>
                <w:color w:val="auto"/>
                <w:szCs w:val="20"/>
                <w:lang w:eastAsia="en-US"/>
              </w:rPr>
              <w:t>English</w:t>
            </w:r>
          </w:p>
          <w:p w:rsidR="00E137D2" w:rsidRPr="00E137D2" w:rsidRDefault="00E137D2" w:rsidP="00E137D2">
            <w:pPr>
              <w:suppressAutoHyphens/>
              <w:spacing w:before="120" w:after="0" w:line="240" w:lineRule="atLeast"/>
              <w:ind w:left="0" w:firstLine="0"/>
              <w:rPr>
                <w:color w:val="auto"/>
                <w:szCs w:val="20"/>
                <w:lang w:eastAsia="en-US"/>
              </w:rPr>
            </w:pPr>
            <w:r w:rsidRPr="00E137D2">
              <w:rPr>
                <w:color w:val="auto"/>
                <w:szCs w:val="20"/>
                <w:lang w:eastAsia="en-US"/>
              </w:rPr>
              <w:t>1</w:t>
            </w:r>
            <w:r>
              <w:rPr>
                <w:color w:val="auto"/>
                <w:szCs w:val="20"/>
                <w:lang w:eastAsia="en-US"/>
              </w:rPr>
              <w:t>3</w:t>
            </w:r>
            <w:r w:rsidRPr="00E137D2">
              <w:rPr>
                <w:color w:val="auto"/>
                <w:szCs w:val="20"/>
                <w:lang w:eastAsia="en-US"/>
              </w:rPr>
              <w:t xml:space="preserve"> </w:t>
            </w:r>
            <w:r>
              <w:rPr>
                <w:color w:val="auto"/>
                <w:szCs w:val="20"/>
                <w:lang w:eastAsia="en-US"/>
              </w:rPr>
              <w:t>January 2017</w:t>
            </w:r>
          </w:p>
        </w:tc>
      </w:tr>
    </w:tbl>
    <w:p w:rsidR="00857F48" w:rsidRPr="00E137D2" w:rsidRDefault="00E137D2" w:rsidP="00E137D2">
      <w:pPr>
        <w:pStyle w:val="HChG"/>
      </w:pPr>
      <w:r w:rsidRPr="00E137D2">
        <w:tab/>
      </w:r>
      <w:r w:rsidRPr="00E137D2">
        <w:tab/>
      </w:r>
      <w:r w:rsidR="001F3F7F" w:rsidRPr="00E137D2">
        <w:t>“Blending on board inland tankers”</w:t>
      </w:r>
      <w:r w:rsidRPr="00E137D2">
        <w:t xml:space="preserve"> </w:t>
      </w:r>
    </w:p>
    <w:p w:rsidR="008516BE" w:rsidRPr="00857F48" w:rsidRDefault="00E137D2" w:rsidP="00E137D2">
      <w:pPr>
        <w:pStyle w:val="H1G"/>
        <w:rPr>
          <w:b w:val="0"/>
        </w:rPr>
      </w:pPr>
      <w:r>
        <w:tab/>
      </w:r>
      <w:r>
        <w:tab/>
      </w:r>
      <w:r w:rsidR="00857F48" w:rsidRPr="00857F48">
        <w:t>Transmitted by the Federation of European Tank Storage Associations, FETSA</w:t>
      </w:r>
      <w:r w:rsidR="001F3F7F" w:rsidRPr="00857F48">
        <w:t xml:space="preserve"> </w:t>
      </w:r>
    </w:p>
    <w:p w:rsidR="008516BE" w:rsidRDefault="001F3F7F" w:rsidP="00E137D2">
      <w:pPr>
        <w:pStyle w:val="HChG"/>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rsidR="009C774A">
        <w:t>Introduction</w:t>
      </w:r>
      <w:bookmarkStart w:id="0" w:name="_GoBack"/>
      <w:bookmarkEnd w:id="0"/>
    </w:p>
    <w:p w:rsidR="008516BE" w:rsidRDefault="00E137D2" w:rsidP="00E137D2">
      <w:pPr>
        <w:pStyle w:val="SingleTxtG"/>
        <w:tabs>
          <w:tab w:val="left" w:pos="1701"/>
        </w:tabs>
      </w:pPr>
      <w:r>
        <w:t>1.</w:t>
      </w:r>
      <w:r>
        <w:tab/>
      </w:r>
      <w:r w:rsidR="001F3F7F">
        <w:t xml:space="preserve">Blending on board tankers; loading and mixing of oil distillates, hydrocarbons and bio components in the cargo tanks of tankers is common practise within the Netherlands, Belgium and other countries in the world.   </w:t>
      </w:r>
    </w:p>
    <w:p w:rsidR="008516BE" w:rsidRDefault="00E137D2" w:rsidP="00E137D2">
      <w:pPr>
        <w:pStyle w:val="SingleTxtG"/>
        <w:tabs>
          <w:tab w:val="left" w:pos="1701"/>
        </w:tabs>
      </w:pPr>
      <w:r>
        <w:t>2.</w:t>
      </w:r>
      <w:r>
        <w:tab/>
      </w:r>
      <w:r w:rsidR="001F3F7F">
        <w:t>The different components are loaded, via the dedicated cargo pipe line system, batch after batch, where after the components become admixed on board.</w:t>
      </w:r>
      <w:r w:rsidR="001F3F7F">
        <w:rPr>
          <w:color w:val="FF0000"/>
        </w:rPr>
        <w:t xml:space="preserve">  </w:t>
      </w:r>
    </w:p>
    <w:p w:rsidR="008516BE" w:rsidRDefault="00E137D2" w:rsidP="00E137D2">
      <w:pPr>
        <w:pStyle w:val="SingleTxtG"/>
        <w:tabs>
          <w:tab w:val="left" w:pos="1701"/>
        </w:tabs>
      </w:pPr>
      <w:r>
        <w:t>3.</w:t>
      </w:r>
      <w:r>
        <w:tab/>
      </w:r>
      <w:r w:rsidR="001F3F7F">
        <w:t xml:space="preserve">Blending on board can be defined as: </w:t>
      </w:r>
    </w:p>
    <w:p w:rsidR="008516BE" w:rsidRDefault="001F3F7F" w:rsidP="0059048C">
      <w:pPr>
        <w:pStyle w:val="SingleTxtG"/>
        <w:ind w:left="1701"/>
      </w:pPr>
      <w:r>
        <w:t xml:space="preserve">Blending on board describes the mixing of two or more products resulting in one single final product and reflects only components being admixed as distinct from any chemical processing. </w:t>
      </w:r>
    </w:p>
    <w:p w:rsidR="008516BE" w:rsidRDefault="0059048C" w:rsidP="0059048C">
      <w:pPr>
        <w:pStyle w:val="SingleTxtG"/>
        <w:tabs>
          <w:tab w:val="left" w:pos="1701"/>
        </w:tabs>
      </w:pPr>
      <w:r>
        <w:t>4.</w:t>
      </w:r>
      <w:r>
        <w:tab/>
      </w:r>
      <w:r w:rsidR="001F3F7F">
        <w:t xml:space="preserve">Relevant Dutch industry bodies have the opinion that the risks related to blending on board of inland vessels is well managed; however, although “mixtures” of different substances are mentioned in chapters of the ADN, the blending as an activity and guidance on risk mitigating measures for the blending activity are not stipulated in ADN.  </w:t>
      </w:r>
    </w:p>
    <w:p w:rsidR="008516BE" w:rsidRDefault="001F3F7F" w:rsidP="00E137D2">
      <w:pPr>
        <w:pStyle w:val="HChG"/>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Practical issues </w:t>
      </w:r>
    </w:p>
    <w:p w:rsidR="008516BE" w:rsidRDefault="0059048C" w:rsidP="00E137D2">
      <w:pPr>
        <w:pStyle w:val="SingleTxtG"/>
        <w:tabs>
          <w:tab w:val="left" w:pos="1701"/>
        </w:tabs>
      </w:pPr>
      <w:r>
        <w:t>5</w:t>
      </w:r>
      <w:r w:rsidR="00E137D2">
        <w:t>.</w:t>
      </w:r>
      <w:r w:rsidR="00E137D2">
        <w:tab/>
      </w:r>
      <w:r w:rsidR="001F3F7F">
        <w:t>The fact that blending operations on board inland tankers are not specifically</w:t>
      </w:r>
      <w:r w:rsidR="001F3F7F">
        <w:rPr>
          <w:color w:val="FF0000"/>
        </w:rPr>
        <w:t xml:space="preserve"> </w:t>
      </w:r>
      <w:r w:rsidR="001F3F7F">
        <w:t>regulated in the ADN legislation has</w:t>
      </w:r>
      <w:r w:rsidR="001F3F7F">
        <w:rPr>
          <w:strike/>
        </w:rPr>
        <w:t xml:space="preserve"> </w:t>
      </w:r>
      <w:r w:rsidR="001F3F7F">
        <w:t xml:space="preserve">led to discussions with National Dangerous Goods authorities, challenging those blending operations.  </w:t>
      </w:r>
    </w:p>
    <w:p w:rsidR="008516BE" w:rsidRDefault="0059048C" w:rsidP="00E137D2">
      <w:pPr>
        <w:pStyle w:val="SingleTxtG"/>
        <w:tabs>
          <w:tab w:val="left" w:pos="1701"/>
        </w:tabs>
      </w:pPr>
      <w:r>
        <w:t>6</w:t>
      </w:r>
      <w:r w:rsidR="00E137D2">
        <w:t>.</w:t>
      </w:r>
      <w:r w:rsidR="00E137D2">
        <w:tab/>
      </w:r>
      <w:r w:rsidR="001F3F7F">
        <w:t xml:space="preserve">There is need for clarification in the ADN within the industry for blending activities on inland tankers. </w:t>
      </w:r>
    </w:p>
    <w:p w:rsidR="008516BE" w:rsidRDefault="001F3F7F" w:rsidP="00E137D2">
      <w:pPr>
        <w:pStyle w:val="HChG"/>
      </w:pPr>
      <w:r>
        <w:rPr>
          <w:rFonts w:ascii="Calibri" w:eastAsia="Calibri" w:hAnsi="Calibri" w:cs="Calibri"/>
          <w:sz w:val="22"/>
        </w:rPr>
        <w:lastRenderedPageBreak/>
        <w:tab/>
      </w:r>
      <w:r>
        <w:t>III.</w:t>
      </w:r>
      <w:r>
        <w:rPr>
          <w:rFonts w:ascii="Arial" w:eastAsia="Arial" w:hAnsi="Arial" w:cs="Arial"/>
        </w:rPr>
        <w:t xml:space="preserve"> </w:t>
      </w:r>
      <w:r>
        <w:rPr>
          <w:rFonts w:ascii="Arial" w:eastAsia="Arial" w:hAnsi="Arial" w:cs="Arial"/>
        </w:rPr>
        <w:tab/>
      </w:r>
      <w:r>
        <w:t xml:space="preserve">Proposal  </w:t>
      </w:r>
    </w:p>
    <w:p w:rsidR="008516BE" w:rsidRDefault="0059048C" w:rsidP="00E137D2">
      <w:pPr>
        <w:pStyle w:val="SingleTxtG"/>
        <w:tabs>
          <w:tab w:val="left" w:pos="1701"/>
        </w:tabs>
      </w:pPr>
      <w:r>
        <w:t>7</w:t>
      </w:r>
      <w:r w:rsidR="00E137D2">
        <w:t>.</w:t>
      </w:r>
      <w:r w:rsidR="00E137D2">
        <w:tab/>
      </w:r>
      <w:r w:rsidR="001F3F7F">
        <w:t>With this INF document the Industry</w:t>
      </w:r>
      <w:r w:rsidR="001F3F7F">
        <w:rPr>
          <w:color w:val="FF0000"/>
        </w:rPr>
        <w:t xml:space="preserve"> </w:t>
      </w:r>
      <w:r w:rsidR="001F3F7F">
        <w:t xml:space="preserve">would like to ask the ADN Safety committee to consider the following changes/additions to ADN: </w:t>
      </w:r>
    </w:p>
    <w:p w:rsidR="008516BE" w:rsidRDefault="001F3F7F" w:rsidP="00C47726">
      <w:pPr>
        <w:pStyle w:val="SingleTxtG"/>
        <w:tabs>
          <w:tab w:val="left" w:pos="1701"/>
        </w:tabs>
      </w:pPr>
      <w:r>
        <w:t xml:space="preserve">The activity of blending on board is considered safe if the following risk mitigating measures are complied with: </w:t>
      </w:r>
    </w:p>
    <w:p w:rsidR="008516BE" w:rsidRDefault="001F3F7F" w:rsidP="00C47726">
      <w:pPr>
        <w:numPr>
          <w:ilvl w:val="0"/>
          <w:numId w:val="1"/>
        </w:numPr>
        <w:spacing w:after="120" w:line="240" w:lineRule="auto"/>
        <w:ind w:left="1701" w:hanging="567"/>
      </w:pPr>
      <w:r>
        <w:t xml:space="preserve">Blending on board involves the mixing of two or more products only and does not include any chemical processing.   </w:t>
      </w:r>
    </w:p>
    <w:p w:rsidR="008516BE" w:rsidRDefault="001F3F7F" w:rsidP="00C47726">
      <w:pPr>
        <w:numPr>
          <w:ilvl w:val="0"/>
          <w:numId w:val="1"/>
        </w:numPr>
        <w:spacing w:after="120" w:line="240" w:lineRule="auto"/>
        <w:ind w:left="1701" w:hanging="567"/>
      </w:pPr>
      <w:r>
        <w:t xml:space="preserve">The classification of the final product should be established prior the blending activity commences. </w:t>
      </w:r>
    </w:p>
    <w:p w:rsidR="008516BE" w:rsidRDefault="001F3F7F" w:rsidP="00C47726">
      <w:pPr>
        <w:numPr>
          <w:ilvl w:val="0"/>
          <w:numId w:val="1"/>
        </w:numPr>
        <w:spacing w:after="120" w:line="240" w:lineRule="auto"/>
        <w:ind w:left="1701" w:hanging="567"/>
      </w:pPr>
      <w:r>
        <w:t xml:space="preserve">The loading operation has to be performed closed if for any of the components to be loaded; carriage in closed cargo tanks is required.  </w:t>
      </w:r>
    </w:p>
    <w:p w:rsidR="008516BE" w:rsidRDefault="001F3F7F" w:rsidP="00C47726">
      <w:pPr>
        <w:numPr>
          <w:ilvl w:val="0"/>
          <w:numId w:val="1"/>
        </w:numPr>
        <w:spacing w:after="120" w:line="240" w:lineRule="auto"/>
        <w:ind w:left="1701" w:hanging="567"/>
      </w:pPr>
      <w:r>
        <w:t xml:space="preserve">The instructions detailing the blending activity should be agreed between all stakeholders and the same should be available on board during the mentioned operations. </w:t>
      </w:r>
    </w:p>
    <w:p w:rsidR="008516BE" w:rsidRDefault="001F3F7F" w:rsidP="00C47726">
      <w:pPr>
        <w:numPr>
          <w:ilvl w:val="0"/>
          <w:numId w:val="1"/>
        </w:numPr>
        <w:spacing w:after="120" w:line="240" w:lineRule="auto"/>
        <w:ind w:left="1701" w:hanging="567"/>
      </w:pPr>
      <w:r>
        <w:t xml:space="preserve">Each individual component to be loaded should be included on the vessel substance list, ref ADN 1.16.1.2.5. For each component to be loaded and for the final product the documentation as specified in ADN 7.2.4.10 and ADN 5.4.1.1.2 should reflect the blending activity and the properties of the final product. </w:t>
      </w:r>
    </w:p>
    <w:p w:rsidR="008516BE" w:rsidRDefault="001F3F7F" w:rsidP="00C47726">
      <w:pPr>
        <w:numPr>
          <w:ilvl w:val="0"/>
          <w:numId w:val="1"/>
        </w:numPr>
        <w:spacing w:after="120" w:line="240" w:lineRule="auto"/>
        <w:ind w:left="1701" w:hanging="567"/>
      </w:pPr>
      <w:r>
        <w:t xml:space="preserve">The registrations of verifications carried out should be treated as documentation stipulated in ADN 8.1.2.3. </w:t>
      </w:r>
    </w:p>
    <w:p w:rsidR="008516BE" w:rsidRDefault="001F3F7F" w:rsidP="00C47726">
      <w:pPr>
        <w:numPr>
          <w:ilvl w:val="0"/>
          <w:numId w:val="1"/>
        </w:numPr>
        <w:spacing w:after="120" w:line="240" w:lineRule="auto"/>
        <w:ind w:left="1701" w:hanging="567"/>
      </w:pPr>
      <w:r>
        <w:t xml:space="preserve">The cargo and voyage registration should be reflecting the blending activities as carried out. </w:t>
      </w:r>
    </w:p>
    <w:p w:rsidR="008516BE" w:rsidRDefault="001F3F7F" w:rsidP="00C47726">
      <w:pPr>
        <w:numPr>
          <w:ilvl w:val="0"/>
          <w:numId w:val="1"/>
        </w:numPr>
        <w:spacing w:after="120" w:line="240" w:lineRule="auto"/>
        <w:ind w:left="1701" w:hanging="567"/>
      </w:pPr>
      <w:r>
        <w:t xml:space="preserve">The loading operation, concerning blending on board, should be covered by: </w:t>
      </w:r>
    </w:p>
    <w:p w:rsidR="008516BE" w:rsidRDefault="001F3F7F" w:rsidP="00C47726">
      <w:pPr>
        <w:numPr>
          <w:ilvl w:val="1"/>
          <w:numId w:val="1"/>
        </w:numPr>
        <w:spacing w:after="120" w:line="240" w:lineRule="auto"/>
        <w:ind w:left="2268" w:hanging="567"/>
      </w:pPr>
      <w:r>
        <w:t xml:space="preserve">Prior the loading operation the ADN Checklist should be completed and complied with. </w:t>
      </w:r>
    </w:p>
    <w:p w:rsidR="008516BE" w:rsidRDefault="001F3F7F" w:rsidP="00C47726">
      <w:pPr>
        <w:numPr>
          <w:ilvl w:val="1"/>
          <w:numId w:val="1"/>
        </w:numPr>
        <w:spacing w:after="120" w:line="240" w:lineRule="auto"/>
        <w:ind w:left="2268" w:hanging="567"/>
      </w:pPr>
      <w:r>
        <w:t xml:space="preserve">The classification of each component loaded as part of the blending activity should be known and should be stated on the ADN Checklist </w:t>
      </w:r>
    </w:p>
    <w:p w:rsidR="008516BE" w:rsidRDefault="001F3F7F" w:rsidP="00C47726">
      <w:pPr>
        <w:numPr>
          <w:ilvl w:val="1"/>
          <w:numId w:val="1"/>
        </w:numPr>
        <w:spacing w:after="120" w:line="240" w:lineRule="auto"/>
        <w:ind w:left="2268" w:hanging="567"/>
      </w:pPr>
      <w:r>
        <w:t xml:space="preserve">Upon completion of the blending </w:t>
      </w:r>
      <w:r w:rsidR="00A54C41">
        <w:t xml:space="preserve">operation a transport document </w:t>
      </w:r>
      <w:r>
        <w:t xml:space="preserve">stating the component added, same as stated on the ADN checklist, has to be provided to the carrier </w:t>
      </w:r>
    </w:p>
    <w:p w:rsidR="008516BE" w:rsidRDefault="001F3F7F" w:rsidP="00C47726">
      <w:pPr>
        <w:numPr>
          <w:ilvl w:val="1"/>
          <w:numId w:val="1"/>
        </w:numPr>
        <w:spacing w:after="120" w:line="240" w:lineRule="auto"/>
        <w:ind w:left="2268" w:hanging="567"/>
      </w:pPr>
      <w:r>
        <w:t xml:space="preserve">For the final product a corresponding and complete transport document has to be provided to the carrier </w:t>
      </w:r>
    </w:p>
    <w:p w:rsidR="008516BE" w:rsidRDefault="001F3F7F" w:rsidP="00C47726">
      <w:pPr>
        <w:numPr>
          <w:ilvl w:val="1"/>
          <w:numId w:val="1"/>
        </w:numPr>
        <w:spacing w:after="120" w:line="240" w:lineRule="auto"/>
        <w:ind w:left="2268" w:hanging="567"/>
      </w:pPr>
      <w:r>
        <w:t>The transportation of the produc</w:t>
      </w:r>
      <w:r w:rsidR="00A54C41">
        <w:t>t, voyage, can only commence if</w:t>
      </w:r>
      <w:r>
        <w:t xml:space="preserve"> the carrier has received the transport document for the final product </w:t>
      </w:r>
    </w:p>
    <w:p w:rsidR="008516BE" w:rsidRDefault="001F3F7F" w:rsidP="00C47726">
      <w:pPr>
        <w:numPr>
          <w:ilvl w:val="0"/>
          <w:numId w:val="1"/>
        </w:numPr>
        <w:spacing w:after="120" w:line="240" w:lineRule="auto"/>
        <w:ind w:left="1701" w:hanging="567"/>
      </w:pPr>
      <w:r>
        <w:t xml:space="preserve">The blending on board as an activity might need further amendments in ADN Chapter 1.2.1 on the subject of Definitions and in ADN Chapter 7.2 on the subject of specific operational requirements as specified under point 8. </w:t>
      </w:r>
    </w:p>
    <w:p w:rsidR="008516BE" w:rsidRPr="0059048C" w:rsidRDefault="0059048C" w:rsidP="0059048C">
      <w:pPr>
        <w:pStyle w:val="SingleTxtG"/>
        <w:spacing w:before="240" w:after="0"/>
        <w:jc w:val="center"/>
        <w:rPr>
          <w:u w:val="single"/>
        </w:rPr>
      </w:pPr>
      <w:r>
        <w:rPr>
          <w:u w:val="single"/>
        </w:rPr>
        <w:tab/>
      </w:r>
      <w:r>
        <w:rPr>
          <w:u w:val="single"/>
        </w:rPr>
        <w:tab/>
      </w:r>
      <w:r>
        <w:rPr>
          <w:u w:val="single"/>
        </w:rPr>
        <w:tab/>
      </w:r>
    </w:p>
    <w:sectPr w:rsidR="008516BE" w:rsidRPr="0059048C" w:rsidSect="0059048C">
      <w:headerReference w:type="even" r:id="rId7"/>
      <w:headerReference w:type="default" r:id="rId8"/>
      <w:footerReference w:type="even" r:id="rId9"/>
      <w:footerReference w:type="default" r:id="rId10"/>
      <w:footerReference w:type="first" r:id="rId11"/>
      <w:pgSz w:w="11906" w:h="16841"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7F" w:rsidRDefault="001F3F7F" w:rsidP="00857F48">
      <w:pPr>
        <w:spacing w:after="0" w:line="240" w:lineRule="auto"/>
      </w:pPr>
      <w:r>
        <w:separator/>
      </w:r>
    </w:p>
  </w:endnote>
  <w:endnote w:type="continuationSeparator" w:id="0">
    <w:p w:rsidR="001F3F7F" w:rsidRDefault="001F3F7F" w:rsidP="008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8C" w:rsidRPr="0059048C" w:rsidRDefault="0059048C" w:rsidP="0059048C">
    <w:pPr>
      <w:tabs>
        <w:tab w:val="right" w:pos="9598"/>
      </w:tabs>
      <w:suppressAutoHyphens/>
      <w:spacing w:after="0" w:line="240" w:lineRule="auto"/>
      <w:ind w:left="0" w:firstLine="0"/>
      <w:rPr>
        <w:color w:val="auto"/>
        <w:sz w:val="16"/>
        <w:szCs w:val="20"/>
        <w:lang w:eastAsia="en-US"/>
      </w:rPr>
    </w:pPr>
    <w:r w:rsidRPr="0059048C">
      <w:rPr>
        <w:b/>
        <w:color w:val="auto"/>
        <w:sz w:val="18"/>
        <w:szCs w:val="20"/>
        <w:lang w:eastAsia="en-US"/>
      </w:rPr>
      <w:fldChar w:fldCharType="begin"/>
    </w:r>
    <w:r w:rsidRPr="0059048C">
      <w:rPr>
        <w:b/>
        <w:color w:val="auto"/>
        <w:sz w:val="18"/>
        <w:szCs w:val="20"/>
        <w:lang w:eastAsia="en-US"/>
      </w:rPr>
      <w:instrText xml:space="preserve"> PAGE  \* MERGEFORMAT </w:instrText>
    </w:r>
    <w:r w:rsidRPr="0059048C">
      <w:rPr>
        <w:b/>
        <w:color w:val="auto"/>
        <w:sz w:val="18"/>
        <w:szCs w:val="20"/>
        <w:lang w:eastAsia="en-US"/>
      </w:rPr>
      <w:fldChar w:fldCharType="separate"/>
    </w:r>
    <w:r w:rsidR="009C774A">
      <w:rPr>
        <w:b/>
        <w:noProof/>
        <w:color w:val="auto"/>
        <w:sz w:val="18"/>
        <w:szCs w:val="20"/>
        <w:lang w:eastAsia="en-US"/>
      </w:rPr>
      <w:t>2</w:t>
    </w:r>
    <w:r w:rsidRPr="0059048C">
      <w:rPr>
        <w:b/>
        <w:color w:val="auto"/>
        <w:sz w:val="18"/>
        <w:szCs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48" w:rsidRPr="0059048C" w:rsidRDefault="0059048C" w:rsidP="0059048C">
    <w:pPr>
      <w:pStyle w:val="Footer"/>
      <w:jc w:val="right"/>
      <w:rPr>
        <w:rFonts w:eastAsia="SimSun"/>
        <w:color w:val="auto"/>
        <w:sz w:val="18"/>
        <w:szCs w:val="18"/>
        <w:lang w:eastAsia="zh-CN"/>
      </w:rPr>
    </w:pPr>
    <w:r w:rsidRPr="0059048C">
      <w:rPr>
        <w:rFonts w:eastAsia="SimSun"/>
        <w:b/>
        <w:color w:val="auto"/>
        <w:sz w:val="18"/>
        <w:szCs w:val="18"/>
        <w:lang w:eastAsia="zh-CN"/>
      </w:rPr>
      <w:fldChar w:fldCharType="begin"/>
    </w:r>
    <w:r w:rsidRPr="0059048C">
      <w:rPr>
        <w:rFonts w:eastAsia="SimSun"/>
        <w:b/>
        <w:color w:val="auto"/>
        <w:sz w:val="18"/>
        <w:szCs w:val="18"/>
        <w:lang w:eastAsia="zh-CN"/>
      </w:rPr>
      <w:instrText xml:space="preserve"> PAGE  \* MERGEFORMAT </w:instrText>
    </w:r>
    <w:r w:rsidRPr="0059048C">
      <w:rPr>
        <w:rFonts w:eastAsia="SimSun"/>
        <w:b/>
        <w:color w:val="auto"/>
        <w:sz w:val="18"/>
        <w:szCs w:val="18"/>
        <w:lang w:eastAsia="zh-CN"/>
      </w:rPr>
      <w:fldChar w:fldCharType="separate"/>
    </w:r>
    <w:r>
      <w:rPr>
        <w:rFonts w:eastAsia="SimSun"/>
        <w:b/>
        <w:noProof/>
        <w:color w:val="auto"/>
        <w:sz w:val="18"/>
        <w:szCs w:val="18"/>
        <w:lang w:eastAsia="zh-CN"/>
      </w:rPr>
      <w:t>1</w:t>
    </w:r>
    <w:r w:rsidRPr="0059048C">
      <w:rPr>
        <w:rFonts w:eastAsia="SimSun"/>
        <w:color w:val="auto"/>
        <w:sz w:val="18"/>
        <w:szCs w:val="18"/>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8C" w:rsidRPr="0059048C" w:rsidRDefault="0059048C" w:rsidP="0059048C">
    <w:pPr>
      <w:suppressAutoHyphens/>
      <w:spacing w:after="0" w:line="240" w:lineRule="auto"/>
      <w:ind w:left="0" w:firstLine="0"/>
      <w:jc w:val="right"/>
      <w:rPr>
        <w:rFonts w:eastAsia="SimSun"/>
        <w:color w:val="auto"/>
        <w:sz w:val="18"/>
        <w:szCs w:val="18"/>
        <w:lang w:eastAsia="zh-CN"/>
      </w:rPr>
    </w:pPr>
    <w:r w:rsidRPr="0059048C">
      <w:rPr>
        <w:rFonts w:eastAsia="SimSun"/>
        <w:b/>
        <w:color w:val="auto"/>
        <w:sz w:val="18"/>
        <w:szCs w:val="18"/>
        <w:lang w:eastAsia="zh-CN"/>
      </w:rPr>
      <w:fldChar w:fldCharType="begin"/>
    </w:r>
    <w:r w:rsidRPr="0059048C">
      <w:rPr>
        <w:rFonts w:eastAsia="SimSun"/>
        <w:b/>
        <w:color w:val="auto"/>
        <w:sz w:val="18"/>
        <w:szCs w:val="18"/>
        <w:lang w:eastAsia="zh-CN"/>
      </w:rPr>
      <w:instrText xml:space="preserve"> PAGE  \* MERGEFORMAT </w:instrText>
    </w:r>
    <w:r w:rsidRPr="0059048C">
      <w:rPr>
        <w:rFonts w:eastAsia="SimSun"/>
        <w:b/>
        <w:color w:val="auto"/>
        <w:sz w:val="18"/>
        <w:szCs w:val="18"/>
        <w:lang w:eastAsia="zh-CN"/>
      </w:rPr>
      <w:fldChar w:fldCharType="separate"/>
    </w:r>
    <w:r w:rsidR="009C774A">
      <w:rPr>
        <w:rFonts w:eastAsia="SimSun"/>
        <w:b/>
        <w:noProof/>
        <w:color w:val="auto"/>
        <w:sz w:val="18"/>
        <w:szCs w:val="18"/>
        <w:lang w:eastAsia="zh-CN"/>
      </w:rPr>
      <w:t>1</w:t>
    </w:r>
    <w:r w:rsidRPr="0059048C">
      <w:rPr>
        <w:rFonts w:eastAsia="SimSun"/>
        <w:color w:val="auto"/>
        <w:sz w:val="18"/>
        <w:szCs w:val="18"/>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7F" w:rsidRDefault="001F3F7F" w:rsidP="00857F48">
      <w:pPr>
        <w:spacing w:after="0" w:line="240" w:lineRule="auto"/>
      </w:pPr>
      <w:r>
        <w:separator/>
      </w:r>
    </w:p>
  </w:footnote>
  <w:footnote w:type="continuationSeparator" w:id="0">
    <w:p w:rsidR="001F3F7F" w:rsidRDefault="001F3F7F" w:rsidP="0085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8C" w:rsidRPr="0059048C" w:rsidRDefault="0059048C" w:rsidP="0059048C">
    <w:pPr>
      <w:pBdr>
        <w:bottom w:val="single" w:sz="4" w:space="1" w:color="auto"/>
      </w:pBdr>
      <w:suppressAutoHyphens/>
      <w:spacing w:after="0" w:line="240" w:lineRule="atLeast"/>
      <w:ind w:left="0" w:firstLine="0"/>
      <w:rPr>
        <w:b/>
        <w:color w:val="auto"/>
        <w:sz w:val="18"/>
        <w:szCs w:val="18"/>
        <w:lang w:eastAsia="en-US"/>
      </w:rPr>
    </w:pPr>
    <w:r w:rsidRPr="0059048C">
      <w:rPr>
        <w:b/>
        <w:color w:val="auto"/>
        <w:sz w:val="18"/>
        <w:szCs w:val="18"/>
        <w:lang w:eastAsia="en-US"/>
      </w:rPr>
      <w:t>INF.</w:t>
    </w:r>
    <w:r>
      <w:rPr>
        <w:b/>
        <w:color w:val="auto"/>
        <w:sz w:val="18"/>
        <w:szCs w:val="18"/>
        <w:lang w:eastAsia="en-US"/>
      </w:rPr>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8C" w:rsidRPr="0059048C" w:rsidRDefault="0059048C" w:rsidP="0059048C">
    <w:pPr>
      <w:pBdr>
        <w:bottom w:val="single" w:sz="4" w:space="1" w:color="auto"/>
      </w:pBdr>
      <w:suppressAutoHyphens/>
      <w:spacing w:after="0" w:line="240" w:lineRule="atLeast"/>
      <w:ind w:left="0" w:firstLine="0"/>
      <w:rPr>
        <w:b/>
        <w:color w:val="auto"/>
        <w:sz w:val="18"/>
        <w:szCs w:val="18"/>
        <w:lang w:eastAsia="en-US"/>
      </w:rPr>
    </w:pPr>
    <w:r w:rsidRPr="0059048C">
      <w:rPr>
        <w:b/>
        <w:color w:val="auto"/>
        <w:sz w:val="18"/>
        <w:szCs w:val="18"/>
        <w:lang w:eastAsia="en-US"/>
      </w:rPr>
      <w:t>INF.</w:t>
    </w:r>
    <w:r>
      <w:rPr>
        <w:b/>
        <w:color w:val="auto"/>
        <w:sz w:val="18"/>
        <w:szCs w:val="18"/>
        <w:lang w:eastAsia="en-US"/>
      </w:rPr>
      <w:t>15</w:t>
    </w:r>
  </w:p>
  <w:p w:rsidR="0059048C" w:rsidRDefault="0059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A4127"/>
    <w:multiLevelType w:val="hybridMultilevel"/>
    <w:tmpl w:val="8820A68C"/>
    <w:lvl w:ilvl="0" w:tplc="F8881956">
      <w:start w:val="1"/>
      <w:numFmt w:val="decimal"/>
      <w:lvlText w:val="%1."/>
      <w:lvlJc w:val="left"/>
      <w:pPr>
        <w:ind w:left="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2AE67C">
      <w:start w:val="1"/>
      <w:numFmt w:val="bullet"/>
      <w:lvlText w:val="-"/>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860606">
      <w:start w:val="1"/>
      <w:numFmt w:val="bullet"/>
      <w:lvlText w:val="▪"/>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A168A">
      <w:start w:val="1"/>
      <w:numFmt w:val="bullet"/>
      <w:lvlText w:val="•"/>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CCA918">
      <w:start w:val="1"/>
      <w:numFmt w:val="bullet"/>
      <w:lvlText w:val="o"/>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1E691A">
      <w:start w:val="1"/>
      <w:numFmt w:val="bullet"/>
      <w:lvlText w:val="▪"/>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1C76DE">
      <w:start w:val="1"/>
      <w:numFmt w:val="bullet"/>
      <w:lvlText w:val="•"/>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FC2F2E">
      <w:start w:val="1"/>
      <w:numFmt w:val="bullet"/>
      <w:lvlText w:val="o"/>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70C04A">
      <w:start w:val="1"/>
      <w:numFmt w:val="bullet"/>
      <w:lvlText w:val="▪"/>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BE"/>
    <w:rsid w:val="001F3F7F"/>
    <w:rsid w:val="0059048C"/>
    <w:rsid w:val="008516BE"/>
    <w:rsid w:val="00857F48"/>
    <w:rsid w:val="009C774A"/>
    <w:rsid w:val="009F7C7A"/>
    <w:rsid w:val="00A54C41"/>
    <w:rsid w:val="00C47726"/>
    <w:rsid w:val="00E137D2"/>
    <w:rsid w:val="00FE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5DDCC4A"/>
  <w15:docId w15:val="{4E0EB3CC-397A-4B47-9DBE-DD2C5948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576"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423" w:right="187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90"/>
      <w:ind w:left="57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857F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F48"/>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857F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F48"/>
    <w:rPr>
      <w:rFonts w:ascii="Times New Roman" w:eastAsia="Times New Roman" w:hAnsi="Times New Roman" w:cs="Times New Roman"/>
      <w:color w:val="000000"/>
      <w:sz w:val="20"/>
    </w:rPr>
  </w:style>
  <w:style w:type="paragraph" w:customStyle="1" w:styleId="HChG">
    <w:name w:val="_ H _Ch_G"/>
    <w:basedOn w:val="Normal"/>
    <w:next w:val="Normal"/>
    <w:rsid w:val="00E137D2"/>
    <w:pPr>
      <w:keepNext/>
      <w:keepLines/>
      <w:tabs>
        <w:tab w:val="right" w:pos="851"/>
      </w:tabs>
      <w:suppressAutoHyphens/>
      <w:spacing w:before="360" w:after="240" w:line="300" w:lineRule="exact"/>
      <w:ind w:left="1134" w:right="1134" w:hanging="1134"/>
    </w:pPr>
    <w:rPr>
      <w:b/>
      <w:color w:val="auto"/>
      <w:sz w:val="28"/>
      <w:szCs w:val="20"/>
      <w:lang w:eastAsia="en-US"/>
    </w:rPr>
  </w:style>
  <w:style w:type="paragraph" w:customStyle="1" w:styleId="H1G">
    <w:name w:val="_ H_1_G"/>
    <w:basedOn w:val="Normal"/>
    <w:next w:val="Normal"/>
    <w:rsid w:val="00E137D2"/>
    <w:pPr>
      <w:keepNext/>
      <w:keepLines/>
      <w:tabs>
        <w:tab w:val="right" w:pos="851"/>
      </w:tabs>
      <w:suppressAutoHyphens/>
      <w:spacing w:before="360" w:after="240" w:line="270" w:lineRule="exact"/>
      <w:ind w:left="1134" w:right="1134" w:hanging="1134"/>
    </w:pPr>
    <w:rPr>
      <w:b/>
      <w:color w:val="auto"/>
      <w:sz w:val="24"/>
      <w:szCs w:val="20"/>
      <w:lang w:eastAsia="en-US"/>
    </w:rPr>
  </w:style>
  <w:style w:type="paragraph" w:customStyle="1" w:styleId="SingleTxtG">
    <w:name w:val="_ Single Txt_G"/>
    <w:basedOn w:val="Normal"/>
    <w:rsid w:val="00E137D2"/>
    <w:pPr>
      <w:suppressAutoHyphens/>
      <w:spacing w:after="120" w:line="240" w:lineRule="atLeast"/>
      <w:ind w:left="1134" w:right="1134" w:firstLine="0"/>
      <w:jc w:val="both"/>
    </w:pPr>
    <w:rPr>
      <w:rFonts w:eastAsia="SimSun"/>
      <w:color w:val="auto"/>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CBRB</dc:creator>
  <cp:keywords/>
  <cp:lastModifiedBy>Lucille</cp:lastModifiedBy>
  <cp:revision>6</cp:revision>
  <dcterms:created xsi:type="dcterms:W3CDTF">2017-01-13T08:28:00Z</dcterms:created>
  <dcterms:modified xsi:type="dcterms:W3CDTF">2017-01-13T08:38:00Z</dcterms:modified>
</cp:coreProperties>
</file>