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161F4" w:rsidRPr="00D161F4" w:rsidTr="00DC682A">
        <w:trPr>
          <w:cantSplit/>
          <w:trHeight w:hRule="exact" w:val="851"/>
        </w:trPr>
        <w:tc>
          <w:tcPr>
            <w:tcW w:w="1276" w:type="dxa"/>
            <w:tcBorders>
              <w:bottom w:val="single" w:sz="4" w:space="0" w:color="auto"/>
            </w:tcBorders>
            <w:vAlign w:val="bottom"/>
          </w:tcPr>
          <w:p w:rsidR="00D161F4" w:rsidRPr="00D161F4" w:rsidRDefault="00D161F4" w:rsidP="00D161F4">
            <w:pPr>
              <w:suppressAutoHyphens/>
              <w:spacing w:after="0" w:line="240" w:lineRule="atLeast"/>
              <w:rPr>
                <w:sz w:val="20"/>
              </w:rPr>
            </w:pPr>
          </w:p>
        </w:tc>
        <w:tc>
          <w:tcPr>
            <w:tcW w:w="8363" w:type="dxa"/>
            <w:gridSpan w:val="2"/>
            <w:tcBorders>
              <w:bottom w:val="single" w:sz="4" w:space="0" w:color="auto"/>
            </w:tcBorders>
            <w:vAlign w:val="bottom"/>
          </w:tcPr>
          <w:p w:rsidR="00D161F4" w:rsidRPr="00D161F4" w:rsidRDefault="00D161F4" w:rsidP="00D161F4">
            <w:pPr>
              <w:suppressAutoHyphens/>
              <w:spacing w:after="0" w:line="240" w:lineRule="atLeast"/>
              <w:ind w:left="6805"/>
              <w:rPr>
                <w:sz w:val="20"/>
              </w:rPr>
            </w:pPr>
            <w:r w:rsidRPr="00D161F4">
              <w:rPr>
                <w:b/>
                <w:sz w:val="40"/>
                <w:szCs w:val="40"/>
              </w:rPr>
              <w:t xml:space="preserve"> INF.</w:t>
            </w:r>
            <w:r>
              <w:rPr>
                <w:b/>
                <w:sz w:val="40"/>
                <w:szCs w:val="40"/>
              </w:rPr>
              <w:t>24</w:t>
            </w:r>
          </w:p>
        </w:tc>
      </w:tr>
      <w:tr w:rsidR="00D161F4" w:rsidRPr="00D161F4" w:rsidTr="00DC682A">
        <w:trPr>
          <w:cantSplit/>
          <w:trHeight w:hRule="exact" w:val="3688"/>
        </w:trPr>
        <w:tc>
          <w:tcPr>
            <w:tcW w:w="6804" w:type="dxa"/>
            <w:gridSpan w:val="2"/>
            <w:tcBorders>
              <w:top w:val="single" w:sz="4" w:space="0" w:color="auto"/>
              <w:bottom w:val="single" w:sz="12" w:space="0" w:color="auto"/>
            </w:tcBorders>
          </w:tcPr>
          <w:p w:rsidR="00D161F4" w:rsidRPr="00D161F4" w:rsidRDefault="00D161F4" w:rsidP="00D161F4">
            <w:pPr>
              <w:suppressAutoHyphens/>
              <w:spacing w:before="120" w:after="120" w:line="240" w:lineRule="atLeast"/>
              <w:rPr>
                <w:b/>
                <w:sz w:val="28"/>
                <w:szCs w:val="28"/>
              </w:rPr>
            </w:pPr>
            <w:r w:rsidRPr="00D161F4">
              <w:rPr>
                <w:b/>
                <w:sz w:val="28"/>
                <w:szCs w:val="28"/>
              </w:rPr>
              <w:t>Economic Commission for Europe</w:t>
            </w:r>
          </w:p>
          <w:p w:rsidR="00D161F4" w:rsidRPr="00D161F4" w:rsidRDefault="00D161F4" w:rsidP="00D161F4">
            <w:pPr>
              <w:suppressAutoHyphens/>
              <w:spacing w:before="120" w:after="0" w:line="240" w:lineRule="atLeast"/>
              <w:rPr>
                <w:sz w:val="28"/>
                <w:szCs w:val="28"/>
              </w:rPr>
            </w:pPr>
            <w:r w:rsidRPr="00D161F4">
              <w:rPr>
                <w:sz w:val="28"/>
                <w:szCs w:val="28"/>
              </w:rPr>
              <w:t>Inland Transport Committee</w:t>
            </w:r>
          </w:p>
          <w:p w:rsidR="00D161F4" w:rsidRPr="00D161F4" w:rsidRDefault="00D161F4" w:rsidP="00D161F4">
            <w:pPr>
              <w:suppressAutoHyphens/>
              <w:spacing w:before="120" w:after="0" w:line="240" w:lineRule="atLeast"/>
              <w:rPr>
                <w:b/>
                <w:sz w:val="20"/>
              </w:rPr>
            </w:pPr>
            <w:r w:rsidRPr="00D161F4">
              <w:rPr>
                <w:b/>
                <w:sz w:val="20"/>
              </w:rPr>
              <w:t>Working Party on the Transport of Dangerous Goods</w:t>
            </w:r>
          </w:p>
          <w:p w:rsidR="00D161F4" w:rsidRPr="00D161F4" w:rsidRDefault="00D161F4" w:rsidP="00D161F4">
            <w:pPr>
              <w:suppressAutoHyphens/>
              <w:spacing w:before="120" w:after="0" w:line="240" w:lineRule="atLeast"/>
              <w:rPr>
                <w:b/>
                <w:sz w:val="20"/>
              </w:rPr>
            </w:pPr>
            <w:r w:rsidRPr="00D161F4">
              <w:rPr>
                <w:b/>
                <w:sz w:val="20"/>
              </w:rPr>
              <w:t>Joint Meeting of Experts on the Regulations annexed to the</w:t>
            </w:r>
            <w:r w:rsidRPr="00D161F4">
              <w:rPr>
                <w:b/>
                <w:sz w:val="20"/>
              </w:rPr>
              <w:br/>
              <w:t>European Agreement concerning the International Carriage</w:t>
            </w:r>
            <w:r w:rsidRPr="00D161F4">
              <w:rPr>
                <w:b/>
                <w:sz w:val="20"/>
              </w:rPr>
              <w:br/>
              <w:t>of Dangerous Goods by Inland Waterways (ADN)</w:t>
            </w:r>
            <w:r w:rsidRPr="00D161F4">
              <w:rPr>
                <w:b/>
                <w:sz w:val="20"/>
              </w:rPr>
              <w:br/>
              <w:t>(ADN Safety Committee)</w:t>
            </w:r>
          </w:p>
          <w:p w:rsidR="00D161F4" w:rsidRPr="00D161F4" w:rsidRDefault="00D161F4" w:rsidP="00D161F4">
            <w:pPr>
              <w:suppressAutoHyphens/>
              <w:spacing w:before="120" w:after="0" w:line="240" w:lineRule="atLeast"/>
              <w:rPr>
                <w:b/>
                <w:sz w:val="20"/>
              </w:rPr>
            </w:pPr>
            <w:r w:rsidRPr="00D161F4">
              <w:rPr>
                <w:b/>
                <w:sz w:val="20"/>
              </w:rPr>
              <w:t>Thirteenth session</w:t>
            </w:r>
          </w:p>
          <w:p w:rsidR="00D161F4" w:rsidRPr="00D161F4" w:rsidRDefault="00D161F4" w:rsidP="00D161F4">
            <w:pPr>
              <w:tabs>
                <w:tab w:val="left" w:pos="567"/>
                <w:tab w:val="left" w:pos="992"/>
                <w:tab w:val="left" w:pos="1418"/>
                <w:tab w:val="left" w:pos="1985"/>
                <w:tab w:val="right" w:pos="9639"/>
              </w:tabs>
              <w:suppressAutoHyphens/>
              <w:spacing w:after="0" w:line="240" w:lineRule="atLeast"/>
              <w:rPr>
                <w:sz w:val="20"/>
              </w:rPr>
            </w:pPr>
            <w:r w:rsidRPr="00D161F4">
              <w:rPr>
                <w:sz w:val="20"/>
              </w:rPr>
              <w:t>Geneva, 23 - 27 January 2017</w:t>
            </w:r>
            <w:r w:rsidRPr="00D161F4">
              <w:rPr>
                <w:sz w:val="20"/>
              </w:rPr>
              <w:br/>
              <w:t>Item 5 (b) of the provisional agenda</w:t>
            </w:r>
          </w:p>
          <w:p w:rsidR="00D161F4" w:rsidRPr="00D161F4" w:rsidRDefault="00D161F4" w:rsidP="00D161F4">
            <w:pPr>
              <w:suppressAutoHyphens/>
              <w:spacing w:after="0" w:line="240" w:lineRule="atLeast"/>
              <w:rPr>
                <w:b/>
                <w:sz w:val="20"/>
              </w:rPr>
            </w:pPr>
            <w:r w:rsidRPr="00D161F4">
              <w:rPr>
                <w:b/>
                <w:sz w:val="20"/>
              </w:rPr>
              <w:t>Proposals for amendments to the Regulations annexed to ADN</w:t>
            </w:r>
          </w:p>
          <w:p w:rsidR="00D161F4" w:rsidRPr="00D161F4" w:rsidRDefault="00D161F4" w:rsidP="00D161F4">
            <w:pPr>
              <w:suppressAutoHyphens/>
              <w:spacing w:after="0" w:line="240" w:lineRule="atLeast"/>
              <w:rPr>
                <w:b/>
                <w:sz w:val="20"/>
              </w:rPr>
            </w:pPr>
            <w:r w:rsidRPr="00D161F4">
              <w:rPr>
                <w:b/>
                <w:sz w:val="20"/>
              </w:rPr>
              <w:t>other proposals</w:t>
            </w:r>
          </w:p>
        </w:tc>
        <w:tc>
          <w:tcPr>
            <w:tcW w:w="2835" w:type="dxa"/>
            <w:tcBorders>
              <w:top w:val="single" w:sz="4" w:space="0" w:color="auto"/>
              <w:bottom w:val="single" w:sz="12" w:space="0" w:color="auto"/>
            </w:tcBorders>
          </w:tcPr>
          <w:p w:rsidR="00D161F4" w:rsidRPr="00D161F4" w:rsidRDefault="00D161F4" w:rsidP="00D161F4">
            <w:pPr>
              <w:suppressAutoHyphens/>
              <w:spacing w:before="120" w:after="0" w:line="240" w:lineRule="atLeast"/>
              <w:rPr>
                <w:sz w:val="20"/>
              </w:rPr>
            </w:pPr>
          </w:p>
          <w:p w:rsidR="00D161F4" w:rsidRPr="00D161F4" w:rsidRDefault="00D161F4" w:rsidP="00D161F4">
            <w:pPr>
              <w:suppressAutoHyphens/>
              <w:spacing w:before="120" w:after="0" w:line="240" w:lineRule="atLeast"/>
              <w:rPr>
                <w:b/>
                <w:sz w:val="20"/>
              </w:rPr>
            </w:pPr>
            <w:r>
              <w:rPr>
                <w:b/>
                <w:sz w:val="20"/>
              </w:rPr>
              <w:t>20</w:t>
            </w:r>
            <w:r w:rsidRPr="00D161F4">
              <w:rPr>
                <w:b/>
                <w:sz w:val="20"/>
              </w:rPr>
              <w:t xml:space="preserve"> January 2017</w:t>
            </w:r>
          </w:p>
        </w:tc>
      </w:tr>
    </w:tbl>
    <w:p w:rsidR="002F3B1A" w:rsidRDefault="00D161F4" w:rsidP="00D161F4">
      <w:pPr>
        <w:pStyle w:val="HChG"/>
        <w:rPr>
          <w:lang w:val="de-DE" w:eastAsia="en-GB" w:bidi="en-GB"/>
        </w:rPr>
      </w:pPr>
      <w:r>
        <w:rPr>
          <w:lang w:val="de-DE" w:eastAsia="en-GB" w:bidi="en-GB"/>
        </w:rPr>
        <w:tab/>
      </w:r>
      <w:r>
        <w:rPr>
          <w:lang w:val="de-DE" w:eastAsia="en-GB" w:bidi="en-GB"/>
        </w:rPr>
        <w:tab/>
      </w:r>
      <w:r w:rsidR="002F3B1A">
        <w:rPr>
          <w:lang w:val="de-DE" w:eastAsia="en-GB" w:bidi="en-GB"/>
        </w:rPr>
        <w:t>Bauwerkstoffe</w:t>
      </w:r>
    </w:p>
    <w:p w:rsidR="00BC51C3" w:rsidRPr="00853BD3" w:rsidRDefault="00D161F4" w:rsidP="00D161F4">
      <w:pPr>
        <w:pStyle w:val="H1G"/>
        <w:rPr>
          <w:sz w:val="20"/>
          <w:vertAlign w:val="superscript"/>
          <w:lang w:val="de-DE"/>
        </w:rPr>
      </w:pPr>
      <w:r>
        <w:rPr>
          <w:snapToGrid w:val="0"/>
          <w:lang w:val="de-DE" w:eastAsia="fr-FR"/>
        </w:rPr>
        <w:tab/>
      </w:r>
      <w:r>
        <w:rPr>
          <w:snapToGrid w:val="0"/>
          <w:lang w:val="de-DE" w:eastAsia="fr-FR"/>
        </w:rPr>
        <w:tab/>
      </w:r>
      <w:r w:rsidR="009F4E31" w:rsidRPr="000A4580">
        <w:rPr>
          <w:snapToGrid w:val="0"/>
          <w:lang w:val="de-DE" w:eastAsia="fr-FR"/>
        </w:rPr>
        <w:t xml:space="preserve">Gemeinsam </w:t>
      </w:r>
      <w:proofErr w:type="spellStart"/>
      <w:r w:rsidR="009F4E31" w:rsidRPr="00D161F4">
        <w:rPr>
          <w:lang w:bidi="en-GB"/>
        </w:rPr>
        <w:t>e</w:t>
      </w:r>
      <w:r w:rsidR="00905493" w:rsidRPr="00D161F4">
        <w:rPr>
          <w:lang w:bidi="en-GB"/>
        </w:rPr>
        <w:t>ingereicht</w:t>
      </w:r>
      <w:proofErr w:type="spellEnd"/>
      <w:r w:rsidR="00905493" w:rsidRPr="000A4580">
        <w:rPr>
          <w:snapToGrid w:val="0"/>
          <w:lang w:val="de-DE" w:eastAsia="fr-FR"/>
        </w:rPr>
        <w:t xml:space="preserve"> </w:t>
      </w:r>
      <w:r w:rsidR="00AF42C7" w:rsidRPr="000A4580">
        <w:rPr>
          <w:snapToGrid w:val="0"/>
          <w:lang w:val="de-DE" w:eastAsia="fr-FR"/>
        </w:rPr>
        <w:t xml:space="preserve">durch die </w:t>
      </w:r>
      <w:r w:rsidR="0045718A" w:rsidRPr="000A4580">
        <w:rPr>
          <w:snapToGrid w:val="0"/>
          <w:lang w:val="de-DE" w:eastAsia="fr-FR"/>
        </w:rPr>
        <w:t xml:space="preserve">Europäische </w:t>
      </w:r>
      <w:proofErr w:type="spellStart"/>
      <w:r w:rsidR="0045718A" w:rsidRPr="000A4580">
        <w:rPr>
          <w:snapToGrid w:val="0"/>
          <w:lang w:val="de-DE" w:eastAsia="fr-FR"/>
        </w:rPr>
        <w:t>Binnenschif</w:t>
      </w:r>
      <w:r w:rsidR="000A1F33" w:rsidRPr="000A4580">
        <w:rPr>
          <w:snapToGrid w:val="0"/>
          <w:lang w:val="de-DE" w:eastAsia="fr-FR"/>
        </w:rPr>
        <w:t>f</w:t>
      </w:r>
      <w:r w:rsidR="0045718A" w:rsidRPr="000A4580">
        <w:rPr>
          <w:snapToGrid w:val="0"/>
          <w:lang w:val="de-DE" w:eastAsia="fr-FR"/>
        </w:rPr>
        <w:t>fahrts</w:t>
      </w:r>
      <w:proofErr w:type="spellEnd"/>
      <w:r w:rsidR="00CF33C1" w:rsidRPr="000A4580">
        <w:rPr>
          <w:snapToGrid w:val="0"/>
          <w:lang w:val="de-DE" w:eastAsia="fr-FR"/>
        </w:rPr>
        <w:t xml:space="preserve"> U</w:t>
      </w:r>
      <w:r w:rsidR="0045718A" w:rsidRPr="000A4580">
        <w:rPr>
          <w:snapToGrid w:val="0"/>
          <w:lang w:val="de-DE" w:eastAsia="fr-FR"/>
        </w:rPr>
        <w:t>nion</w:t>
      </w:r>
      <w:r w:rsidR="009F4E31" w:rsidRPr="000A4580">
        <w:rPr>
          <w:snapToGrid w:val="0"/>
          <w:lang w:val="de-DE" w:eastAsia="fr-FR"/>
        </w:rPr>
        <w:t xml:space="preserve"> (EBU)</w:t>
      </w:r>
      <w:r w:rsidR="00935E15" w:rsidRPr="000A4580">
        <w:rPr>
          <w:snapToGrid w:val="0"/>
          <w:lang w:val="de-DE" w:eastAsia="fr-FR"/>
        </w:rPr>
        <w:t xml:space="preserve">, ERSTU (European River </w:t>
      </w:r>
      <w:proofErr w:type="spellStart"/>
      <w:r w:rsidR="00935E15" w:rsidRPr="000A4580">
        <w:rPr>
          <w:snapToGrid w:val="0"/>
          <w:lang w:val="de-DE" w:eastAsia="fr-FR"/>
        </w:rPr>
        <w:t>Sea</w:t>
      </w:r>
      <w:proofErr w:type="spellEnd"/>
      <w:r w:rsidR="00935E15" w:rsidRPr="000A4580">
        <w:rPr>
          <w:snapToGrid w:val="0"/>
          <w:lang w:val="de-DE" w:eastAsia="fr-FR"/>
        </w:rPr>
        <w:t xml:space="preserve"> Transport Union) </w:t>
      </w:r>
      <w:r w:rsidR="009F4E31" w:rsidRPr="000A4580">
        <w:rPr>
          <w:snapToGrid w:val="0"/>
          <w:lang w:val="de-DE" w:eastAsia="fr-FR"/>
        </w:rPr>
        <w:t>und die Europäische Schifferorganisation</w:t>
      </w:r>
      <w:r w:rsidR="00AC5A95">
        <w:rPr>
          <w:snapToGrid w:val="0"/>
          <w:lang w:val="de-DE" w:eastAsia="fr-FR"/>
        </w:rPr>
        <w:t xml:space="preserve"> </w:t>
      </w:r>
      <w:r w:rsidR="009F4E31" w:rsidRPr="000A4580">
        <w:rPr>
          <w:snapToGrid w:val="0"/>
          <w:lang w:val="de-DE" w:eastAsia="fr-FR"/>
        </w:rPr>
        <w:t>(ESO)</w:t>
      </w:r>
      <w:bookmarkStart w:id="0" w:name="_GoBack"/>
      <w:bookmarkEnd w:id="0"/>
    </w:p>
    <w:p w:rsidR="00A31582" w:rsidRDefault="00AC5A95" w:rsidP="00BC2042">
      <w:pPr>
        <w:tabs>
          <w:tab w:val="left" w:pos="1134"/>
          <w:tab w:val="left" w:pos="1985"/>
          <w:tab w:val="left" w:pos="2552"/>
          <w:tab w:val="left" w:pos="3119"/>
          <w:tab w:val="left" w:pos="3686"/>
        </w:tabs>
        <w:spacing w:after="0"/>
        <w:ind w:left="1134" w:right="1134"/>
        <w:jc w:val="both"/>
        <w:rPr>
          <w:sz w:val="20"/>
          <w:lang w:val="de-DE"/>
        </w:rPr>
      </w:pPr>
      <w:r>
        <w:rPr>
          <w:sz w:val="20"/>
          <w:lang w:val="de-DE"/>
        </w:rPr>
        <w:t xml:space="preserve">Der ADN Sicherheitsausschuss hat sich in </w:t>
      </w:r>
      <w:r w:rsidR="002F3B1A">
        <w:rPr>
          <w:sz w:val="20"/>
          <w:lang w:val="de-DE"/>
        </w:rPr>
        <w:t>den letzten Sitzungen wiederholt mit dem Thema befa</w:t>
      </w:r>
      <w:r w:rsidR="00527224">
        <w:rPr>
          <w:sz w:val="20"/>
          <w:lang w:val="de-DE"/>
        </w:rPr>
        <w:t>ss</w:t>
      </w:r>
      <w:r w:rsidR="002F3B1A">
        <w:rPr>
          <w:sz w:val="20"/>
          <w:lang w:val="de-DE"/>
        </w:rPr>
        <w:t>t. In der 29. Sitzung wurde bekräftigt, dass die Vorschläge in die richtige Richtung gehen. Dabei geht es um folgende Punkte:</w:t>
      </w:r>
    </w:p>
    <w:p w:rsidR="002F3B1A" w:rsidRDefault="002F3B1A" w:rsidP="00BC2042">
      <w:pPr>
        <w:tabs>
          <w:tab w:val="left" w:pos="1134"/>
          <w:tab w:val="left" w:pos="1985"/>
          <w:tab w:val="left" w:pos="2552"/>
          <w:tab w:val="left" w:pos="3119"/>
          <w:tab w:val="left" w:pos="3686"/>
        </w:tabs>
        <w:spacing w:before="60" w:after="0"/>
        <w:ind w:left="1134" w:right="1134"/>
        <w:jc w:val="both"/>
        <w:rPr>
          <w:sz w:val="20"/>
          <w:lang w:val="de-DE"/>
        </w:rPr>
      </w:pPr>
      <w:r>
        <w:rPr>
          <w:sz w:val="20"/>
          <w:lang w:val="de-DE"/>
        </w:rPr>
        <w:t xml:space="preserve">- Darstellung des Sachverhalts </w:t>
      </w:r>
      <w:r w:rsidR="00390564">
        <w:rPr>
          <w:sz w:val="20"/>
          <w:lang w:val="de-DE"/>
        </w:rPr>
        <w:t xml:space="preserve">aus </w:t>
      </w:r>
      <w:r w:rsidR="00951033">
        <w:rPr>
          <w:sz w:val="20"/>
          <w:lang w:val="de-DE"/>
        </w:rPr>
        <w:t xml:space="preserve">bisher </w:t>
      </w:r>
      <w:r w:rsidR="00390564">
        <w:rPr>
          <w:sz w:val="20"/>
          <w:lang w:val="de-DE"/>
        </w:rPr>
        <w:t xml:space="preserve">9.3.x.0.3 a) bis c) </w:t>
      </w:r>
      <w:r>
        <w:rPr>
          <w:sz w:val="20"/>
          <w:lang w:val="de-DE"/>
        </w:rPr>
        <w:t>in Tabellenform</w:t>
      </w:r>
      <w:r w:rsidR="00951033">
        <w:rPr>
          <w:sz w:val="20"/>
          <w:lang w:val="de-DE"/>
        </w:rPr>
        <w:t xml:space="preserve"> zu 9.3.x.0.3</w:t>
      </w:r>
      <w:r w:rsidR="00AA0878">
        <w:rPr>
          <w:sz w:val="20"/>
          <w:lang w:val="de-DE"/>
        </w:rPr>
        <w:t xml:space="preserve"> (siehe Anlage).</w:t>
      </w:r>
    </w:p>
    <w:p w:rsidR="00390564" w:rsidRDefault="00390564" w:rsidP="00BC2042">
      <w:pPr>
        <w:tabs>
          <w:tab w:val="left" w:pos="1134"/>
          <w:tab w:val="left" w:pos="1985"/>
          <w:tab w:val="left" w:pos="2552"/>
          <w:tab w:val="left" w:pos="3119"/>
          <w:tab w:val="left" w:pos="3686"/>
        </w:tabs>
        <w:spacing w:before="60" w:after="0"/>
        <w:ind w:left="1134" w:right="1134"/>
        <w:jc w:val="both"/>
        <w:rPr>
          <w:sz w:val="20"/>
          <w:lang w:val="de-DE"/>
        </w:rPr>
      </w:pPr>
      <w:r>
        <w:rPr>
          <w:sz w:val="20"/>
          <w:lang w:val="de-DE"/>
        </w:rPr>
        <w:t xml:space="preserve">- Der Text von Unterpunkt d) von 9.3.x.0.3 bleibt unverändert in Textform </w:t>
      </w:r>
      <w:r w:rsidR="00951033">
        <w:rPr>
          <w:sz w:val="20"/>
          <w:lang w:val="de-DE"/>
        </w:rPr>
        <w:t xml:space="preserve">in 9.3.x.0.3 </w:t>
      </w:r>
      <w:r>
        <w:rPr>
          <w:sz w:val="20"/>
          <w:lang w:val="de-DE"/>
        </w:rPr>
        <w:t>erhalten.</w:t>
      </w:r>
    </w:p>
    <w:p w:rsidR="002F3B1A" w:rsidRDefault="002F3B1A" w:rsidP="00BC2042">
      <w:pPr>
        <w:tabs>
          <w:tab w:val="left" w:pos="1134"/>
          <w:tab w:val="left" w:pos="1985"/>
          <w:tab w:val="left" w:pos="2552"/>
          <w:tab w:val="left" w:pos="3119"/>
          <w:tab w:val="left" w:pos="3686"/>
        </w:tabs>
        <w:spacing w:before="60" w:after="0"/>
        <w:ind w:left="1134" w:right="1134"/>
        <w:jc w:val="both"/>
        <w:rPr>
          <w:sz w:val="20"/>
          <w:lang w:val="de-DE"/>
        </w:rPr>
      </w:pPr>
      <w:r>
        <w:rPr>
          <w:sz w:val="20"/>
          <w:lang w:val="de-DE"/>
        </w:rPr>
        <w:t xml:space="preserve">- </w:t>
      </w:r>
      <w:r w:rsidR="00AA0878">
        <w:rPr>
          <w:sz w:val="20"/>
          <w:lang w:val="de-DE"/>
        </w:rPr>
        <w:t>Folgende Leitlinie für Unterscheidung</w:t>
      </w:r>
      <w:r>
        <w:rPr>
          <w:sz w:val="20"/>
          <w:lang w:val="de-DE"/>
        </w:rPr>
        <w:t xml:space="preserve"> zwischen festen und losen Ausrüstungsbestandteilen</w:t>
      </w:r>
      <w:r w:rsidR="00AA0878">
        <w:rPr>
          <w:sz w:val="20"/>
          <w:lang w:val="de-DE"/>
        </w:rPr>
        <w:t>:</w:t>
      </w:r>
    </w:p>
    <w:p w:rsidR="002F3B1A" w:rsidRDefault="002F3B1A" w:rsidP="00BC2042">
      <w:pPr>
        <w:tabs>
          <w:tab w:val="left" w:pos="1134"/>
          <w:tab w:val="left" w:pos="1985"/>
          <w:tab w:val="left" w:pos="2552"/>
          <w:tab w:val="left" w:pos="3119"/>
          <w:tab w:val="left" w:pos="3686"/>
        </w:tabs>
        <w:spacing w:before="60" w:after="0"/>
        <w:ind w:left="1134" w:right="1134"/>
        <w:jc w:val="both"/>
        <w:rPr>
          <w:sz w:val="20"/>
          <w:lang w:val="de-DE"/>
        </w:rPr>
      </w:pPr>
      <w:r>
        <w:rPr>
          <w:sz w:val="20"/>
          <w:lang w:val="de-DE"/>
        </w:rPr>
        <w:t xml:space="preserve">  • Feste Ausrüstungsbestandteile </w:t>
      </w:r>
      <w:r w:rsidR="00AA0878">
        <w:rPr>
          <w:sz w:val="20"/>
          <w:lang w:val="de-DE"/>
        </w:rPr>
        <w:t xml:space="preserve">gehören in </w:t>
      </w:r>
      <w:r>
        <w:rPr>
          <w:sz w:val="20"/>
          <w:lang w:val="de-DE"/>
        </w:rPr>
        <w:t xml:space="preserve">Tabelle </w:t>
      </w:r>
      <w:r w:rsidR="00951033">
        <w:rPr>
          <w:sz w:val="20"/>
          <w:lang w:val="de-DE"/>
        </w:rPr>
        <w:t>9.3.x.0.3</w:t>
      </w:r>
    </w:p>
    <w:p w:rsidR="002F3B1A" w:rsidRDefault="002F3B1A" w:rsidP="00BC2042">
      <w:pPr>
        <w:tabs>
          <w:tab w:val="left" w:pos="1134"/>
          <w:tab w:val="left" w:pos="1985"/>
          <w:tab w:val="left" w:pos="2552"/>
          <w:tab w:val="left" w:pos="3119"/>
          <w:tab w:val="left" w:pos="3686"/>
        </w:tabs>
        <w:spacing w:before="60" w:after="0"/>
        <w:ind w:left="1134" w:right="1134"/>
        <w:jc w:val="both"/>
        <w:rPr>
          <w:sz w:val="20"/>
          <w:lang w:val="de-DE"/>
        </w:rPr>
      </w:pPr>
      <w:r>
        <w:rPr>
          <w:sz w:val="20"/>
          <w:lang w:val="de-DE"/>
        </w:rPr>
        <w:t xml:space="preserve">  • Für lose Ausrüstungsbestandteile wird </w:t>
      </w:r>
      <w:r w:rsidR="00527224">
        <w:rPr>
          <w:sz w:val="20"/>
          <w:lang w:val="de-DE"/>
        </w:rPr>
        <w:t xml:space="preserve">folgende </w:t>
      </w:r>
      <w:r>
        <w:rPr>
          <w:sz w:val="20"/>
          <w:lang w:val="de-DE"/>
        </w:rPr>
        <w:t xml:space="preserve">Bestimmung in </w:t>
      </w:r>
      <w:r w:rsidR="00390564">
        <w:rPr>
          <w:sz w:val="20"/>
          <w:lang w:val="de-DE"/>
        </w:rPr>
        <w:t xml:space="preserve">7.1.2.3 und 7.2.2.3 </w:t>
      </w:r>
      <w:r>
        <w:rPr>
          <w:sz w:val="20"/>
          <w:lang w:val="de-DE"/>
        </w:rPr>
        <w:t>eingefügt.</w:t>
      </w:r>
    </w:p>
    <w:p w:rsidR="002F3B1A" w:rsidRDefault="002F3B1A" w:rsidP="00BC2042">
      <w:pPr>
        <w:tabs>
          <w:tab w:val="left" w:pos="1134"/>
          <w:tab w:val="left" w:pos="1985"/>
          <w:tab w:val="left" w:pos="2552"/>
          <w:tab w:val="left" w:pos="3119"/>
          <w:tab w:val="left" w:pos="3686"/>
        </w:tabs>
        <w:spacing w:after="0" w:line="120" w:lineRule="exact"/>
        <w:ind w:left="1134" w:right="1134"/>
        <w:jc w:val="both"/>
        <w:rPr>
          <w:sz w:val="20"/>
          <w:lang w:val="de-DE"/>
        </w:rPr>
      </w:pPr>
    </w:p>
    <w:p w:rsidR="00527224" w:rsidRDefault="00527224" w:rsidP="00BC2042">
      <w:pPr>
        <w:tabs>
          <w:tab w:val="left" w:pos="1134"/>
          <w:tab w:val="left" w:pos="1985"/>
          <w:tab w:val="left" w:pos="2552"/>
          <w:tab w:val="left" w:pos="3119"/>
          <w:tab w:val="left" w:pos="3686"/>
        </w:tabs>
        <w:spacing w:after="0"/>
        <w:ind w:left="1134" w:right="1134"/>
        <w:jc w:val="both"/>
        <w:rPr>
          <w:sz w:val="20"/>
          <w:lang w:val="de-DE"/>
        </w:rPr>
      </w:pPr>
      <w:r>
        <w:rPr>
          <w:sz w:val="20"/>
          <w:lang w:val="de-DE"/>
        </w:rPr>
        <w:t>„Im Bereich der Ladung dürfen nur solche losen Ausrüstungsgegenstände verwendet werden, die aus Werkstoffen bestehen, die weder durch die Ladung angegriffen werden oder eine Zersetzung der Ladung verursachen noch mit ihr schädliche oder gefährliche Verbindungen eingehen können, sofern sie mit der Ladung in Berührung kommen können.“</w:t>
      </w:r>
    </w:p>
    <w:p w:rsidR="00527224" w:rsidRDefault="00527224" w:rsidP="00BC2042">
      <w:pPr>
        <w:tabs>
          <w:tab w:val="left" w:pos="1134"/>
          <w:tab w:val="left" w:pos="1985"/>
          <w:tab w:val="left" w:pos="2552"/>
          <w:tab w:val="left" w:pos="3119"/>
          <w:tab w:val="left" w:pos="3686"/>
        </w:tabs>
        <w:spacing w:after="0"/>
        <w:ind w:left="1134" w:right="1134"/>
        <w:jc w:val="both"/>
        <w:rPr>
          <w:sz w:val="20"/>
          <w:lang w:val="de-DE"/>
        </w:rPr>
      </w:pPr>
    </w:p>
    <w:p w:rsidR="00951033" w:rsidRDefault="00951033" w:rsidP="00BC2042">
      <w:pPr>
        <w:tabs>
          <w:tab w:val="left" w:pos="1134"/>
          <w:tab w:val="left" w:pos="1985"/>
          <w:tab w:val="left" w:pos="2552"/>
          <w:tab w:val="left" w:pos="3119"/>
          <w:tab w:val="left" w:pos="3686"/>
        </w:tabs>
        <w:spacing w:after="0"/>
        <w:ind w:left="1134" w:right="1134"/>
        <w:jc w:val="both"/>
        <w:rPr>
          <w:sz w:val="20"/>
          <w:lang w:val="de-DE"/>
        </w:rPr>
      </w:pPr>
      <w:r>
        <w:rPr>
          <w:sz w:val="20"/>
          <w:lang w:val="de-DE"/>
        </w:rPr>
        <w:t>Anmerkung: Diese Formulierung wurde an Unterabschnitt 9.3.1.0.1 angelehnt.</w:t>
      </w:r>
    </w:p>
    <w:p w:rsidR="00527224" w:rsidRDefault="00527224" w:rsidP="00BC2042">
      <w:pPr>
        <w:tabs>
          <w:tab w:val="left" w:pos="1134"/>
          <w:tab w:val="left" w:pos="1985"/>
          <w:tab w:val="left" w:pos="2552"/>
          <w:tab w:val="left" w:pos="3119"/>
          <w:tab w:val="left" w:pos="3686"/>
        </w:tabs>
        <w:spacing w:after="0"/>
        <w:ind w:left="1134" w:right="1134"/>
        <w:jc w:val="both"/>
        <w:rPr>
          <w:sz w:val="20"/>
          <w:lang w:val="de-DE"/>
        </w:rPr>
      </w:pPr>
    </w:p>
    <w:p w:rsidR="00527224" w:rsidRDefault="00951033" w:rsidP="00BC2042">
      <w:pPr>
        <w:tabs>
          <w:tab w:val="left" w:pos="1134"/>
          <w:tab w:val="left" w:pos="1985"/>
          <w:tab w:val="left" w:pos="2552"/>
          <w:tab w:val="left" w:pos="3119"/>
          <w:tab w:val="left" w:pos="3686"/>
        </w:tabs>
        <w:spacing w:after="0"/>
        <w:ind w:left="1134" w:right="1134"/>
        <w:jc w:val="both"/>
        <w:rPr>
          <w:sz w:val="20"/>
          <w:lang w:val="de-DE"/>
        </w:rPr>
      </w:pPr>
      <w:r>
        <w:rPr>
          <w:sz w:val="20"/>
          <w:lang w:val="de-DE"/>
        </w:rPr>
        <w:t>Das Gewerbe bittet um Prüfung und Genehmigung de</w:t>
      </w:r>
      <w:r w:rsidR="00AA0878">
        <w:rPr>
          <w:sz w:val="20"/>
          <w:lang w:val="de-DE"/>
        </w:rPr>
        <w:t>r</w:t>
      </w:r>
      <w:r>
        <w:rPr>
          <w:sz w:val="20"/>
          <w:lang w:val="de-DE"/>
        </w:rPr>
        <w:t xml:space="preserve"> Vorschl</w:t>
      </w:r>
      <w:r w:rsidR="00AA0878">
        <w:rPr>
          <w:sz w:val="20"/>
          <w:lang w:val="de-DE"/>
        </w:rPr>
        <w:t>äge</w:t>
      </w:r>
      <w:r>
        <w:rPr>
          <w:sz w:val="20"/>
          <w:lang w:val="de-DE"/>
        </w:rPr>
        <w:t>.</w:t>
      </w:r>
    </w:p>
    <w:p w:rsidR="00527224" w:rsidRDefault="00527224" w:rsidP="00662D1A">
      <w:pPr>
        <w:tabs>
          <w:tab w:val="left" w:pos="567"/>
          <w:tab w:val="left" w:pos="1985"/>
          <w:tab w:val="left" w:pos="2552"/>
          <w:tab w:val="left" w:pos="3119"/>
          <w:tab w:val="left" w:pos="3686"/>
        </w:tabs>
        <w:spacing w:after="0"/>
        <w:ind w:left="567" w:hanging="567"/>
        <w:jc w:val="both"/>
        <w:rPr>
          <w:sz w:val="20"/>
          <w:lang w:val="de-DE"/>
        </w:rPr>
      </w:pPr>
    </w:p>
    <w:p w:rsidR="00E65E1D" w:rsidRDefault="00E65E1D" w:rsidP="00232B5A">
      <w:pPr>
        <w:tabs>
          <w:tab w:val="left" w:pos="567"/>
          <w:tab w:val="left" w:pos="1985"/>
          <w:tab w:val="left" w:pos="2552"/>
          <w:tab w:val="left" w:pos="3119"/>
          <w:tab w:val="left" w:pos="3686"/>
        </w:tabs>
        <w:spacing w:after="0"/>
        <w:ind w:left="567" w:hanging="567"/>
        <w:jc w:val="both"/>
        <w:rPr>
          <w:sz w:val="20"/>
          <w:lang w:val="de-DE"/>
        </w:rPr>
      </w:pPr>
    </w:p>
    <w:p w:rsidR="00E65E1D" w:rsidRDefault="00E65E1D" w:rsidP="00232B5A">
      <w:pPr>
        <w:tabs>
          <w:tab w:val="left" w:pos="567"/>
          <w:tab w:val="left" w:pos="1985"/>
          <w:tab w:val="left" w:pos="2552"/>
          <w:tab w:val="left" w:pos="3119"/>
          <w:tab w:val="left" w:pos="3686"/>
        </w:tabs>
        <w:spacing w:after="0"/>
        <w:ind w:left="567" w:hanging="567"/>
        <w:jc w:val="both"/>
        <w:rPr>
          <w:sz w:val="20"/>
          <w:lang w:val="de-DE"/>
        </w:rPr>
      </w:pPr>
    </w:p>
    <w:p w:rsidR="001F13D4" w:rsidRPr="001A6E17" w:rsidRDefault="001F13D4" w:rsidP="009F4E31">
      <w:pPr>
        <w:pStyle w:val="N2"/>
        <w:tabs>
          <w:tab w:val="clear" w:pos="-340"/>
          <w:tab w:val="clear" w:pos="284"/>
          <w:tab w:val="clear" w:pos="454"/>
          <w:tab w:val="clear" w:pos="680"/>
          <w:tab w:val="left" w:pos="-142"/>
        </w:tabs>
        <w:spacing w:line="240" w:lineRule="exact"/>
        <w:ind w:left="0" w:firstLine="0"/>
        <w:rPr>
          <w:rFonts w:ascii="Times New Roman" w:hAnsi="Times New Roman"/>
          <w:sz w:val="20"/>
          <w:lang w:val="de-DE"/>
        </w:rPr>
        <w:sectPr w:rsidR="001F13D4" w:rsidRPr="001A6E17" w:rsidSect="00D161F4">
          <w:headerReference w:type="even" r:id="rId8"/>
          <w:footerReference w:type="even" r:id="rId9"/>
          <w:footerReference w:type="default" r:id="rId10"/>
          <w:headerReference w:type="first" r:id="rId11"/>
          <w:endnotePr>
            <w:numFmt w:val="decimal"/>
          </w:endnotePr>
          <w:type w:val="continuous"/>
          <w:pgSz w:w="11907" w:h="16840" w:code="9"/>
          <w:pgMar w:top="1701" w:right="1134" w:bottom="2268" w:left="1134" w:header="1134" w:footer="1701" w:gutter="0"/>
          <w:cols w:space="720"/>
          <w:docGrid w:linePitch="326"/>
        </w:sectPr>
      </w:pPr>
    </w:p>
    <w:p w:rsidR="001F13D4" w:rsidRPr="006E1D8C" w:rsidRDefault="001F13D4" w:rsidP="001A6E17">
      <w:pPr>
        <w:keepNext/>
        <w:keepLines/>
        <w:suppressAutoHyphens/>
        <w:spacing w:before="360" w:after="0" w:line="300" w:lineRule="exact"/>
        <w:ind w:right="1134"/>
        <w:rPr>
          <w:b/>
          <w:sz w:val="28"/>
          <w:szCs w:val="28"/>
          <w:lang w:val="de-DE" w:eastAsia="fr-FR"/>
        </w:rPr>
      </w:pPr>
      <w:r w:rsidRPr="001F13D4">
        <w:rPr>
          <w:b/>
          <w:sz w:val="28"/>
          <w:szCs w:val="28"/>
          <w:lang w:val="de-DE" w:eastAsia="fr-FR"/>
        </w:rPr>
        <w:lastRenderedPageBreak/>
        <w:t xml:space="preserve">9.3.x.0.3 </w:t>
      </w:r>
    </w:p>
    <w:p w:rsidR="001F13D4" w:rsidRDefault="006A2FC6" w:rsidP="001A6E17">
      <w:pPr>
        <w:keepNext/>
        <w:keepLines/>
        <w:tabs>
          <w:tab w:val="right" w:pos="851"/>
        </w:tabs>
        <w:suppressAutoHyphens/>
        <w:spacing w:before="360" w:after="0" w:line="300" w:lineRule="exact"/>
        <w:ind w:right="1134"/>
        <w:rPr>
          <w:szCs w:val="24"/>
          <w:lang w:val="de-DE" w:eastAsia="fr-FR"/>
        </w:rPr>
      </w:pPr>
      <w:r w:rsidRPr="006A2FC6">
        <w:rPr>
          <w:szCs w:val="24"/>
          <w:lang w:val="de-DE" w:eastAsia="fr-FR"/>
        </w:rPr>
        <w:t>Die Verwendung von Holz, Aluminiumlegierungen, Kunststoff und Gummi im Bereich der</w:t>
      </w:r>
      <w:r>
        <w:rPr>
          <w:szCs w:val="24"/>
          <w:lang w:val="de-DE" w:eastAsia="fr-FR"/>
        </w:rPr>
        <w:t xml:space="preserve"> </w:t>
      </w:r>
      <w:r w:rsidRPr="006A2FC6">
        <w:rPr>
          <w:szCs w:val="24"/>
          <w:lang w:val="de-DE" w:eastAsia="fr-FR"/>
        </w:rPr>
        <w:t>Ladung ist an der nachfolgenden Tabelle auszurichten (</w:t>
      </w:r>
      <w:r w:rsidRPr="006A2FC6">
        <w:rPr>
          <w:i/>
          <w:szCs w:val="24"/>
          <w:lang w:val="de-DE" w:eastAsia="fr-FR"/>
        </w:rPr>
        <w:t>X bedeutet zugelassen</w:t>
      </w:r>
      <w:r w:rsidRPr="006A2FC6">
        <w:rPr>
          <w:szCs w:val="24"/>
          <w:lang w:val="de-DE" w:eastAsia="fr-FR"/>
        </w:rPr>
        <w:t>):</w:t>
      </w:r>
    </w:p>
    <w:p w:rsidR="006A2FC6" w:rsidRPr="006A2FC6" w:rsidRDefault="006A2FC6" w:rsidP="006A2FC6">
      <w:pPr>
        <w:keepNext/>
        <w:keepLines/>
        <w:tabs>
          <w:tab w:val="right" w:pos="851"/>
        </w:tabs>
        <w:suppressAutoHyphens/>
        <w:spacing w:after="0" w:line="240" w:lineRule="exact"/>
        <w:ind w:right="1134"/>
        <w:rPr>
          <w:szCs w:val="24"/>
          <w:lang w:val="de-DE" w:eastAsia="fr-FR"/>
        </w:rPr>
      </w:pPr>
    </w:p>
    <w:tbl>
      <w:tblPr>
        <w:tblW w:w="13280" w:type="dxa"/>
        <w:tblInd w:w="55" w:type="dxa"/>
        <w:tblCellMar>
          <w:left w:w="70" w:type="dxa"/>
          <w:right w:w="70" w:type="dxa"/>
        </w:tblCellMar>
        <w:tblLook w:val="04A0" w:firstRow="1" w:lastRow="0" w:firstColumn="1" w:lastColumn="0" w:noHBand="0" w:noVBand="1"/>
      </w:tblPr>
      <w:tblGrid>
        <w:gridCol w:w="6841"/>
        <w:gridCol w:w="1353"/>
        <w:gridCol w:w="2380"/>
        <w:gridCol w:w="1353"/>
        <w:gridCol w:w="1353"/>
      </w:tblGrid>
      <w:tr w:rsidR="001F13D4" w:rsidRPr="001F13D4" w:rsidTr="002F3B1A">
        <w:trPr>
          <w:trHeight w:val="227"/>
        </w:trPr>
        <w:tc>
          <w:tcPr>
            <w:tcW w:w="68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1F13D4" w:rsidRPr="001F13D4" w:rsidRDefault="001F13D4" w:rsidP="001F13D4">
            <w:pPr>
              <w:spacing w:after="0"/>
              <w:rPr>
                <w:i/>
                <w:sz w:val="20"/>
                <w:lang w:val="de-DE" w:eastAsia="fr-FR"/>
              </w:rPr>
            </w:pPr>
            <w:r w:rsidRPr="001F13D4">
              <w:rPr>
                <w:i/>
                <w:sz w:val="20"/>
                <w:lang w:val="de-DE" w:eastAsia="fr-FR"/>
              </w:rPr>
              <w:t> </w:t>
            </w:r>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r w:rsidRPr="001F13D4">
              <w:rPr>
                <w:i/>
                <w:sz w:val="20"/>
                <w:lang w:val="fr-FR" w:eastAsia="fr-FR"/>
              </w:rPr>
              <w:t>Holz</w:t>
            </w:r>
          </w:p>
        </w:tc>
        <w:tc>
          <w:tcPr>
            <w:tcW w:w="2380"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proofErr w:type="spellStart"/>
            <w:r w:rsidRPr="001F13D4">
              <w:rPr>
                <w:i/>
                <w:sz w:val="20"/>
                <w:lang w:val="fr-FR" w:eastAsia="fr-FR"/>
              </w:rPr>
              <w:t>Aluminiumlegierungen</w:t>
            </w:r>
            <w:proofErr w:type="spellEnd"/>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proofErr w:type="spellStart"/>
            <w:r w:rsidRPr="001F13D4">
              <w:rPr>
                <w:i/>
                <w:sz w:val="20"/>
                <w:lang w:val="fr-FR" w:eastAsia="fr-FR"/>
              </w:rPr>
              <w:t>Kunststoff</w:t>
            </w:r>
            <w:proofErr w:type="spellEnd"/>
          </w:p>
        </w:tc>
        <w:tc>
          <w:tcPr>
            <w:tcW w:w="1353" w:type="dxa"/>
            <w:tcBorders>
              <w:top w:val="single" w:sz="4" w:space="0" w:color="auto"/>
              <w:left w:val="nil"/>
              <w:bottom w:val="single" w:sz="8" w:space="0" w:color="auto"/>
              <w:right w:val="single" w:sz="8" w:space="0" w:color="auto"/>
            </w:tcBorders>
            <w:shd w:val="clear" w:color="auto" w:fill="auto"/>
            <w:noWrap/>
            <w:vAlign w:val="bottom"/>
            <w:hideMark/>
          </w:tcPr>
          <w:p w:rsidR="001F13D4" w:rsidRPr="001F13D4" w:rsidRDefault="001F13D4" w:rsidP="001F13D4">
            <w:pPr>
              <w:spacing w:after="0"/>
              <w:jc w:val="center"/>
              <w:rPr>
                <w:i/>
                <w:sz w:val="20"/>
                <w:lang w:val="fr-FR" w:eastAsia="fr-FR"/>
              </w:rPr>
            </w:pPr>
            <w:r w:rsidRPr="001F13D4">
              <w:rPr>
                <w:i/>
                <w:sz w:val="20"/>
                <w:lang w:val="fr-FR" w:eastAsia="fr-FR"/>
              </w:rPr>
              <w:t>Gummi</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fr-FR" w:eastAsia="fr-FR"/>
              </w:rPr>
            </w:pPr>
            <w:proofErr w:type="spellStart"/>
            <w:r w:rsidRPr="001F13D4">
              <w:rPr>
                <w:sz w:val="20"/>
                <w:lang w:val="fr-FR" w:eastAsia="fr-FR"/>
              </w:rPr>
              <w:t>Landstege</w:t>
            </w:r>
            <w:proofErr w:type="spellEnd"/>
            <w:r w:rsidRPr="001F13D4">
              <w:rPr>
                <w:sz w:val="20"/>
                <w:lang w:val="fr-FR" w:eastAsia="fr-FR"/>
              </w:rPr>
              <w:t xml:space="preserve">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fr-FR" w:eastAsia="fr-FR"/>
              </w:rPr>
            </w:pPr>
            <w:proofErr w:type="spellStart"/>
            <w:r w:rsidRPr="001F13D4">
              <w:rPr>
                <w:sz w:val="20"/>
                <w:lang w:val="fr-FR" w:eastAsia="fr-FR"/>
              </w:rPr>
              <w:t>Außenbordtreppen</w:t>
            </w:r>
            <w:proofErr w:type="spellEnd"/>
            <w:r w:rsidRPr="001F13D4">
              <w:rPr>
                <w:sz w:val="20"/>
                <w:lang w:val="fr-FR" w:eastAsia="fr-FR"/>
              </w:rPr>
              <w:t xml:space="preserve"> und </w:t>
            </w:r>
            <w:proofErr w:type="spellStart"/>
            <w:r w:rsidRPr="001F13D4">
              <w:rPr>
                <w:sz w:val="20"/>
                <w:lang w:val="fr-FR" w:eastAsia="fr-FR"/>
              </w:rPr>
              <w:t>Gehwege</w:t>
            </w:r>
            <w:proofErr w:type="spellEnd"/>
            <w:r w:rsidRPr="001F13D4">
              <w:rPr>
                <w:sz w:val="20"/>
                <w:lang w:val="fr-FR" w:eastAsia="fr-FR"/>
              </w:rPr>
              <w:t xml:space="preserve"> (</w:t>
            </w:r>
            <w:proofErr w:type="spellStart"/>
            <w:r w:rsidRPr="001F13D4">
              <w:rPr>
                <w:sz w:val="20"/>
                <w:lang w:val="fr-FR" w:eastAsia="fr-FR"/>
              </w:rPr>
              <w:t>Laufstege</w:t>
            </w:r>
            <w:proofErr w:type="spellEnd"/>
            <w:r w:rsidRPr="001F13D4">
              <w:rPr>
                <w:sz w:val="20"/>
                <w:lang w:val="fr-FR" w:eastAsia="fr-FR"/>
              </w:rPr>
              <w:t>)</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die Lagerung der vom Schiffskörper unabhängigen Tanks sowie die Lagerung von Einrichtungen und Ausrüstungen</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de-DE" w:eastAsia="fr-FR"/>
              </w:rPr>
            </w:pPr>
            <w:r w:rsidRPr="001F13D4">
              <w:rPr>
                <w:sz w:val="20"/>
                <w:lang w:val="de-DE" w:eastAsia="fr-FR"/>
              </w:rPr>
              <w:t xml:space="preserve">Masten, Flaggenstöcke und ähnliche Rundhölzer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fr-FR" w:eastAsia="fr-FR"/>
              </w:rPr>
            </w:pPr>
            <w:proofErr w:type="spellStart"/>
            <w:r w:rsidRPr="001F13D4">
              <w:rPr>
                <w:sz w:val="20"/>
                <w:lang w:val="fr-FR" w:eastAsia="fr-FR"/>
              </w:rPr>
              <w:t>Maschinenteile</w:t>
            </w:r>
            <w:proofErr w:type="spellEnd"/>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Schutz</w:t>
            </w:r>
            <w:r w:rsidRPr="006A2FC6">
              <w:rPr>
                <w:strike/>
                <w:sz w:val="20"/>
                <w:lang w:val="de-DE" w:eastAsia="fr-FR"/>
              </w:rPr>
              <w:t>kleider</w:t>
            </w:r>
            <w:r w:rsidRPr="001F13D4">
              <w:rPr>
                <w:sz w:val="20"/>
                <w:lang w:val="de-DE" w:eastAsia="fr-FR"/>
              </w:rPr>
              <w:t xml:space="preserve"> </w:t>
            </w:r>
            <w:proofErr w:type="spellStart"/>
            <w:r w:rsidR="006A2FC6">
              <w:rPr>
                <w:sz w:val="20"/>
                <w:lang w:val="de-DE" w:eastAsia="fr-FR"/>
              </w:rPr>
              <w:t>abdeckungen</w:t>
            </w:r>
            <w:proofErr w:type="spellEnd"/>
            <w:r w:rsidR="006A2FC6">
              <w:rPr>
                <w:sz w:val="20"/>
                <w:lang w:val="de-DE" w:eastAsia="fr-FR"/>
              </w:rPr>
              <w:t xml:space="preserve"> </w:t>
            </w:r>
            <w:r w:rsidRPr="001F13D4">
              <w:rPr>
                <w:sz w:val="20"/>
                <w:lang w:val="de-DE" w:eastAsia="fr-FR"/>
              </w:rPr>
              <w:t>von Motoren und Pumpen</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fr-FR" w:eastAsia="fr-FR"/>
              </w:rPr>
            </w:pPr>
            <w:r w:rsidRPr="001F13D4">
              <w:rPr>
                <w:sz w:val="20"/>
                <w:lang w:val="de-DE" w:eastAsia="fr-FR"/>
              </w:rPr>
              <w:t xml:space="preserve">Teile der elektrischen Anlage incl. </w:t>
            </w:r>
            <w:proofErr w:type="spellStart"/>
            <w:r w:rsidRPr="001F13D4">
              <w:rPr>
                <w:sz w:val="20"/>
                <w:lang w:val="fr-FR" w:eastAsia="fr-FR"/>
              </w:rPr>
              <w:t>Isolierungen</w:t>
            </w:r>
            <w:proofErr w:type="spellEnd"/>
            <w:r w:rsidRPr="001F13D4">
              <w:rPr>
                <w:sz w:val="20"/>
                <w:lang w:val="fr-FR" w:eastAsia="fr-FR"/>
              </w:rPr>
              <w:t xml:space="preserve">, </w:t>
            </w:r>
            <w:proofErr w:type="spellStart"/>
            <w:r w:rsidRPr="001F13D4">
              <w:rPr>
                <w:sz w:val="20"/>
                <w:lang w:val="fr-FR" w:eastAsia="fr-FR"/>
              </w:rPr>
              <w:t>Abdichtungen</w:t>
            </w:r>
            <w:proofErr w:type="spellEnd"/>
            <w:r w:rsidRPr="001F13D4">
              <w:rPr>
                <w:sz w:val="20"/>
                <w:lang w:val="fr-FR" w:eastAsia="fr-FR"/>
              </w:rPr>
              <w:t xml:space="preserve"> </w:t>
            </w:r>
            <w:proofErr w:type="spellStart"/>
            <w:r w:rsidRPr="001F13D4">
              <w:rPr>
                <w:sz w:val="20"/>
                <w:lang w:val="fr-FR" w:eastAsia="fr-FR"/>
              </w:rPr>
              <w:t>usw</w:t>
            </w:r>
            <w:proofErr w:type="spellEnd"/>
            <w:r w:rsidRPr="001F13D4">
              <w:rPr>
                <w:sz w:val="20"/>
                <w:lang w:val="fr-FR" w:eastAsia="fr-FR"/>
              </w:rPr>
              <w:t>.</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Teile der Lade- und Löschanlage incl. Abdichtungen usw.</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 xml:space="preserve">Kisten, Schränke oder Container an Deck zur Lagerung von losen Ausrüstungsbestandteilen,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trike/>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de-DE" w:eastAsia="fr-FR"/>
              </w:rPr>
            </w:pPr>
            <w:r w:rsidRPr="001F13D4">
              <w:rPr>
                <w:sz w:val="20"/>
                <w:lang w:val="de-DE" w:eastAsia="fr-FR"/>
              </w:rPr>
              <w:t xml:space="preserve">Auflagerblöcke und Anschläge aller Art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X</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Ventilatoren einschließlich der Schlauchleitungen für die Belüftung</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AA2C1A"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AA2C1A" w:rsidRPr="001F13D4" w:rsidRDefault="00AA2C1A" w:rsidP="001241B9">
            <w:pPr>
              <w:spacing w:after="0"/>
              <w:rPr>
                <w:sz w:val="20"/>
                <w:lang w:val="de-DE" w:eastAsia="fr-FR"/>
              </w:rPr>
            </w:pPr>
            <w:r>
              <w:rPr>
                <w:sz w:val="20"/>
                <w:lang w:val="de-DE" w:eastAsia="fr-FR"/>
              </w:rPr>
              <w:t>tragbare Feuerlösche</w:t>
            </w:r>
            <w:r w:rsidR="001241B9">
              <w:rPr>
                <w:sz w:val="20"/>
                <w:lang w:val="de-DE" w:eastAsia="fr-FR"/>
              </w:rPr>
              <w:t>r</w:t>
            </w:r>
          </w:p>
        </w:tc>
        <w:tc>
          <w:tcPr>
            <w:tcW w:w="1353" w:type="dxa"/>
            <w:tcBorders>
              <w:top w:val="nil"/>
              <w:left w:val="nil"/>
              <w:bottom w:val="single" w:sz="4" w:space="0" w:color="auto"/>
              <w:right w:val="single" w:sz="8" w:space="0" w:color="auto"/>
            </w:tcBorders>
            <w:shd w:val="clear" w:color="auto" w:fill="auto"/>
            <w:noWrap/>
            <w:vAlign w:val="center"/>
            <w:hideMark/>
          </w:tcPr>
          <w:p w:rsidR="00AA2C1A" w:rsidRPr="001F13D4" w:rsidRDefault="00AA2C1A" w:rsidP="001F13D4">
            <w:pPr>
              <w:spacing w:after="0"/>
              <w:jc w:val="center"/>
              <w:rPr>
                <w:sz w:val="20"/>
                <w:lang w:val="de-DE" w:eastAsia="fr-FR"/>
              </w:rPr>
            </w:pPr>
          </w:p>
        </w:tc>
        <w:tc>
          <w:tcPr>
            <w:tcW w:w="2380" w:type="dxa"/>
            <w:tcBorders>
              <w:top w:val="nil"/>
              <w:left w:val="nil"/>
              <w:bottom w:val="single" w:sz="4" w:space="0" w:color="auto"/>
              <w:right w:val="single" w:sz="8" w:space="0" w:color="auto"/>
            </w:tcBorders>
            <w:shd w:val="clear" w:color="auto" w:fill="auto"/>
            <w:noWrap/>
            <w:vAlign w:val="center"/>
            <w:hideMark/>
          </w:tcPr>
          <w:p w:rsidR="00AA2C1A" w:rsidRPr="001F13D4" w:rsidRDefault="00AA2C1A" w:rsidP="001F13D4">
            <w:pPr>
              <w:spacing w:after="0"/>
              <w:jc w:val="center"/>
              <w:rPr>
                <w:sz w:val="22"/>
                <w:szCs w:val="22"/>
                <w:lang w:val="fr-FR" w:eastAsia="fr-FR"/>
              </w:rPr>
            </w:pPr>
          </w:p>
        </w:tc>
        <w:tc>
          <w:tcPr>
            <w:tcW w:w="1353" w:type="dxa"/>
            <w:tcBorders>
              <w:top w:val="nil"/>
              <w:left w:val="nil"/>
              <w:bottom w:val="single" w:sz="4" w:space="0" w:color="auto"/>
              <w:right w:val="single" w:sz="8" w:space="0" w:color="auto"/>
            </w:tcBorders>
            <w:shd w:val="clear" w:color="auto" w:fill="auto"/>
            <w:noWrap/>
            <w:vAlign w:val="center"/>
            <w:hideMark/>
          </w:tcPr>
          <w:p w:rsidR="00AA2C1A" w:rsidRPr="001F13D4" w:rsidRDefault="00AA2C1A" w:rsidP="001F13D4">
            <w:pPr>
              <w:spacing w:after="0"/>
              <w:jc w:val="center"/>
              <w:rPr>
                <w:sz w:val="22"/>
                <w:szCs w:val="22"/>
                <w:lang w:val="fr-FR" w:eastAsia="fr-FR"/>
              </w:rPr>
            </w:pPr>
            <w:r>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AA2C1A" w:rsidRPr="001F13D4" w:rsidRDefault="00AA2C1A" w:rsidP="001F13D4">
            <w:pPr>
              <w:spacing w:after="0"/>
              <w:jc w:val="center"/>
              <w:rPr>
                <w:sz w:val="20"/>
                <w:lang w:val="fr-FR" w:eastAsia="fr-FR"/>
              </w:rPr>
            </w:pP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Teile der Wassersprühanlage und der Dusche und das Augen- und Gesichtsbad</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 </w:t>
            </w:r>
          </w:p>
        </w:tc>
      </w:tr>
      <w:tr w:rsidR="001F13D4" w:rsidRPr="001F13D4" w:rsidTr="002F3B1A">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rFonts w:ascii="Arial" w:hAnsi="Arial" w:cs="Arial"/>
                <w:sz w:val="18"/>
                <w:szCs w:val="18"/>
                <w:lang w:val="de-DE" w:eastAsia="fr-FR"/>
              </w:rPr>
            </w:pPr>
            <w:r w:rsidRPr="001F13D4">
              <w:rPr>
                <w:sz w:val="20"/>
                <w:lang w:val="de-DE" w:eastAsia="fr-FR"/>
              </w:rPr>
              <w:t xml:space="preserve">Isolierung der Ladetanks, der Lade- und Löschleitungen, der Gasabfuhrleitungen und der Heizungsleitungen </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r>
      <w:tr w:rsidR="001F13D4" w:rsidRPr="001F13D4" w:rsidTr="006A2FC6">
        <w:trPr>
          <w:trHeight w:val="227"/>
        </w:trPr>
        <w:tc>
          <w:tcPr>
            <w:tcW w:w="6841" w:type="dxa"/>
            <w:tcBorders>
              <w:top w:val="nil"/>
              <w:left w:val="single" w:sz="8" w:space="0" w:color="auto"/>
              <w:bottom w:val="single" w:sz="4" w:space="0" w:color="auto"/>
              <w:right w:val="single" w:sz="8" w:space="0" w:color="auto"/>
            </w:tcBorders>
            <w:shd w:val="clear" w:color="auto" w:fill="auto"/>
            <w:vAlign w:val="bottom"/>
            <w:hideMark/>
          </w:tcPr>
          <w:p w:rsidR="001F13D4" w:rsidRPr="001F13D4" w:rsidRDefault="001F13D4" w:rsidP="001F13D4">
            <w:pPr>
              <w:spacing w:after="0"/>
              <w:rPr>
                <w:sz w:val="20"/>
                <w:lang w:val="de-DE" w:eastAsia="fr-FR"/>
              </w:rPr>
            </w:pPr>
            <w:r w:rsidRPr="001F13D4">
              <w:rPr>
                <w:sz w:val="20"/>
                <w:lang w:val="de-DE" w:eastAsia="fr-FR"/>
              </w:rPr>
              <w:t>Auskleidung der Tanks und der Lade-/Löschleitungen</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de-DE" w:eastAsia="fr-FR"/>
              </w:rPr>
            </w:pPr>
            <w:r w:rsidRPr="001F13D4">
              <w:rPr>
                <w:sz w:val="20"/>
                <w:lang w:val="de-DE" w:eastAsia="fr-FR"/>
              </w:rPr>
              <w:t> </w:t>
            </w:r>
          </w:p>
        </w:tc>
        <w:tc>
          <w:tcPr>
            <w:tcW w:w="2380"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2"/>
                <w:szCs w:val="22"/>
                <w:lang w:val="fr-FR" w:eastAsia="fr-FR"/>
              </w:rPr>
            </w:pPr>
            <w:r w:rsidRPr="001F13D4">
              <w:rPr>
                <w:sz w:val="22"/>
                <w:szCs w:val="22"/>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r w:rsidRPr="001F13D4">
              <w:rPr>
                <w:sz w:val="20"/>
                <w:lang w:val="fr-FR" w:eastAsia="fr-FR"/>
              </w:rPr>
              <w:t>X</w:t>
            </w:r>
          </w:p>
        </w:tc>
        <w:tc>
          <w:tcPr>
            <w:tcW w:w="1353" w:type="dxa"/>
            <w:tcBorders>
              <w:top w:val="nil"/>
              <w:left w:val="nil"/>
              <w:bottom w:val="single" w:sz="4" w:space="0" w:color="auto"/>
              <w:right w:val="single" w:sz="8" w:space="0" w:color="auto"/>
            </w:tcBorders>
            <w:shd w:val="clear" w:color="auto" w:fill="auto"/>
            <w:noWrap/>
            <w:vAlign w:val="center"/>
            <w:hideMark/>
          </w:tcPr>
          <w:p w:rsidR="001F13D4" w:rsidRPr="001F13D4" w:rsidRDefault="001F13D4" w:rsidP="001F13D4">
            <w:pPr>
              <w:spacing w:after="0"/>
              <w:jc w:val="center"/>
              <w:rPr>
                <w:sz w:val="20"/>
                <w:lang w:val="fr-FR" w:eastAsia="fr-FR"/>
              </w:rPr>
            </w:pPr>
          </w:p>
        </w:tc>
      </w:tr>
      <w:tr w:rsidR="006A2FC6" w:rsidRPr="006A2FC6" w:rsidTr="006A2FC6">
        <w:trPr>
          <w:trHeight w:val="227"/>
        </w:trPr>
        <w:tc>
          <w:tcPr>
            <w:tcW w:w="684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6A2FC6" w:rsidRPr="001F13D4" w:rsidRDefault="006A2FC6" w:rsidP="00912EBA">
            <w:pPr>
              <w:spacing w:after="0"/>
              <w:rPr>
                <w:sz w:val="20"/>
                <w:lang w:val="de-DE" w:eastAsia="fr-FR"/>
              </w:rPr>
            </w:pPr>
            <w:r>
              <w:rPr>
                <w:sz w:val="20"/>
                <w:lang w:val="de-DE" w:eastAsia="fr-FR"/>
              </w:rPr>
              <w:t>Fotooptische Kopie</w:t>
            </w:r>
            <w:r w:rsidR="00C028A9">
              <w:rPr>
                <w:sz w:val="20"/>
                <w:lang w:val="de-DE" w:eastAsia="fr-FR"/>
              </w:rPr>
              <w:t>n</w:t>
            </w:r>
            <w:r>
              <w:rPr>
                <w:sz w:val="20"/>
                <w:lang w:val="de-DE" w:eastAsia="fr-FR"/>
              </w:rPr>
              <w:t xml:space="preserve"> des gesamten Zulassungszeugnisses nach 8.1.2.6 oder 8.1.2.7</w:t>
            </w:r>
            <w:r w:rsidR="00C028A9">
              <w:rPr>
                <w:sz w:val="20"/>
                <w:lang w:val="de-DE" w:eastAsia="fr-FR"/>
              </w:rPr>
              <w:t xml:space="preserve"> sowie des Schiffszeugnisses</w:t>
            </w:r>
            <w:r w:rsidR="00912EBA">
              <w:rPr>
                <w:sz w:val="20"/>
                <w:lang w:val="de-DE" w:eastAsia="fr-FR"/>
              </w:rPr>
              <w:t>,</w:t>
            </w:r>
            <w:r w:rsidR="00C028A9">
              <w:rPr>
                <w:sz w:val="20"/>
                <w:lang w:val="de-DE" w:eastAsia="fr-FR"/>
              </w:rPr>
              <w:t xml:space="preserve"> des Eichscheins</w:t>
            </w:r>
            <w:r w:rsidR="00912EBA">
              <w:rPr>
                <w:sz w:val="20"/>
                <w:lang w:val="de-DE" w:eastAsia="fr-FR"/>
              </w:rPr>
              <w:t xml:space="preserve"> und der Rheinschifffahrtszugehörigkeitsurkunde</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6A2FC6" w:rsidRPr="001F13D4" w:rsidRDefault="006A2FC6" w:rsidP="001F13D4">
            <w:pPr>
              <w:spacing w:after="0"/>
              <w:jc w:val="center"/>
              <w:rPr>
                <w:sz w:val="20"/>
                <w:lang w:val="de-DE" w:eastAsia="fr-FR"/>
              </w:rPr>
            </w:pPr>
          </w:p>
        </w:tc>
        <w:tc>
          <w:tcPr>
            <w:tcW w:w="2380" w:type="dxa"/>
            <w:tcBorders>
              <w:top w:val="single" w:sz="4" w:space="0" w:color="auto"/>
              <w:left w:val="nil"/>
              <w:bottom w:val="single" w:sz="4" w:space="0" w:color="auto"/>
              <w:right w:val="single" w:sz="8" w:space="0" w:color="auto"/>
            </w:tcBorders>
            <w:shd w:val="clear" w:color="auto" w:fill="auto"/>
            <w:noWrap/>
            <w:vAlign w:val="center"/>
            <w:hideMark/>
          </w:tcPr>
          <w:p w:rsidR="006A2FC6" w:rsidRPr="00C028A9" w:rsidRDefault="00C028A9" w:rsidP="001F13D4">
            <w:pPr>
              <w:spacing w:after="0"/>
              <w:jc w:val="center"/>
              <w:rPr>
                <w:sz w:val="22"/>
                <w:szCs w:val="22"/>
                <w:lang w:val="de-DE" w:eastAsia="fr-FR"/>
              </w:rPr>
            </w:pPr>
            <w:r>
              <w:rPr>
                <w:sz w:val="22"/>
                <w:szCs w:val="22"/>
                <w:lang w:val="de-DE" w:eastAsia="fr-FR"/>
              </w:rPr>
              <w:t>X</w:t>
            </w:r>
          </w:p>
        </w:tc>
        <w:tc>
          <w:tcPr>
            <w:tcW w:w="1353" w:type="dxa"/>
            <w:tcBorders>
              <w:top w:val="single" w:sz="4" w:space="0" w:color="auto"/>
              <w:left w:val="nil"/>
              <w:bottom w:val="single" w:sz="4" w:space="0" w:color="auto"/>
              <w:right w:val="single" w:sz="8" w:space="0" w:color="auto"/>
            </w:tcBorders>
            <w:shd w:val="clear" w:color="auto" w:fill="auto"/>
            <w:noWrap/>
            <w:vAlign w:val="center"/>
            <w:hideMark/>
          </w:tcPr>
          <w:p w:rsidR="006A2FC6" w:rsidRPr="001F13D4" w:rsidRDefault="006A2FC6" w:rsidP="001F13D4">
            <w:pPr>
              <w:spacing w:after="0"/>
              <w:jc w:val="center"/>
              <w:rPr>
                <w:sz w:val="20"/>
                <w:lang w:val="fr-FR" w:eastAsia="fr-FR"/>
              </w:rPr>
            </w:pPr>
            <w:r>
              <w:rPr>
                <w:sz w:val="20"/>
                <w:lang w:val="fr-FR" w:eastAsia="fr-FR"/>
              </w:rPr>
              <w:t>X</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6A2FC6" w:rsidRPr="001F13D4" w:rsidRDefault="006A2FC6" w:rsidP="001F13D4">
            <w:pPr>
              <w:spacing w:after="0"/>
              <w:jc w:val="center"/>
              <w:rPr>
                <w:sz w:val="20"/>
                <w:lang w:val="fr-FR" w:eastAsia="fr-FR"/>
              </w:rPr>
            </w:pPr>
          </w:p>
        </w:tc>
      </w:tr>
    </w:tbl>
    <w:p w:rsidR="001F13D4" w:rsidRPr="001F13D4" w:rsidRDefault="001F13D4" w:rsidP="001F13D4">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p>
    <w:p w:rsidR="00AA0878" w:rsidRDefault="00951033" w:rsidP="001F13D4">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r>
        <w:rPr>
          <w:sz w:val="20"/>
          <w:lang w:val="de-DE" w:eastAsia="fr-FR"/>
        </w:rPr>
        <w:t xml:space="preserve">Alle in den Wohnungen und im Steuerhaus verwendeten fest eingebauten Werkstoffe, mit Ausnahme der Möbel, müssen schwer entflammbar sein. Im Brandfall </w:t>
      </w:r>
    </w:p>
    <w:p w:rsidR="001F13D4" w:rsidRPr="001F13D4" w:rsidRDefault="00951033" w:rsidP="001F13D4">
      <w:pPr>
        <w:widowControl w:val="0"/>
        <w:tabs>
          <w:tab w:val="left" w:pos="-142"/>
          <w:tab w:val="left" w:pos="1418"/>
        </w:tabs>
        <w:overflowPunct w:val="0"/>
        <w:autoSpaceDE w:val="0"/>
        <w:autoSpaceDN w:val="0"/>
        <w:adjustRightInd w:val="0"/>
        <w:spacing w:after="0" w:line="240" w:lineRule="exact"/>
        <w:jc w:val="both"/>
        <w:textAlignment w:val="baseline"/>
        <w:rPr>
          <w:sz w:val="20"/>
          <w:lang w:val="de-DE" w:eastAsia="fr-FR"/>
        </w:rPr>
      </w:pPr>
      <w:r>
        <w:rPr>
          <w:sz w:val="20"/>
          <w:lang w:val="de-DE" w:eastAsia="fr-FR"/>
        </w:rPr>
        <w:t>dürfen sie Rauch oder giftige Gase nicht in gefährlichem Maße entwickeln.</w:t>
      </w:r>
    </w:p>
    <w:p w:rsidR="001F13D4" w:rsidRDefault="001F13D4" w:rsidP="006177D0">
      <w:pPr>
        <w:tabs>
          <w:tab w:val="left" w:pos="1418"/>
          <w:tab w:val="left" w:pos="1985"/>
          <w:tab w:val="left" w:pos="2552"/>
          <w:tab w:val="left" w:pos="3119"/>
          <w:tab w:val="left" w:pos="3686"/>
        </w:tabs>
        <w:spacing w:after="0"/>
        <w:jc w:val="center"/>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853BD3">
        <w:rPr>
          <w:sz w:val="20"/>
          <w:lang w:val="de-DE"/>
        </w:rPr>
        <w:t>***</w:t>
      </w:r>
    </w:p>
    <w:sectPr w:rsidR="00FF20BF" w:rsidRPr="00853BD3" w:rsidSect="001F13D4">
      <w:footerReference w:type="first" r:id="rId12"/>
      <w:endnotePr>
        <w:numFmt w:val="decimal"/>
      </w:endnotePr>
      <w:pgSz w:w="16840" w:h="11907" w:orient="landscape"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08" w:rsidRDefault="00502408">
      <w:pPr>
        <w:pStyle w:val="Footer"/>
      </w:pPr>
    </w:p>
  </w:endnote>
  <w:endnote w:type="continuationSeparator" w:id="0">
    <w:p w:rsidR="00502408" w:rsidRDefault="00502408">
      <w:pPr>
        <w:spacing w:after="0"/>
      </w:pPr>
    </w:p>
  </w:endnote>
  <w:endnote w:type="continuationNotice" w:id="1">
    <w:p w:rsidR="00502408" w:rsidRDefault="005024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33" w:rsidRPr="000A4580" w:rsidRDefault="00951033" w:rsidP="004554A5">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Pr>
        <w:rFonts w:ascii="Arial" w:hAnsi="Arial"/>
        <w:noProof/>
        <w:sz w:val="12"/>
        <w:szCs w:val="24"/>
        <w:lang w:val="en-US" w:eastAsia="fr-FR"/>
      </w:rPr>
      <w:t>41</w:t>
    </w:r>
    <w:r w:rsidRPr="000A4580">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33" w:rsidRPr="000A4580" w:rsidRDefault="00951033" w:rsidP="000A4580">
    <w:pPr>
      <w:tabs>
        <w:tab w:val="center" w:pos="4536"/>
        <w:tab w:val="left" w:pos="7177"/>
        <w:tab w:val="right" w:pos="9070"/>
      </w:tabs>
      <w:spacing w:after="0"/>
      <w:jc w:val="right"/>
      <w:rPr>
        <w:szCs w:val="24"/>
        <w:lang w:val="en-US" w:eastAsia="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33" w:rsidRPr="000A4580" w:rsidRDefault="00951033" w:rsidP="00367AA9">
    <w:pPr>
      <w:tabs>
        <w:tab w:val="center" w:pos="4536"/>
        <w:tab w:val="left" w:pos="7177"/>
        <w:tab w:val="right" w:pos="9070"/>
      </w:tabs>
      <w:spacing w:after="0"/>
      <w:jc w:val="right"/>
      <w:rPr>
        <w:szCs w:val="24"/>
        <w:lang w:val="en-US"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08" w:rsidRDefault="00502408">
      <w:pPr>
        <w:spacing w:after="0"/>
      </w:pPr>
      <w:r>
        <w:separator/>
      </w:r>
    </w:p>
  </w:footnote>
  <w:footnote w:type="continuationSeparator" w:id="0">
    <w:p w:rsidR="00502408" w:rsidRDefault="00502408">
      <w:pPr>
        <w:spacing w:after="0"/>
        <w:rPr>
          <w:u w:val="single"/>
        </w:rPr>
      </w:pPr>
      <w:r>
        <w:rPr>
          <w:u w:val="single"/>
        </w:rPr>
        <w:tab/>
      </w:r>
      <w:r>
        <w:rPr>
          <w:u w:val="single"/>
        </w:rPr>
        <w:tab/>
      </w:r>
      <w:r>
        <w:rPr>
          <w:u w:val="single"/>
        </w:rPr>
        <w:tab/>
      </w:r>
      <w:r>
        <w:rPr>
          <w:u w:val="single"/>
        </w:rPr>
        <w:tab/>
      </w:r>
    </w:p>
  </w:footnote>
  <w:footnote w:type="continuationNotice" w:id="1">
    <w:p w:rsidR="00502408" w:rsidRDefault="005024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33" w:rsidRPr="00805FA0" w:rsidRDefault="00951033"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w:t>
    </w:r>
    <w:r>
      <w:rPr>
        <w:rFonts w:ascii="Arial" w:hAnsi="Arial" w:cs="Arial"/>
        <w:sz w:val="16"/>
        <w:szCs w:val="16"/>
        <w:lang w:val="en-US"/>
      </w:rPr>
      <w:t>7</w:t>
    </w:r>
    <w:r w:rsidRPr="00805FA0">
      <w:rPr>
        <w:rFonts w:ascii="Arial" w:hAnsi="Arial" w:cs="Arial"/>
        <w:sz w:val="16"/>
        <w:szCs w:val="16"/>
        <w:lang w:val="en-US"/>
      </w:rPr>
      <w:t>/</w:t>
    </w:r>
    <w:r>
      <w:rPr>
        <w:rFonts w:ascii="Arial" w:hAnsi="Arial" w:cs="Arial"/>
        <w:sz w:val="16"/>
        <w:szCs w:val="16"/>
        <w:lang w:val="en-US"/>
      </w:rPr>
      <w:t xml:space="preserve">INF </w:t>
    </w:r>
    <w:proofErr w:type="spellStart"/>
    <w:r>
      <w:rPr>
        <w:rFonts w:ascii="Arial" w:hAnsi="Arial" w:cs="Arial"/>
        <w:sz w:val="16"/>
        <w:szCs w:val="16"/>
        <w:lang w:val="en-US"/>
      </w:rPr>
      <w:t>Bau</w:t>
    </w:r>
    <w:proofErr w:type="spellEnd"/>
  </w:p>
  <w:p w:rsidR="00951033" w:rsidRPr="00226EA3" w:rsidRDefault="00951033" w:rsidP="00F20225">
    <w:pPr>
      <w:pStyle w:val="Header"/>
      <w:spacing w:after="0"/>
      <w:rPr>
        <w:rFonts w:ascii="Arial" w:hAnsi="Arial" w:cs="Arial"/>
        <w:sz w:val="16"/>
        <w:szCs w:val="16"/>
      </w:rPr>
    </w:pPr>
    <w:proofErr w:type="spellStart"/>
    <w:r>
      <w:rPr>
        <w:rFonts w:ascii="Arial" w:hAnsi="Arial" w:cs="Arial"/>
        <w:sz w:val="16"/>
        <w:szCs w:val="16"/>
      </w:rPr>
      <w:t>Seite</w:t>
    </w:r>
    <w:proofErr w:type="spellEnd"/>
    <w:r w:rsidRPr="00226EA3">
      <w:rPr>
        <w:rFonts w:ascii="Arial" w:hAnsi="Arial" w:cs="Arial"/>
        <w:sz w:val="16"/>
        <w:szCs w:val="16"/>
      </w:rPr>
      <w:t xml:space="preserve"> </w:t>
    </w:r>
    <w:r w:rsidR="00375C12"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00375C12" w:rsidRPr="00226EA3">
      <w:rPr>
        <w:rFonts w:ascii="Arial" w:hAnsi="Arial" w:cs="Arial"/>
        <w:sz w:val="16"/>
        <w:szCs w:val="16"/>
      </w:rPr>
      <w:fldChar w:fldCharType="separate"/>
    </w:r>
    <w:r w:rsidR="00D161F4">
      <w:rPr>
        <w:rFonts w:ascii="Arial" w:hAnsi="Arial" w:cs="Arial"/>
        <w:noProof/>
        <w:sz w:val="16"/>
        <w:szCs w:val="16"/>
      </w:rPr>
      <w:t>2</w:t>
    </w:r>
    <w:r w:rsidR="00375C12" w:rsidRPr="00226EA3">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33" w:rsidRDefault="00951033" w:rsidP="001A6E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0"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3663371"/>
    <w:multiLevelType w:val="multilevel"/>
    <w:tmpl w:val="040C001D"/>
    <w:numStyleLink w:val="1ai"/>
  </w:abstractNum>
  <w:abstractNum w:abstractNumId="22"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4"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8"/>
  </w:num>
  <w:num w:numId="2">
    <w:abstractNumId w:val="13"/>
  </w:num>
  <w:num w:numId="3">
    <w:abstractNumId w:val="8"/>
  </w:num>
  <w:num w:numId="4">
    <w:abstractNumId w:val="14"/>
  </w:num>
  <w:num w:numId="5">
    <w:abstractNumId w:val="0"/>
  </w:num>
  <w:num w:numId="6">
    <w:abstractNumId w:val="25"/>
  </w:num>
  <w:num w:numId="7">
    <w:abstractNumId w:val="20"/>
  </w:num>
  <w:num w:numId="8">
    <w:abstractNumId w:val="9"/>
  </w:num>
  <w:num w:numId="9">
    <w:abstractNumId w:val="10"/>
  </w:num>
  <w:num w:numId="10">
    <w:abstractNumId w:val="11"/>
  </w:num>
  <w:num w:numId="11">
    <w:abstractNumId w:val="15"/>
  </w:num>
  <w:num w:numId="12">
    <w:abstractNumId w:val="24"/>
  </w:num>
  <w:num w:numId="13">
    <w:abstractNumId w:val="1"/>
  </w:num>
  <w:num w:numId="14">
    <w:abstractNumId w:val="16"/>
  </w:num>
  <w:num w:numId="15">
    <w:abstractNumId w:val="21"/>
  </w:num>
  <w:num w:numId="16">
    <w:abstractNumId w:val="5"/>
  </w:num>
  <w:num w:numId="17">
    <w:abstractNumId w:val="12"/>
  </w:num>
  <w:num w:numId="18">
    <w:abstractNumId w:val="6"/>
  </w:num>
  <w:num w:numId="19">
    <w:abstractNumId w:val="3"/>
  </w:num>
  <w:num w:numId="20">
    <w:abstractNumId w:val="2"/>
  </w:num>
  <w:num w:numId="21">
    <w:abstractNumId w:val="22"/>
  </w:num>
  <w:num w:numId="22">
    <w:abstractNumId w:val="19"/>
  </w:num>
  <w:num w:numId="23">
    <w:abstractNumId w:val="17"/>
  </w:num>
  <w:num w:numId="24">
    <w:abstractNumId w:val="7"/>
  </w:num>
  <w:num w:numId="25">
    <w:abstractNumId w:val="23"/>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922"/>
    <w:rsid w:val="00001E90"/>
    <w:rsid w:val="0000299C"/>
    <w:rsid w:val="00014411"/>
    <w:rsid w:val="00015247"/>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2999"/>
    <w:rsid w:val="000F3755"/>
    <w:rsid w:val="000F3B3B"/>
    <w:rsid w:val="000F574C"/>
    <w:rsid w:val="00101181"/>
    <w:rsid w:val="00103619"/>
    <w:rsid w:val="00106C1B"/>
    <w:rsid w:val="00114717"/>
    <w:rsid w:val="00114C05"/>
    <w:rsid w:val="001162B6"/>
    <w:rsid w:val="001168E3"/>
    <w:rsid w:val="0012049D"/>
    <w:rsid w:val="00122163"/>
    <w:rsid w:val="001241B9"/>
    <w:rsid w:val="0012596F"/>
    <w:rsid w:val="001309F5"/>
    <w:rsid w:val="00131898"/>
    <w:rsid w:val="00137616"/>
    <w:rsid w:val="00141BE2"/>
    <w:rsid w:val="00143FA2"/>
    <w:rsid w:val="0014423E"/>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C024F"/>
    <w:rsid w:val="001C279A"/>
    <w:rsid w:val="001C6029"/>
    <w:rsid w:val="001D2866"/>
    <w:rsid w:val="001D33BE"/>
    <w:rsid w:val="001E50C6"/>
    <w:rsid w:val="001E65B5"/>
    <w:rsid w:val="001E770E"/>
    <w:rsid w:val="001F09CC"/>
    <w:rsid w:val="001F1079"/>
    <w:rsid w:val="001F13D4"/>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32B5A"/>
    <w:rsid w:val="00245CD7"/>
    <w:rsid w:val="002471F5"/>
    <w:rsid w:val="00252C35"/>
    <w:rsid w:val="00253F77"/>
    <w:rsid w:val="00256038"/>
    <w:rsid w:val="00256D16"/>
    <w:rsid w:val="002613AC"/>
    <w:rsid w:val="0026451D"/>
    <w:rsid w:val="00277944"/>
    <w:rsid w:val="0028124B"/>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34CD"/>
    <w:rsid w:val="002C7555"/>
    <w:rsid w:val="002D007A"/>
    <w:rsid w:val="002D43AB"/>
    <w:rsid w:val="002D48DF"/>
    <w:rsid w:val="002E1922"/>
    <w:rsid w:val="002E274C"/>
    <w:rsid w:val="002E4E6B"/>
    <w:rsid w:val="002E5219"/>
    <w:rsid w:val="002E62E4"/>
    <w:rsid w:val="002E779A"/>
    <w:rsid w:val="002F2DBA"/>
    <w:rsid w:val="002F3B1A"/>
    <w:rsid w:val="002F46DA"/>
    <w:rsid w:val="00301EB1"/>
    <w:rsid w:val="00302200"/>
    <w:rsid w:val="00303A9C"/>
    <w:rsid w:val="00303F98"/>
    <w:rsid w:val="003119F2"/>
    <w:rsid w:val="00311C72"/>
    <w:rsid w:val="0031257D"/>
    <w:rsid w:val="00315C33"/>
    <w:rsid w:val="0031701F"/>
    <w:rsid w:val="00321463"/>
    <w:rsid w:val="00321655"/>
    <w:rsid w:val="003241E3"/>
    <w:rsid w:val="003248D4"/>
    <w:rsid w:val="00325611"/>
    <w:rsid w:val="00332EBE"/>
    <w:rsid w:val="003330A3"/>
    <w:rsid w:val="00333424"/>
    <w:rsid w:val="003371B3"/>
    <w:rsid w:val="0034481F"/>
    <w:rsid w:val="0035078B"/>
    <w:rsid w:val="00350F80"/>
    <w:rsid w:val="00357395"/>
    <w:rsid w:val="00357FB2"/>
    <w:rsid w:val="00363991"/>
    <w:rsid w:val="0036658D"/>
    <w:rsid w:val="00367AA9"/>
    <w:rsid w:val="00375C12"/>
    <w:rsid w:val="003775F5"/>
    <w:rsid w:val="00380212"/>
    <w:rsid w:val="00381EBE"/>
    <w:rsid w:val="00385969"/>
    <w:rsid w:val="00385C45"/>
    <w:rsid w:val="00387E5C"/>
    <w:rsid w:val="00390564"/>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776"/>
    <w:rsid w:val="003C2B9A"/>
    <w:rsid w:val="003D3310"/>
    <w:rsid w:val="003D3C1B"/>
    <w:rsid w:val="003D55E0"/>
    <w:rsid w:val="003D605F"/>
    <w:rsid w:val="003D6093"/>
    <w:rsid w:val="003E200E"/>
    <w:rsid w:val="003E2A6D"/>
    <w:rsid w:val="003E3EF1"/>
    <w:rsid w:val="003E45A3"/>
    <w:rsid w:val="003F1078"/>
    <w:rsid w:val="003F3660"/>
    <w:rsid w:val="003F42D3"/>
    <w:rsid w:val="00400C64"/>
    <w:rsid w:val="00401556"/>
    <w:rsid w:val="004029F9"/>
    <w:rsid w:val="004047B2"/>
    <w:rsid w:val="00404F0D"/>
    <w:rsid w:val="00413D2B"/>
    <w:rsid w:val="004143AE"/>
    <w:rsid w:val="0041550B"/>
    <w:rsid w:val="0041778F"/>
    <w:rsid w:val="00422BE9"/>
    <w:rsid w:val="00423E82"/>
    <w:rsid w:val="00424CC3"/>
    <w:rsid w:val="00425585"/>
    <w:rsid w:val="0042684E"/>
    <w:rsid w:val="004320DB"/>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62A6"/>
    <w:rsid w:val="004A70B5"/>
    <w:rsid w:val="004A712F"/>
    <w:rsid w:val="004B02D7"/>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2408"/>
    <w:rsid w:val="00504561"/>
    <w:rsid w:val="00510DAE"/>
    <w:rsid w:val="00520195"/>
    <w:rsid w:val="005241F0"/>
    <w:rsid w:val="00525173"/>
    <w:rsid w:val="00526388"/>
    <w:rsid w:val="00527224"/>
    <w:rsid w:val="005275C4"/>
    <w:rsid w:val="00530A8E"/>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A3E"/>
    <w:rsid w:val="005A7E96"/>
    <w:rsid w:val="005B31A6"/>
    <w:rsid w:val="005B4D67"/>
    <w:rsid w:val="005B50F9"/>
    <w:rsid w:val="005B7895"/>
    <w:rsid w:val="005C042B"/>
    <w:rsid w:val="005C16F4"/>
    <w:rsid w:val="005C4896"/>
    <w:rsid w:val="005C742B"/>
    <w:rsid w:val="005D10B8"/>
    <w:rsid w:val="005D1B6E"/>
    <w:rsid w:val="005D3544"/>
    <w:rsid w:val="005D5010"/>
    <w:rsid w:val="005E0960"/>
    <w:rsid w:val="005E09D8"/>
    <w:rsid w:val="005E4558"/>
    <w:rsid w:val="005F5A66"/>
    <w:rsid w:val="005F6C6E"/>
    <w:rsid w:val="006010D9"/>
    <w:rsid w:val="0060224C"/>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454F"/>
    <w:rsid w:val="0064737B"/>
    <w:rsid w:val="00647AEE"/>
    <w:rsid w:val="006505F6"/>
    <w:rsid w:val="006550C1"/>
    <w:rsid w:val="0065740E"/>
    <w:rsid w:val="00662D1A"/>
    <w:rsid w:val="00663CC9"/>
    <w:rsid w:val="00670009"/>
    <w:rsid w:val="006710C1"/>
    <w:rsid w:val="00673E42"/>
    <w:rsid w:val="0068283F"/>
    <w:rsid w:val="006853EE"/>
    <w:rsid w:val="00690BDD"/>
    <w:rsid w:val="00695570"/>
    <w:rsid w:val="006A2D07"/>
    <w:rsid w:val="006A2FC6"/>
    <w:rsid w:val="006A37D9"/>
    <w:rsid w:val="006A583B"/>
    <w:rsid w:val="006A64FE"/>
    <w:rsid w:val="006A7803"/>
    <w:rsid w:val="006B409D"/>
    <w:rsid w:val="006B5828"/>
    <w:rsid w:val="006D1C95"/>
    <w:rsid w:val="006D1D2A"/>
    <w:rsid w:val="006D6CC3"/>
    <w:rsid w:val="006E0282"/>
    <w:rsid w:val="006E1D8C"/>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77C93"/>
    <w:rsid w:val="007854E8"/>
    <w:rsid w:val="00790543"/>
    <w:rsid w:val="0079054B"/>
    <w:rsid w:val="00790CFF"/>
    <w:rsid w:val="00793B03"/>
    <w:rsid w:val="00795A5A"/>
    <w:rsid w:val="00796034"/>
    <w:rsid w:val="007A121E"/>
    <w:rsid w:val="007A4191"/>
    <w:rsid w:val="007B3035"/>
    <w:rsid w:val="007B4161"/>
    <w:rsid w:val="007B5F64"/>
    <w:rsid w:val="007B63AB"/>
    <w:rsid w:val="007B6660"/>
    <w:rsid w:val="007C5820"/>
    <w:rsid w:val="007C68C9"/>
    <w:rsid w:val="007C6A8F"/>
    <w:rsid w:val="007C76BD"/>
    <w:rsid w:val="007D4FA9"/>
    <w:rsid w:val="007D75CB"/>
    <w:rsid w:val="007D7B56"/>
    <w:rsid w:val="007E0DBD"/>
    <w:rsid w:val="007E2631"/>
    <w:rsid w:val="007E5972"/>
    <w:rsid w:val="007E68C0"/>
    <w:rsid w:val="007F39AB"/>
    <w:rsid w:val="008002E6"/>
    <w:rsid w:val="00801740"/>
    <w:rsid w:val="0080210F"/>
    <w:rsid w:val="00802C7E"/>
    <w:rsid w:val="00803493"/>
    <w:rsid w:val="0080530A"/>
    <w:rsid w:val="00805BE6"/>
    <w:rsid w:val="00805FA0"/>
    <w:rsid w:val="008135B4"/>
    <w:rsid w:val="00814439"/>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AC3"/>
    <w:rsid w:val="008A67F3"/>
    <w:rsid w:val="008B3319"/>
    <w:rsid w:val="008B793E"/>
    <w:rsid w:val="008C1BEE"/>
    <w:rsid w:val="008C1E14"/>
    <w:rsid w:val="008C5C0E"/>
    <w:rsid w:val="008C659B"/>
    <w:rsid w:val="008D27FB"/>
    <w:rsid w:val="008D6E3E"/>
    <w:rsid w:val="008E0593"/>
    <w:rsid w:val="008E0D8D"/>
    <w:rsid w:val="008E133C"/>
    <w:rsid w:val="008E19D0"/>
    <w:rsid w:val="008E68E5"/>
    <w:rsid w:val="008F0210"/>
    <w:rsid w:val="008F3F20"/>
    <w:rsid w:val="008F5EB6"/>
    <w:rsid w:val="008F602B"/>
    <w:rsid w:val="008F73B3"/>
    <w:rsid w:val="008F7EF3"/>
    <w:rsid w:val="00905493"/>
    <w:rsid w:val="00912349"/>
    <w:rsid w:val="0091294F"/>
    <w:rsid w:val="00912DF3"/>
    <w:rsid w:val="00912EBA"/>
    <w:rsid w:val="009145E4"/>
    <w:rsid w:val="00916F16"/>
    <w:rsid w:val="00917269"/>
    <w:rsid w:val="00924B83"/>
    <w:rsid w:val="009253F7"/>
    <w:rsid w:val="0092640A"/>
    <w:rsid w:val="00926D80"/>
    <w:rsid w:val="00931F5B"/>
    <w:rsid w:val="009345A9"/>
    <w:rsid w:val="00935E15"/>
    <w:rsid w:val="009369E2"/>
    <w:rsid w:val="00937007"/>
    <w:rsid w:val="00941577"/>
    <w:rsid w:val="00942BC4"/>
    <w:rsid w:val="009445A7"/>
    <w:rsid w:val="009468B6"/>
    <w:rsid w:val="0095070F"/>
    <w:rsid w:val="00951033"/>
    <w:rsid w:val="00956CE2"/>
    <w:rsid w:val="00960A55"/>
    <w:rsid w:val="009645EA"/>
    <w:rsid w:val="00964AF5"/>
    <w:rsid w:val="00972D99"/>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1582"/>
    <w:rsid w:val="00A3778C"/>
    <w:rsid w:val="00A407F3"/>
    <w:rsid w:val="00A44D5A"/>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0878"/>
    <w:rsid w:val="00AA1B28"/>
    <w:rsid w:val="00AA2C1A"/>
    <w:rsid w:val="00AA3F46"/>
    <w:rsid w:val="00AB4F31"/>
    <w:rsid w:val="00AC1BD0"/>
    <w:rsid w:val="00AC3915"/>
    <w:rsid w:val="00AC3C04"/>
    <w:rsid w:val="00AC4E86"/>
    <w:rsid w:val="00AC5A95"/>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47E7"/>
    <w:rsid w:val="00B072D2"/>
    <w:rsid w:val="00B1098C"/>
    <w:rsid w:val="00B13AEA"/>
    <w:rsid w:val="00B1574C"/>
    <w:rsid w:val="00B170AC"/>
    <w:rsid w:val="00B21642"/>
    <w:rsid w:val="00B23143"/>
    <w:rsid w:val="00B25753"/>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766BA"/>
    <w:rsid w:val="00B82146"/>
    <w:rsid w:val="00B83833"/>
    <w:rsid w:val="00B85E8E"/>
    <w:rsid w:val="00B85FED"/>
    <w:rsid w:val="00B946CB"/>
    <w:rsid w:val="00B94D10"/>
    <w:rsid w:val="00B958E7"/>
    <w:rsid w:val="00BA0FB9"/>
    <w:rsid w:val="00BA5BE3"/>
    <w:rsid w:val="00BB3BBC"/>
    <w:rsid w:val="00BB4FB3"/>
    <w:rsid w:val="00BB58FA"/>
    <w:rsid w:val="00BB6AED"/>
    <w:rsid w:val="00BB6AFD"/>
    <w:rsid w:val="00BB72F0"/>
    <w:rsid w:val="00BC2042"/>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28A9"/>
    <w:rsid w:val="00C03CFF"/>
    <w:rsid w:val="00C05571"/>
    <w:rsid w:val="00C10D7E"/>
    <w:rsid w:val="00C10EE6"/>
    <w:rsid w:val="00C21497"/>
    <w:rsid w:val="00C223CA"/>
    <w:rsid w:val="00C267D1"/>
    <w:rsid w:val="00C33785"/>
    <w:rsid w:val="00C33955"/>
    <w:rsid w:val="00C36298"/>
    <w:rsid w:val="00C37F6C"/>
    <w:rsid w:val="00C438C5"/>
    <w:rsid w:val="00C45583"/>
    <w:rsid w:val="00C470CF"/>
    <w:rsid w:val="00C50CBF"/>
    <w:rsid w:val="00C54F79"/>
    <w:rsid w:val="00C5649B"/>
    <w:rsid w:val="00C56BCF"/>
    <w:rsid w:val="00C720F6"/>
    <w:rsid w:val="00C7413C"/>
    <w:rsid w:val="00C74837"/>
    <w:rsid w:val="00C7486B"/>
    <w:rsid w:val="00C76318"/>
    <w:rsid w:val="00C80965"/>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33C1"/>
    <w:rsid w:val="00CF663F"/>
    <w:rsid w:val="00D001AA"/>
    <w:rsid w:val="00D1071A"/>
    <w:rsid w:val="00D11D63"/>
    <w:rsid w:val="00D153DB"/>
    <w:rsid w:val="00D161F4"/>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B7A77"/>
    <w:rsid w:val="00DC1F07"/>
    <w:rsid w:val="00DC3526"/>
    <w:rsid w:val="00DC6FCA"/>
    <w:rsid w:val="00DD4465"/>
    <w:rsid w:val="00DD5852"/>
    <w:rsid w:val="00DD6A7A"/>
    <w:rsid w:val="00DD78CE"/>
    <w:rsid w:val="00DE018E"/>
    <w:rsid w:val="00DE1210"/>
    <w:rsid w:val="00DE6D0C"/>
    <w:rsid w:val="00DF51C5"/>
    <w:rsid w:val="00E00440"/>
    <w:rsid w:val="00E033C0"/>
    <w:rsid w:val="00E03D0D"/>
    <w:rsid w:val="00E04E96"/>
    <w:rsid w:val="00E066C4"/>
    <w:rsid w:val="00E11917"/>
    <w:rsid w:val="00E120D1"/>
    <w:rsid w:val="00E158B0"/>
    <w:rsid w:val="00E22CB6"/>
    <w:rsid w:val="00E23447"/>
    <w:rsid w:val="00E255D2"/>
    <w:rsid w:val="00E25BF2"/>
    <w:rsid w:val="00E27F28"/>
    <w:rsid w:val="00E303E1"/>
    <w:rsid w:val="00E3740A"/>
    <w:rsid w:val="00E43CB2"/>
    <w:rsid w:val="00E46234"/>
    <w:rsid w:val="00E46E69"/>
    <w:rsid w:val="00E510CC"/>
    <w:rsid w:val="00E51DDC"/>
    <w:rsid w:val="00E5797E"/>
    <w:rsid w:val="00E61511"/>
    <w:rsid w:val="00E61C68"/>
    <w:rsid w:val="00E63287"/>
    <w:rsid w:val="00E65629"/>
    <w:rsid w:val="00E65E1D"/>
    <w:rsid w:val="00E66CE2"/>
    <w:rsid w:val="00E73729"/>
    <w:rsid w:val="00E75272"/>
    <w:rsid w:val="00E768A2"/>
    <w:rsid w:val="00E76DBB"/>
    <w:rsid w:val="00E8388B"/>
    <w:rsid w:val="00E84B69"/>
    <w:rsid w:val="00E87730"/>
    <w:rsid w:val="00E965BF"/>
    <w:rsid w:val="00E96CE0"/>
    <w:rsid w:val="00EA3D04"/>
    <w:rsid w:val="00EA47D9"/>
    <w:rsid w:val="00EA701B"/>
    <w:rsid w:val="00EB17CF"/>
    <w:rsid w:val="00EB4B80"/>
    <w:rsid w:val="00EB589A"/>
    <w:rsid w:val="00EB6CDE"/>
    <w:rsid w:val="00EC296E"/>
    <w:rsid w:val="00ED29C5"/>
    <w:rsid w:val="00ED41E1"/>
    <w:rsid w:val="00ED6D59"/>
    <w:rsid w:val="00EE351C"/>
    <w:rsid w:val="00EF1AA4"/>
    <w:rsid w:val="00EF5115"/>
    <w:rsid w:val="00EF771E"/>
    <w:rsid w:val="00F04031"/>
    <w:rsid w:val="00F046C5"/>
    <w:rsid w:val="00F0659D"/>
    <w:rsid w:val="00F1213F"/>
    <w:rsid w:val="00F122E2"/>
    <w:rsid w:val="00F20225"/>
    <w:rsid w:val="00F233E1"/>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34B"/>
    <w:rsid w:val="00F72932"/>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6BBC02"/>
  <w15:chartTrackingRefBased/>
  <w15:docId w15:val="{DD978EE0-3650-4C4C-BACF-254B4B27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04"/>
    <w:pPr>
      <w:spacing w:after="240"/>
    </w:pPr>
    <w:rPr>
      <w:sz w:val="24"/>
      <w:lang w:eastAsia="en-US"/>
    </w:rPr>
  </w:style>
  <w:style w:type="paragraph" w:styleId="Heading1">
    <w:name w:val="heading 1"/>
    <w:basedOn w:val="Normal"/>
    <w:next w:val="Normal"/>
    <w:qFormat/>
    <w:rsid w:val="00EA3D04"/>
    <w:pPr>
      <w:keepNext/>
      <w:jc w:val="center"/>
      <w:outlineLvl w:val="0"/>
    </w:pPr>
    <w:rPr>
      <w:b/>
      <w:caps/>
    </w:rPr>
  </w:style>
  <w:style w:type="paragraph" w:styleId="Heading2">
    <w:name w:val="heading 2"/>
    <w:basedOn w:val="Normal"/>
    <w:next w:val="Normal"/>
    <w:qFormat/>
    <w:rsid w:val="00EA3D04"/>
    <w:pPr>
      <w:keepNext/>
      <w:jc w:val="center"/>
      <w:outlineLvl w:val="1"/>
    </w:pPr>
    <w:rPr>
      <w:b/>
    </w:rPr>
  </w:style>
  <w:style w:type="paragraph" w:styleId="Heading3">
    <w:name w:val="heading 3"/>
    <w:basedOn w:val="Normal"/>
    <w:next w:val="Normal"/>
    <w:qFormat/>
    <w:rsid w:val="00EA3D04"/>
    <w:pPr>
      <w:keepNext/>
      <w:outlineLvl w:val="2"/>
    </w:pPr>
    <w:rPr>
      <w:b/>
    </w:rPr>
  </w:style>
  <w:style w:type="paragraph" w:styleId="Heading4">
    <w:name w:val="heading 4"/>
    <w:basedOn w:val="Normal"/>
    <w:next w:val="Normal"/>
    <w:qFormat/>
    <w:rsid w:val="00EA3D04"/>
    <w:pPr>
      <w:keepNext/>
      <w:outlineLvl w:val="3"/>
    </w:pPr>
    <w:rPr>
      <w:i/>
    </w:rPr>
  </w:style>
  <w:style w:type="paragraph" w:styleId="Heading5">
    <w:name w:val="heading 5"/>
    <w:basedOn w:val="Normal"/>
    <w:next w:val="Normal"/>
    <w:link w:val="Heading5Char"/>
    <w:qFormat/>
    <w:rsid w:val="00EA3D04"/>
    <w:pPr>
      <w:keepNext/>
      <w:outlineLvl w:val="4"/>
    </w:pPr>
    <w:rPr>
      <w:b/>
      <w:i/>
    </w:rPr>
  </w:style>
  <w:style w:type="paragraph" w:styleId="Heading6">
    <w:name w:val="heading 6"/>
    <w:basedOn w:val="Normal"/>
    <w:next w:val="Normal"/>
    <w:qFormat/>
    <w:rsid w:val="00EA3D04"/>
    <w:pPr>
      <w:keepNext/>
      <w:outlineLvl w:val="5"/>
    </w:pPr>
    <w:rPr>
      <w:b/>
      <w:caps/>
    </w:rPr>
  </w:style>
  <w:style w:type="paragraph" w:styleId="Heading7">
    <w:name w:val="heading 7"/>
    <w:basedOn w:val="Normal"/>
    <w:next w:val="Normal"/>
    <w:qFormat/>
    <w:rsid w:val="00EA3D04"/>
    <w:pPr>
      <w:jc w:val="center"/>
      <w:outlineLvl w:val="6"/>
    </w:pPr>
    <w:rPr>
      <w:caps/>
    </w:rPr>
  </w:style>
  <w:style w:type="paragraph" w:styleId="Heading8">
    <w:name w:val="heading 8"/>
    <w:basedOn w:val="Normal"/>
    <w:next w:val="Normal"/>
    <w:qFormat/>
    <w:rsid w:val="00EA3D04"/>
    <w:pPr>
      <w:keepNext/>
      <w:outlineLvl w:val="7"/>
    </w:pPr>
  </w:style>
  <w:style w:type="paragraph" w:styleId="Heading9">
    <w:name w:val="heading 9"/>
    <w:basedOn w:val="Normal"/>
    <w:next w:val="Normal"/>
    <w:qFormat/>
    <w:rsid w:val="00EA3D04"/>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3D04"/>
    <w:pPr>
      <w:tabs>
        <w:tab w:val="center" w:pos="4320"/>
        <w:tab w:val="right" w:pos="8640"/>
      </w:tabs>
    </w:pPr>
  </w:style>
  <w:style w:type="paragraph" w:styleId="Footer">
    <w:name w:val="footer"/>
    <w:basedOn w:val="Normal"/>
    <w:next w:val="Normal"/>
    <w:rsid w:val="00EA3D04"/>
    <w:pPr>
      <w:tabs>
        <w:tab w:val="center" w:pos="4320"/>
        <w:tab w:val="right" w:pos="8640"/>
      </w:tabs>
      <w:spacing w:after="0"/>
    </w:pPr>
  </w:style>
  <w:style w:type="paragraph" w:customStyle="1" w:styleId="Rom1">
    <w:name w:val="Rom1"/>
    <w:basedOn w:val="Normal"/>
    <w:rsid w:val="00EA3D04"/>
  </w:style>
  <w:style w:type="paragraph" w:customStyle="1" w:styleId="Rom2">
    <w:name w:val="Rom2"/>
    <w:basedOn w:val="Normal"/>
    <w:rsid w:val="00EA3D04"/>
    <w:pPr>
      <w:numPr>
        <w:numId w:val="2"/>
      </w:numPr>
      <w:tabs>
        <w:tab w:val="clear" w:pos="2160"/>
      </w:tabs>
      <w:ind w:left="1702" w:hanging="284"/>
    </w:pPr>
  </w:style>
  <w:style w:type="paragraph" w:customStyle="1" w:styleId="ParaNo">
    <w:name w:val="ParaNo."/>
    <w:basedOn w:val="Normal"/>
    <w:rsid w:val="00EA3D04"/>
    <w:pPr>
      <w:numPr>
        <w:numId w:val="1"/>
      </w:numPr>
      <w:tabs>
        <w:tab w:val="clear" w:pos="360"/>
        <w:tab w:val="left" w:pos="737"/>
      </w:tabs>
    </w:pPr>
    <w:rPr>
      <w:lang w:val="fr-CH"/>
    </w:rPr>
  </w:style>
  <w:style w:type="character" w:styleId="FootnoteReference">
    <w:name w:val="footnote reference"/>
    <w:aliases w:val="Footnote Reference/"/>
    <w:rsid w:val="00EA3D04"/>
    <w:rPr>
      <w:b/>
      <w:sz w:val="24"/>
      <w:vertAlign w:val="superscript"/>
    </w:rPr>
  </w:style>
  <w:style w:type="paragraph" w:styleId="FootnoteText">
    <w:name w:val="footnote text"/>
    <w:basedOn w:val="Normal"/>
    <w:link w:val="FootnoteTextChar"/>
    <w:rsid w:val="00EA3D04"/>
  </w:style>
  <w:style w:type="character" w:styleId="PageNumber">
    <w:name w:val="page number"/>
    <w:basedOn w:val="DefaultParagraphFont"/>
    <w:rsid w:val="00EA3D04"/>
  </w:style>
  <w:style w:type="paragraph" w:styleId="BodyTextIndent">
    <w:name w:val="Body Text Indent"/>
    <w:basedOn w:val="Normal"/>
    <w:next w:val="Normal"/>
    <w:rsid w:val="003A103A"/>
    <w:pPr>
      <w:ind w:left="567"/>
    </w:pPr>
  </w:style>
  <w:style w:type="paragraph" w:styleId="EndnoteText">
    <w:name w:val="endnote text"/>
    <w:basedOn w:val="Normal"/>
    <w:rsid w:val="00EA3D04"/>
  </w:style>
  <w:style w:type="character" w:styleId="EndnoteReference">
    <w:name w:val="endnote reference"/>
    <w:rsid w:val="00EA3D04"/>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rsid w:val="002F3B1A"/>
    <w:pPr>
      <w:keepNext/>
      <w:keepLines/>
      <w:tabs>
        <w:tab w:val="right" w:pos="851"/>
      </w:tabs>
      <w:suppressAutoHyphens/>
      <w:spacing w:before="360" w:line="300" w:lineRule="exact"/>
      <w:ind w:left="1134" w:right="1134" w:hanging="1134"/>
    </w:pPr>
    <w:rPr>
      <w:b/>
      <w:sz w:val="28"/>
    </w:rPr>
  </w:style>
  <w:style w:type="paragraph" w:customStyle="1" w:styleId="H1G">
    <w:name w:val="_ H_1_G"/>
    <w:basedOn w:val="Normal"/>
    <w:next w:val="Normal"/>
    <w:rsid w:val="00D161F4"/>
    <w:pPr>
      <w:keepNext/>
      <w:keepLines/>
      <w:tabs>
        <w:tab w:val="right" w:pos="851"/>
      </w:tabs>
      <w:suppressAutoHyphens/>
      <w:spacing w:before="360" w:line="270" w:lineRule="exact"/>
      <w:ind w:left="1134" w:right="1134" w:hanging="1134"/>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110971147">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769F6-C2C8-4E74-9016-D653DC02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6</TotalTime>
  <Pages>2</Pages>
  <Words>510</Words>
  <Characters>2908</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subject/>
  <dc:creator>fk</dc:creator>
  <cp:keywords/>
  <cp:lastModifiedBy>Lucille</cp:lastModifiedBy>
  <cp:revision>5</cp:revision>
  <cp:lastPrinted>2017-01-10T14:48:00Z</cp:lastPrinted>
  <dcterms:created xsi:type="dcterms:W3CDTF">2017-01-20T14:34:00Z</dcterms:created>
  <dcterms:modified xsi:type="dcterms:W3CDTF">2017-01-20T14:41:00Z</dcterms:modified>
</cp:coreProperties>
</file>