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40DD2A7" w14:textId="77777777" w:rsidTr="009E6CB7">
        <w:trPr>
          <w:cantSplit/>
          <w:trHeight w:hRule="exact" w:val="851"/>
        </w:trPr>
        <w:tc>
          <w:tcPr>
            <w:tcW w:w="1276" w:type="dxa"/>
            <w:tcBorders>
              <w:bottom w:val="single" w:sz="4" w:space="0" w:color="auto"/>
            </w:tcBorders>
            <w:vAlign w:val="bottom"/>
          </w:tcPr>
          <w:p w14:paraId="004DBD35" w14:textId="77777777" w:rsidR="009E6CB7" w:rsidRDefault="009E6CB7" w:rsidP="009E6CB7">
            <w:pPr>
              <w:spacing w:after="80"/>
            </w:pPr>
          </w:p>
        </w:tc>
        <w:tc>
          <w:tcPr>
            <w:tcW w:w="2268" w:type="dxa"/>
            <w:tcBorders>
              <w:bottom w:val="single" w:sz="4" w:space="0" w:color="auto"/>
            </w:tcBorders>
            <w:vAlign w:val="bottom"/>
          </w:tcPr>
          <w:p w14:paraId="416052D3"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5647D1" w14:textId="77777777" w:rsidR="009E6CB7" w:rsidRPr="00D47EEA" w:rsidRDefault="003A5F98" w:rsidP="00E437D6">
            <w:pPr>
              <w:jc w:val="right"/>
            </w:pPr>
            <w:r w:rsidRPr="003A5F98">
              <w:rPr>
                <w:sz w:val="40"/>
              </w:rPr>
              <w:t>ECE</w:t>
            </w:r>
            <w:r>
              <w:t>/TRANS/201</w:t>
            </w:r>
            <w:r w:rsidR="006C1223">
              <w:t>7</w:t>
            </w:r>
            <w:r>
              <w:t>/</w:t>
            </w:r>
            <w:r w:rsidR="00E437D6">
              <w:t>5</w:t>
            </w:r>
          </w:p>
        </w:tc>
      </w:tr>
      <w:tr w:rsidR="009E6CB7" w14:paraId="60B8529F" w14:textId="77777777" w:rsidTr="009E6CB7">
        <w:trPr>
          <w:cantSplit/>
          <w:trHeight w:hRule="exact" w:val="2835"/>
        </w:trPr>
        <w:tc>
          <w:tcPr>
            <w:tcW w:w="1276" w:type="dxa"/>
            <w:tcBorders>
              <w:top w:val="single" w:sz="4" w:space="0" w:color="auto"/>
              <w:bottom w:val="single" w:sz="12" w:space="0" w:color="auto"/>
            </w:tcBorders>
          </w:tcPr>
          <w:p w14:paraId="11570D37" w14:textId="77777777" w:rsidR="009E6CB7" w:rsidRDefault="00BC7F91" w:rsidP="009E6CB7">
            <w:pPr>
              <w:spacing w:before="120"/>
            </w:pPr>
            <w:r>
              <w:rPr>
                <w:noProof/>
                <w:lang w:val="en-US"/>
              </w:rPr>
              <w:drawing>
                <wp:inline distT="0" distB="0" distL="0" distR="0" wp14:anchorId="7E4F3D4C" wp14:editId="40EF89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A2A177"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1192BB2" w14:textId="77777777" w:rsidR="009E6CB7" w:rsidRDefault="003A5F98" w:rsidP="003A5F98">
            <w:pPr>
              <w:spacing w:before="240" w:line="240" w:lineRule="exact"/>
            </w:pPr>
            <w:r>
              <w:t>Distr.: General</w:t>
            </w:r>
          </w:p>
          <w:p w14:paraId="5DAE20DB" w14:textId="101E227A" w:rsidR="003A5F98" w:rsidRDefault="00085B8E" w:rsidP="003A5F98">
            <w:pPr>
              <w:spacing w:line="240" w:lineRule="exact"/>
            </w:pPr>
            <w:r>
              <w:t>13</w:t>
            </w:r>
            <w:r w:rsidR="006C1223">
              <w:t xml:space="preserve"> December 2016</w:t>
            </w:r>
          </w:p>
          <w:p w14:paraId="7C2F5F8D" w14:textId="77777777" w:rsidR="003A5F98" w:rsidRDefault="003A5F98" w:rsidP="003A5F98">
            <w:pPr>
              <w:spacing w:line="240" w:lineRule="exact"/>
            </w:pPr>
          </w:p>
          <w:p w14:paraId="407196F0" w14:textId="77777777" w:rsidR="003A5F98" w:rsidRDefault="003A5F98" w:rsidP="003A5F98">
            <w:pPr>
              <w:spacing w:line="240" w:lineRule="exact"/>
            </w:pPr>
            <w:r>
              <w:t>Original: English</w:t>
            </w:r>
          </w:p>
        </w:tc>
      </w:tr>
    </w:tbl>
    <w:p w14:paraId="1A468B03" w14:textId="77777777" w:rsidR="003A5F98" w:rsidRPr="007D68EB" w:rsidRDefault="003A5F98" w:rsidP="003A5F98">
      <w:pPr>
        <w:spacing w:before="120"/>
        <w:rPr>
          <w:b/>
          <w:bCs/>
          <w:sz w:val="28"/>
          <w:szCs w:val="28"/>
        </w:rPr>
      </w:pPr>
      <w:r w:rsidRPr="007D68EB">
        <w:rPr>
          <w:b/>
          <w:bCs/>
          <w:sz w:val="28"/>
          <w:szCs w:val="28"/>
        </w:rPr>
        <w:t>Economic Commission for Europe</w:t>
      </w:r>
    </w:p>
    <w:p w14:paraId="1F4F9F20" w14:textId="77777777" w:rsidR="003A5F98" w:rsidRPr="007D68EB" w:rsidRDefault="003A5F98" w:rsidP="003A5F98">
      <w:pPr>
        <w:spacing w:before="120"/>
        <w:rPr>
          <w:sz w:val="28"/>
          <w:szCs w:val="28"/>
        </w:rPr>
      </w:pPr>
      <w:r w:rsidRPr="007D68EB">
        <w:rPr>
          <w:sz w:val="28"/>
          <w:szCs w:val="28"/>
        </w:rPr>
        <w:t>Inland Transport Committee</w:t>
      </w:r>
    </w:p>
    <w:p w14:paraId="4C984878" w14:textId="77777777" w:rsidR="003A5F98" w:rsidRDefault="006C1223" w:rsidP="003A5F98">
      <w:pPr>
        <w:spacing w:before="120"/>
        <w:rPr>
          <w:b/>
          <w:bCs/>
          <w:lang w:val="en-US"/>
        </w:rPr>
      </w:pPr>
      <w:r>
        <w:rPr>
          <w:b/>
          <w:bCs/>
          <w:lang w:val="en-US"/>
        </w:rPr>
        <w:t>Seventy-nin</w:t>
      </w:r>
      <w:r w:rsidR="003A5F98">
        <w:rPr>
          <w:b/>
          <w:bCs/>
          <w:lang w:val="en-US"/>
        </w:rPr>
        <w:t>th</w:t>
      </w:r>
      <w:r w:rsidR="003A5F98" w:rsidRPr="007D68EB">
        <w:rPr>
          <w:b/>
          <w:bCs/>
          <w:lang w:val="en-US"/>
        </w:rPr>
        <w:t xml:space="preserve"> </w:t>
      </w:r>
      <w:proofErr w:type="gramStart"/>
      <w:r w:rsidR="003A5F98" w:rsidRPr="007D68EB">
        <w:rPr>
          <w:b/>
          <w:bCs/>
          <w:lang w:val="en-US"/>
        </w:rPr>
        <w:t>session</w:t>
      </w:r>
      <w:proofErr w:type="gramEnd"/>
    </w:p>
    <w:p w14:paraId="09210621" w14:textId="77777777" w:rsidR="003A5F98" w:rsidRDefault="003A5F98" w:rsidP="003A5F98">
      <w:pPr>
        <w:rPr>
          <w:b/>
          <w:bCs/>
        </w:rPr>
      </w:pPr>
      <w:r w:rsidRPr="007D68EB">
        <w:t>Geneva</w:t>
      </w:r>
      <w:r>
        <w:t>, 2</w:t>
      </w:r>
      <w:r w:rsidR="00946559">
        <w:t>1-</w:t>
      </w:r>
      <w:r w:rsidR="006C1223">
        <w:t>24 February 2017</w:t>
      </w:r>
      <w:r w:rsidR="008A071E">
        <w:br/>
      </w:r>
      <w:r w:rsidR="008637A8" w:rsidRPr="004C2966">
        <w:t>Item 4 (c) of the provisional agenda</w:t>
      </w:r>
      <w:r w:rsidR="008637A8" w:rsidRPr="004C2966">
        <w:br/>
      </w:r>
      <w:r w:rsidR="008637A8" w:rsidRPr="004C2966">
        <w:rPr>
          <w:b/>
          <w:bCs/>
        </w:rPr>
        <w:t>Strategic questions of a horizontal policy nature:</w:t>
      </w:r>
      <w:r w:rsidR="008637A8" w:rsidRPr="004C2966">
        <w:t xml:space="preserve"> </w:t>
      </w:r>
      <w:r w:rsidR="008637A8" w:rsidRPr="004C2966">
        <w:br/>
      </w:r>
      <w:r w:rsidR="008637A8" w:rsidRPr="004C2966">
        <w:rPr>
          <w:b/>
          <w:bCs/>
        </w:rPr>
        <w:t xml:space="preserve">Policy dialogue and technical assistance </w:t>
      </w:r>
      <w:r w:rsidR="008637A8" w:rsidRPr="004C2966">
        <w:rPr>
          <w:b/>
          <w:bCs/>
        </w:rPr>
        <w:br/>
        <w:t>to countries with economies in transition</w:t>
      </w:r>
    </w:p>
    <w:p w14:paraId="52F4CDFE" w14:textId="7776D26A" w:rsidR="003A5F98" w:rsidRDefault="003A5F98" w:rsidP="003A5F98">
      <w:pPr>
        <w:pStyle w:val="HChG"/>
      </w:pPr>
      <w:r>
        <w:tab/>
      </w:r>
      <w:r>
        <w:tab/>
      </w:r>
      <w:r w:rsidR="008637A8">
        <w:t>Main directions of p</w:t>
      </w:r>
      <w:r w:rsidR="008637A8" w:rsidRPr="004C2966">
        <w:t xml:space="preserve">olicy dialogue and technical </w:t>
      </w:r>
      <w:r w:rsidR="008637A8">
        <w:t>assistance</w:t>
      </w:r>
      <w:r w:rsidR="005C4D94">
        <w:t xml:space="preserve"> in </w:t>
      </w:r>
      <w:r w:rsidR="00564FB3" w:rsidRPr="00564FB3">
        <w:t xml:space="preserve">transport cooperation </w:t>
      </w:r>
      <w:r w:rsidR="00564FB3">
        <w:t xml:space="preserve">of </w:t>
      </w:r>
      <w:r w:rsidR="005C4D94">
        <w:rPr>
          <w:rFonts w:eastAsia="Calibri"/>
          <w:u w:color="000000"/>
        </w:rPr>
        <w:t>the United Nations Special Programme for the Economies of Central Asia</w:t>
      </w:r>
      <w:r w:rsidR="00517926" w:rsidRPr="00517926">
        <w:rPr>
          <w:rStyle w:val="FootnoteReference"/>
          <w:rFonts w:eastAsia="Calibri"/>
          <w:b w:val="0"/>
          <w:sz w:val="20"/>
          <w:u w:color="000000"/>
          <w:vertAlign w:val="baseline"/>
        </w:rPr>
        <w:footnoteReference w:customMarkFollows="1" w:id="2"/>
        <w:t>*</w:t>
      </w:r>
      <w:r w:rsidR="005C4D94" w:rsidRPr="00517926">
        <w:rPr>
          <w:rFonts w:eastAsia="Calibri"/>
          <w:b w:val="0"/>
          <w:u w:color="000000"/>
        </w:rPr>
        <w:t xml:space="preserve"> </w:t>
      </w:r>
    </w:p>
    <w:p w14:paraId="148F7759" w14:textId="07EF4C5D" w:rsidR="003A5F98" w:rsidRDefault="003A5F98" w:rsidP="003A5F98">
      <w:pPr>
        <w:pStyle w:val="H1G"/>
      </w:pPr>
      <w:r>
        <w:tab/>
      </w:r>
      <w:r>
        <w:tab/>
        <w:t>Note by the secretariat</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8637A8" w:rsidRPr="004C2966" w14:paraId="287C7620" w14:textId="77777777" w:rsidTr="00CF1D28">
        <w:trPr>
          <w:jc w:val="center"/>
        </w:trPr>
        <w:tc>
          <w:tcPr>
            <w:tcW w:w="9637" w:type="dxa"/>
            <w:shd w:val="clear" w:color="auto" w:fill="auto"/>
          </w:tcPr>
          <w:p w14:paraId="5EE23E4A" w14:textId="77777777" w:rsidR="008637A8" w:rsidRPr="004C2966" w:rsidRDefault="008637A8" w:rsidP="00CF1D28">
            <w:pPr>
              <w:spacing w:before="240" w:after="120"/>
              <w:ind w:left="255"/>
              <w:rPr>
                <w:rFonts w:eastAsia="Times New Roman Bold"/>
                <w:i/>
                <w:sz w:val="24"/>
              </w:rPr>
            </w:pPr>
            <w:r w:rsidRPr="004C2966">
              <w:rPr>
                <w:rFonts w:eastAsia="Times New Roman Bold"/>
                <w:i/>
                <w:sz w:val="24"/>
              </w:rPr>
              <w:t>Summary</w:t>
            </w:r>
          </w:p>
        </w:tc>
      </w:tr>
      <w:tr w:rsidR="008637A8" w:rsidRPr="004C2966" w14:paraId="42080A01" w14:textId="77777777" w:rsidTr="00CF1D28">
        <w:trPr>
          <w:jc w:val="center"/>
        </w:trPr>
        <w:tc>
          <w:tcPr>
            <w:tcW w:w="9637" w:type="dxa"/>
            <w:shd w:val="clear" w:color="auto" w:fill="auto"/>
          </w:tcPr>
          <w:p w14:paraId="49CC69EA" w14:textId="77777777" w:rsidR="008637A8" w:rsidRPr="004C2966" w:rsidRDefault="008637A8" w:rsidP="00DA654A">
            <w:pPr>
              <w:spacing w:after="120"/>
              <w:ind w:left="1134" w:right="1134"/>
              <w:jc w:val="both"/>
              <w:rPr>
                <w:rFonts w:eastAsia="Times New Roman Bold"/>
              </w:rPr>
            </w:pPr>
            <w:r w:rsidRPr="004C2966">
              <w:tab/>
              <w:t xml:space="preserve">Policy dialogue and </w:t>
            </w:r>
            <w:r w:rsidRPr="004C2966">
              <w:rPr>
                <w:rFonts w:eastAsia="Calibri"/>
                <w:u w:color="000000"/>
              </w:rPr>
              <w:t>technical assistance activities in the area of transport focus</w:t>
            </w:r>
            <w:r w:rsidR="00564FB3">
              <w:rPr>
                <w:rFonts w:eastAsia="Calibri"/>
                <w:u w:color="000000"/>
              </w:rPr>
              <w:t xml:space="preserve"> on</w:t>
            </w:r>
            <w:r w:rsidRPr="004C2966">
              <w:rPr>
                <w:rFonts w:eastAsia="Calibri"/>
                <w:u w:color="000000"/>
              </w:rPr>
              <w:t xml:space="preserve"> strengthen</w:t>
            </w:r>
            <w:r>
              <w:rPr>
                <w:rFonts w:eastAsia="Calibri"/>
                <w:u w:color="000000"/>
              </w:rPr>
              <w:t>ing</w:t>
            </w:r>
            <w:r w:rsidRPr="004C2966">
              <w:rPr>
                <w:rFonts w:eastAsia="Calibri"/>
                <w:u w:color="000000"/>
              </w:rPr>
              <w:t xml:space="preserve"> the capacity of member States</w:t>
            </w:r>
            <w:r>
              <w:rPr>
                <w:rFonts w:eastAsia="Calibri"/>
                <w:u w:color="000000"/>
              </w:rPr>
              <w:t>. S</w:t>
            </w:r>
            <w:r w:rsidRPr="004C2966">
              <w:rPr>
                <w:rFonts w:eastAsia="Calibri"/>
                <w:u w:color="000000"/>
              </w:rPr>
              <w:t xml:space="preserve">pecial attention </w:t>
            </w:r>
            <w:proofErr w:type="gramStart"/>
            <w:r>
              <w:rPr>
                <w:rFonts w:eastAsia="Calibri"/>
                <w:u w:color="000000"/>
              </w:rPr>
              <w:t>is given</w:t>
            </w:r>
            <w:proofErr w:type="gramEnd"/>
            <w:r>
              <w:rPr>
                <w:rFonts w:eastAsia="Calibri"/>
                <w:u w:color="000000"/>
              </w:rPr>
              <w:t xml:space="preserve"> to</w:t>
            </w:r>
            <w:r w:rsidRPr="004C2966">
              <w:rPr>
                <w:rFonts w:eastAsia="Calibri"/>
                <w:u w:color="000000"/>
              </w:rPr>
              <w:t xml:space="preserve"> landlocked countries and countries with economies in transition</w:t>
            </w:r>
            <w:r>
              <w:rPr>
                <w:rFonts w:eastAsia="Calibri"/>
                <w:u w:color="000000"/>
              </w:rPr>
              <w:t xml:space="preserve"> and</w:t>
            </w:r>
            <w:r w:rsidRPr="004C2966">
              <w:rPr>
                <w:rFonts w:eastAsia="Calibri"/>
                <w:u w:color="000000"/>
              </w:rPr>
              <w:t xml:space="preserve"> to </w:t>
            </w:r>
            <w:r>
              <w:rPr>
                <w:rFonts w:eastAsia="Calibri"/>
                <w:u w:color="000000"/>
              </w:rPr>
              <w:t xml:space="preserve">the </w:t>
            </w:r>
            <w:r w:rsidRPr="004C2966">
              <w:rPr>
                <w:rFonts w:eastAsia="Calibri"/>
                <w:u w:color="000000"/>
              </w:rPr>
              <w:t>implement</w:t>
            </w:r>
            <w:r>
              <w:rPr>
                <w:rFonts w:eastAsia="Calibri"/>
                <w:u w:color="000000"/>
              </w:rPr>
              <w:t>ation of</w:t>
            </w:r>
            <w:r w:rsidRPr="004C2966">
              <w:rPr>
                <w:rFonts w:eastAsia="Calibri"/>
                <w:u w:color="000000"/>
              </w:rPr>
              <w:t xml:space="preserve"> relevant United Nations legal instruments, norms and standards in transport. This paper presents the </w:t>
            </w:r>
            <w:r w:rsidR="00DA654A">
              <w:rPr>
                <w:rFonts w:eastAsia="Calibri"/>
                <w:u w:color="000000"/>
              </w:rPr>
              <w:t>state-of-the-art in transport cooperation within the United Nations Special Programme for the Economies of Central Asia (SPECA) and</w:t>
            </w:r>
            <w:r w:rsidRPr="004C2966">
              <w:rPr>
                <w:rFonts w:eastAsia="Calibri"/>
                <w:u w:color="000000"/>
              </w:rPr>
              <w:t xml:space="preserve"> the </w:t>
            </w:r>
            <w:r w:rsidR="00DA654A">
              <w:rPr>
                <w:rFonts w:eastAsia="Calibri"/>
                <w:u w:color="000000"/>
              </w:rPr>
              <w:t>plans for future actions</w:t>
            </w:r>
            <w:r w:rsidRPr="004C2966">
              <w:rPr>
                <w:rFonts w:eastAsia="Calibri"/>
                <w:u w:color="000000"/>
              </w:rPr>
              <w:t xml:space="preserve">. </w:t>
            </w:r>
          </w:p>
        </w:tc>
      </w:tr>
      <w:tr w:rsidR="008637A8" w:rsidRPr="004C2966" w14:paraId="184EEFC9" w14:textId="77777777" w:rsidTr="00CF1D28">
        <w:trPr>
          <w:jc w:val="center"/>
        </w:trPr>
        <w:tc>
          <w:tcPr>
            <w:tcW w:w="9637" w:type="dxa"/>
            <w:shd w:val="clear" w:color="auto" w:fill="auto"/>
          </w:tcPr>
          <w:p w14:paraId="49749397" w14:textId="77777777" w:rsidR="008637A8" w:rsidRPr="004C2966" w:rsidRDefault="008637A8" w:rsidP="00CF1D28">
            <w:pPr>
              <w:spacing w:after="120"/>
              <w:ind w:left="1134" w:right="1134"/>
              <w:jc w:val="both"/>
              <w:rPr>
                <w:rFonts w:eastAsia="Times New Roman Bold"/>
              </w:rPr>
            </w:pPr>
            <w:r w:rsidRPr="004C2966">
              <w:rPr>
                <w:rFonts w:eastAsia="Calibri"/>
                <w:b/>
                <w:u w:color="000000"/>
              </w:rPr>
              <w:tab/>
            </w:r>
            <w:r w:rsidRPr="00D12C4C">
              <w:rPr>
                <w:rFonts w:eastAsia="Calibri"/>
                <w:u w:color="000000"/>
              </w:rPr>
              <w:t xml:space="preserve">The </w:t>
            </w:r>
            <w:r>
              <w:rPr>
                <w:rFonts w:eastAsia="Calibri"/>
                <w:u w:color="000000"/>
              </w:rPr>
              <w:t>Inland Transport Committee</w:t>
            </w:r>
            <w:r w:rsidRPr="004C2966">
              <w:rPr>
                <w:rFonts w:eastAsia="Calibri"/>
                <w:b/>
                <w:u w:color="000000"/>
              </w:rPr>
              <w:t xml:space="preserve"> is invited</w:t>
            </w:r>
            <w:r w:rsidRPr="00D12C4C">
              <w:rPr>
                <w:rFonts w:eastAsia="Calibri"/>
                <w:u w:color="000000"/>
              </w:rPr>
              <w:t xml:space="preserve"> to</w:t>
            </w:r>
            <w:r w:rsidRPr="004C2966">
              <w:rPr>
                <w:rFonts w:eastAsia="Calibri"/>
                <w:u w:color="000000"/>
              </w:rPr>
              <w:t xml:space="preserve">: </w:t>
            </w:r>
          </w:p>
        </w:tc>
      </w:tr>
      <w:tr w:rsidR="008637A8" w:rsidRPr="004C2966" w14:paraId="01E7EF15" w14:textId="77777777" w:rsidTr="00CF1D28">
        <w:trPr>
          <w:jc w:val="center"/>
        </w:trPr>
        <w:tc>
          <w:tcPr>
            <w:tcW w:w="9637" w:type="dxa"/>
            <w:shd w:val="clear" w:color="auto" w:fill="auto"/>
          </w:tcPr>
          <w:p w14:paraId="2751A306" w14:textId="77777777" w:rsidR="008637A8" w:rsidRPr="004C2966" w:rsidRDefault="008637A8" w:rsidP="0076447B">
            <w:pPr>
              <w:pStyle w:val="Bullet1G"/>
              <w:rPr>
                <w:rFonts w:eastAsia="Times New Roman Bold"/>
              </w:rPr>
            </w:pPr>
            <w:r w:rsidRPr="004C2966">
              <w:rPr>
                <w:rFonts w:eastAsia="Calibri"/>
                <w:u w:color="000000"/>
              </w:rPr>
              <w:t>discuss this paper</w:t>
            </w:r>
            <w:r>
              <w:rPr>
                <w:rFonts w:eastAsia="Calibri"/>
                <w:u w:color="000000"/>
              </w:rPr>
              <w:t>;</w:t>
            </w:r>
            <w:r w:rsidRPr="004C2966">
              <w:rPr>
                <w:rFonts w:eastAsia="Calibri"/>
                <w:u w:color="000000"/>
              </w:rPr>
              <w:t xml:space="preserve"> and</w:t>
            </w:r>
          </w:p>
        </w:tc>
      </w:tr>
      <w:tr w:rsidR="008637A8" w:rsidRPr="004C2966" w14:paraId="52E75864" w14:textId="77777777" w:rsidTr="00CF1D28">
        <w:trPr>
          <w:jc w:val="center"/>
        </w:trPr>
        <w:tc>
          <w:tcPr>
            <w:tcW w:w="9637" w:type="dxa"/>
            <w:shd w:val="clear" w:color="auto" w:fill="auto"/>
          </w:tcPr>
          <w:p w14:paraId="39CB9A33" w14:textId="122B4A21" w:rsidR="008637A8" w:rsidRPr="004C2966" w:rsidRDefault="008637A8" w:rsidP="0076447B">
            <w:pPr>
              <w:pStyle w:val="Bullet1G"/>
              <w:rPr>
                <w:rFonts w:eastAsia="Times New Roman Bold"/>
              </w:rPr>
            </w:pPr>
            <w:proofErr w:type="gramStart"/>
            <w:r w:rsidRPr="004C2966">
              <w:rPr>
                <w:rFonts w:eastAsia="Calibri"/>
                <w:u w:color="000000"/>
              </w:rPr>
              <w:t>give</w:t>
            </w:r>
            <w:proofErr w:type="gramEnd"/>
            <w:r w:rsidRPr="004C2966">
              <w:rPr>
                <w:rFonts w:eastAsia="Calibri"/>
                <w:u w:color="000000"/>
              </w:rPr>
              <w:t xml:space="preserve"> guidance to the secretariat on further improv</w:t>
            </w:r>
            <w:r>
              <w:rPr>
                <w:rFonts w:eastAsia="Calibri"/>
                <w:u w:color="000000"/>
              </w:rPr>
              <w:t>ing</w:t>
            </w:r>
            <w:r w:rsidRPr="004C2966">
              <w:rPr>
                <w:rFonts w:eastAsia="Calibri"/>
                <w:u w:color="000000"/>
              </w:rPr>
              <w:t xml:space="preserve"> </w:t>
            </w:r>
            <w:r>
              <w:rPr>
                <w:rFonts w:eastAsia="Calibri"/>
                <w:u w:color="000000"/>
              </w:rPr>
              <w:t>the</w:t>
            </w:r>
            <w:r w:rsidRPr="004C2966">
              <w:rPr>
                <w:rFonts w:eastAsia="Calibri"/>
                <w:u w:color="000000"/>
              </w:rPr>
              <w:t xml:space="preserve"> technical assistance activities </w:t>
            </w:r>
            <w:r w:rsidR="00564FB3">
              <w:rPr>
                <w:rFonts w:eastAsia="Calibri"/>
                <w:u w:color="000000"/>
              </w:rPr>
              <w:t xml:space="preserve">of </w:t>
            </w:r>
            <w:r w:rsidR="00564FB3" w:rsidRPr="00564FB3">
              <w:rPr>
                <w:rFonts w:eastAsia="Calibri"/>
                <w:u w:color="000000"/>
              </w:rPr>
              <w:t xml:space="preserve">transport cooperation </w:t>
            </w:r>
            <w:r w:rsidRPr="004C2966">
              <w:rPr>
                <w:rFonts w:eastAsia="Calibri"/>
                <w:u w:color="000000"/>
              </w:rPr>
              <w:t xml:space="preserve">in </w:t>
            </w:r>
            <w:r w:rsidR="00DA654A">
              <w:rPr>
                <w:rFonts w:eastAsia="Calibri"/>
                <w:u w:color="000000"/>
              </w:rPr>
              <w:t>SPECA</w:t>
            </w:r>
            <w:r w:rsidRPr="004C2966">
              <w:rPr>
                <w:rFonts w:eastAsia="Calibri"/>
                <w:u w:color="000000"/>
              </w:rPr>
              <w:t>.</w:t>
            </w:r>
          </w:p>
        </w:tc>
      </w:tr>
      <w:tr w:rsidR="008637A8" w:rsidRPr="004C2966" w14:paraId="231147F7" w14:textId="77777777" w:rsidTr="00CF1D28">
        <w:trPr>
          <w:jc w:val="center"/>
        </w:trPr>
        <w:tc>
          <w:tcPr>
            <w:tcW w:w="9637" w:type="dxa"/>
            <w:shd w:val="clear" w:color="auto" w:fill="auto"/>
          </w:tcPr>
          <w:p w14:paraId="1036D836" w14:textId="77777777" w:rsidR="008637A8" w:rsidRPr="004C2966" w:rsidRDefault="008637A8" w:rsidP="00CF1D28">
            <w:pPr>
              <w:rPr>
                <w:rFonts w:eastAsia="Times New Roman Bold"/>
              </w:rPr>
            </w:pPr>
          </w:p>
        </w:tc>
      </w:tr>
    </w:tbl>
    <w:p w14:paraId="690298FB" w14:textId="4F864A52" w:rsidR="006A2401" w:rsidRPr="00107B3B" w:rsidRDefault="00107B3B" w:rsidP="00134EE9">
      <w:pPr>
        <w:pStyle w:val="HChG"/>
      </w:pPr>
      <w:r>
        <w:lastRenderedPageBreak/>
        <w:tab/>
      </w:r>
      <w:r w:rsidR="00C05197">
        <w:t>I.</w:t>
      </w:r>
      <w:r w:rsidR="006A2401">
        <w:tab/>
      </w:r>
      <w:r w:rsidR="006A2401" w:rsidRPr="00134EE9">
        <w:t>Background</w:t>
      </w:r>
    </w:p>
    <w:p w14:paraId="23B3D59D" w14:textId="0A3827F9" w:rsidR="00650702" w:rsidRDefault="00650702" w:rsidP="00015C5E">
      <w:pPr>
        <w:pStyle w:val="SingleTxtG"/>
        <w:rPr>
          <w:rFonts w:eastAsia="Calibri"/>
          <w:u w:color="000000"/>
        </w:rPr>
      </w:pPr>
      <w:proofErr w:type="gramStart"/>
      <w:r w:rsidRPr="00107B3B">
        <w:rPr>
          <w:rFonts w:eastAsia="Calibri"/>
          <w:u w:color="000000"/>
        </w:rPr>
        <w:t>1.</w:t>
      </w:r>
      <w:r w:rsidRPr="00107B3B">
        <w:rPr>
          <w:rFonts w:eastAsia="Calibri"/>
          <w:u w:color="000000"/>
        </w:rPr>
        <w:tab/>
      </w:r>
      <w:r w:rsidR="00A6062F" w:rsidRPr="00107B3B">
        <w:rPr>
          <w:rFonts w:eastAsia="Calibri"/>
          <w:u w:color="000000"/>
        </w:rPr>
        <w:t>The</w:t>
      </w:r>
      <w:r w:rsidRPr="00107B3B">
        <w:rPr>
          <w:rFonts w:eastAsia="Calibri"/>
          <w:u w:color="000000"/>
        </w:rPr>
        <w:t xml:space="preserve"> complexity of modern transport systems, </w:t>
      </w:r>
      <w:r w:rsidR="00A6062F" w:rsidRPr="00107B3B">
        <w:rPr>
          <w:rFonts w:eastAsia="Calibri"/>
          <w:u w:color="000000"/>
        </w:rPr>
        <w:t xml:space="preserve">the </w:t>
      </w:r>
      <w:r w:rsidRPr="00107B3B">
        <w:rPr>
          <w:rFonts w:eastAsia="Calibri"/>
          <w:u w:color="000000"/>
        </w:rPr>
        <w:t xml:space="preserve">goals and targets defined in the </w:t>
      </w:r>
      <w:r w:rsidR="00564FB3" w:rsidRPr="00107B3B">
        <w:rPr>
          <w:rFonts w:eastAsia="Calibri"/>
          <w:u w:color="000000"/>
        </w:rPr>
        <w:t>‘</w:t>
      </w:r>
      <w:r w:rsidRPr="00107B3B">
        <w:rPr>
          <w:rFonts w:eastAsia="Calibri"/>
          <w:u w:color="000000"/>
        </w:rPr>
        <w:t>Transforming our world: the 2030 Agenda for Sustainable Development</w:t>
      </w:r>
      <w:r w:rsidR="00564FB3" w:rsidRPr="00107B3B">
        <w:rPr>
          <w:rFonts w:eastAsia="Calibri"/>
          <w:u w:color="000000"/>
        </w:rPr>
        <w:t>’</w:t>
      </w:r>
      <w:r w:rsidRPr="00107B3B">
        <w:rPr>
          <w:rFonts w:eastAsia="Calibri"/>
          <w:u w:color="000000"/>
        </w:rPr>
        <w:t xml:space="preserve"> document</w:t>
      </w:r>
      <w:r w:rsidR="00134EE9">
        <w:rPr>
          <w:rStyle w:val="FootnoteReference"/>
          <w:rFonts w:eastAsia="Calibri"/>
          <w:u w:color="000000"/>
        </w:rPr>
        <w:footnoteReference w:id="3"/>
      </w:r>
      <w:r w:rsidR="00B93C5E" w:rsidRPr="00107B3B">
        <w:rPr>
          <w:rFonts w:eastAsia="Calibri"/>
          <w:u w:color="000000"/>
        </w:rPr>
        <w:t xml:space="preserve"> </w:t>
      </w:r>
      <w:r w:rsidRPr="00107B3B">
        <w:rPr>
          <w:rFonts w:eastAsia="Calibri"/>
          <w:u w:color="000000"/>
        </w:rPr>
        <w:t xml:space="preserve"> and the necessity to address all relevant inland transport system components</w:t>
      </w:r>
      <w:r w:rsidR="00B93C5E" w:rsidRPr="00107B3B">
        <w:rPr>
          <w:rFonts w:eastAsia="Calibri"/>
          <w:u w:color="000000"/>
        </w:rPr>
        <w:t xml:space="preserve"> have </w:t>
      </w:r>
      <w:r w:rsidR="00614E98" w:rsidRPr="00107B3B">
        <w:rPr>
          <w:rFonts w:eastAsia="Calibri"/>
          <w:u w:color="000000"/>
        </w:rPr>
        <w:t xml:space="preserve">led to the </w:t>
      </w:r>
      <w:r w:rsidR="00B93C5E" w:rsidRPr="00107B3B">
        <w:rPr>
          <w:rFonts w:eastAsia="Calibri"/>
          <w:u w:color="000000"/>
        </w:rPr>
        <w:t>group</w:t>
      </w:r>
      <w:r w:rsidR="00614E98" w:rsidRPr="00107B3B">
        <w:rPr>
          <w:rFonts w:eastAsia="Calibri"/>
          <w:u w:color="000000"/>
        </w:rPr>
        <w:t>ing of</w:t>
      </w:r>
      <w:r w:rsidR="00B93C5E" w:rsidRPr="00107B3B">
        <w:rPr>
          <w:rFonts w:eastAsia="Calibri"/>
          <w:u w:color="000000"/>
        </w:rPr>
        <w:t xml:space="preserve"> </w:t>
      </w:r>
      <w:r w:rsidR="002D036C" w:rsidRPr="00107B3B">
        <w:t xml:space="preserve">the </w:t>
      </w:r>
      <w:r w:rsidR="00614087" w:rsidRPr="00107B3B">
        <w:t xml:space="preserve">activities of the </w:t>
      </w:r>
      <w:r w:rsidR="002D036C" w:rsidRPr="00107B3B">
        <w:t>United Nations Economic Commission for Europe (ECE)</w:t>
      </w:r>
      <w:r w:rsidRPr="00107B3B">
        <w:rPr>
          <w:rFonts w:eastAsia="Calibri"/>
          <w:u w:color="000000"/>
        </w:rPr>
        <w:t xml:space="preserve"> Sustainable Transport Division </w:t>
      </w:r>
      <w:r w:rsidR="00B93C5E" w:rsidRPr="00107B3B">
        <w:rPr>
          <w:rFonts w:eastAsia="Calibri"/>
          <w:u w:color="000000"/>
        </w:rPr>
        <w:t>as</w:t>
      </w:r>
      <w:r w:rsidRPr="00107B3B">
        <w:rPr>
          <w:rFonts w:eastAsia="Calibri"/>
          <w:u w:color="000000"/>
        </w:rPr>
        <w:t>: (</w:t>
      </w:r>
      <w:r w:rsidR="00614E98" w:rsidRPr="00107B3B">
        <w:rPr>
          <w:rFonts w:eastAsia="Calibri"/>
          <w:u w:color="000000"/>
        </w:rPr>
        <w:t>a</w:t>
      </w:r>
      <w:r w:rsidRPr="00107B3B">
        <w:rPr>
          <w:rFonts w:eastAsia="Calibri"/>
          <w:u w:color="000000"/>
        </w:rPr>
        <w:t>) regulatory work, (</w:t>
      </w:r>
      <w:r w:rsidR="00614E98" w:rsidRPr="00107B3B">
        <w:rPr>
          <w:rFonts w:eastAsia="Calibri"/>
          <w:u w:color="000000"/>
        </w:rPr>
        <w:t>b</w:t>
      </w:r>
      <w:r w:rsidRPr="00107B3B">
        <w:rPr>
          <w:rFonts w:eastAsia="Calibri"/>
          <w:u w:color="000000"/>
        </w:rPr>
        <w:t>) policy dialogue, (</w:t>
      </w:r>
      <w:r w:rsidR="00614E98" w:rsidRPr="00107B3B">
        <w:rPr>
          <w:rFonts w:eastAsia="Calibri"/>
          <w:u w:color="000000"/>
        </w:rPr>
        <w:t>c</w:t>
      </w:r>
      <w:r w:rsidRPr="00107B3B">
        <w:rPr>
          <w:rFonts w:eastAsia="Calibri"/>
          <w:u w:color="000000"/>
        </w:rPr>
        <w:t>) analytical work and (</w:t>
      </w:r>
      <w:r w:rsidR="00614E98" w:rsidRPr="00107B3B">
        <w:rPr>
          <w:rFonts w:eastAsia="Calibri"/>
          <w:u w:color="000000"/>
        </w:rPr>
        <w:t>d</w:t>
      </w:r>
      <w:r w:rsidRPr="00107B3B">
        <w:rPr>
          <w:rFonts w:eastAsia="Calibri"/>
          <w:u w:color="000000"/>
        </w:rPr>
        <w:t>) technical assistance and capacity-building activities.</w:t>
      </w:r>
      <w:proofErr w:type="gramEnd"/>
    </w:p>
    <w:p w14:paraId="4516A840" w14:textId="2B784F1F" w:rsidR="009C0951" w:rsidRDefault="00650702" w:rsidP="00336F28">
      <w:pPr>
        <w:pStyle w:val="SingleTxtG"/>
        <w:rPr>
          <w:rFonts w:eastAsia="Calibri"/>
          <w:u w:color="000000"/>
        </w:rPr>
      </w:pPr>
      <w:r>
        <w:rPr>
          <w:rFonts w:eastAsia="Calibri"/>
          <w:u w:color="000000"/>
        </w:rPr>
        <w:t>2</w:t>
      </w:r>
      <w:r w:rsidR="00DA654A">
        <w:rPr>
          <w:rFonts w:eastAsia="Calibri"/>
          <w:u w:color="000000"/>
        </w:rPr>
        <w:t>.</w:t>
      </w:r>
      <w:r w:rsidR="00DA654A">
        <w:rPr>
          <w:rFonts w:eastAsia="Calibri"/>
          <w:u w:color="000000"/>
        </w:rPr>
        <w:tab/>
      </w:r>
      <w:r w:rsidR="00DA654A" w:rsidRPr="004C2966">
        <w:rPr>
          <w:rFonts w:eastAsia="Calibri"/>
          <w:u w:color="000000"/>
        </w:rPr>
        <w:t xml:space="preserve">The primary focus of </w:t>
      </w:r>
      <w:r>
        <w:rPr>
          <w:rFonts w:eastAsia="Calibri"/>
          <w:u w:color="000000"/>
        </w:rPr>
        <w:t>policy dialogue,</w:t>
      </w:r>
      <w:r w:rsidR="00C87912">
        <w:rPr>
          <w:rFonts w:eastAsia="Calibri"/>
          <w:u w:color="000000"/>
        </w:rPr>
        <w:t xml:space="preserve"> technical assistance</w:t>
      </w:r>
      <w:r>
        <w:rPr>
          <w:rFonts w:eastAsia="Calibri"/>
          <w:u w:color="000000"/>
        </w:rPr>
        <w:t xml:space="preserve"> and </w:t>
      </w:r>
      <w:r w:rsidR="00A6062F">
        <w:rPr>
          <w:rFonts w:eastAsia="Calibri"/>
          <w:u w:color="000000"/>
        </w:rPr>
        <w:t>capacity-</w:t>
      </w:r>
      <w:r>
        <w:rPr>
          <w:rFonts w:eastAsia="Calibri"/>
          <w:u w:color="000000"/>
        </w:rPr>
        <w:t>building</w:t>
      </w:r>
      <w:r w:rsidR="00C87912">
        <w:rPr>
          <w:rFonts w:eastAsia="Calibri"/>
          <w:u w:color="000000"/>
        </w:rPr>
        <w:t xml:space="preserve"> </w:t>
      </w:r>
      <w:r w:rsidR="00A6062F" w:rsidRPr="00A6062F">
        <w:rPr>
          <w:rFonts w:eastAsia="Calibri"/>
          <w:u w:color="000000"/>
        </w:rPr>
        <w:t xml:space="preserve">(TA) </w:t>
      </w:r>
      <w:r w:rsidR="00DA654A" w:rsidRPr="004C2966">
        <w:rPr>
          <w:rFonts w:eastAsia="Calibri"/>
          <w:u w:color="000000"/>
        </w:rPr>
        <w:t xml:space="preserve">activities is to improve the capacities of member States to accede to and </w:t>
      </w:r>
      <w:r>
        <w:rPr>
          <w:rFonts w:eastAsia="Calibri"/>
          <w:u w:color="000000"/>
        </w:rPr>
        <w:t xml:space="preserve">efficiently </w:t>
      </w:r>
      <w:r w:rsidR="00DA654A" w:rsidRPr="004C2966">
        <w:rPr>
          <w:rFonts w:eastAsia="Calibri"/>
          <w:u w:color="000000"/>
        </w:rPr>
        <w:t xml:space="preserve">implement </w:t>
      </w:r>
      <w:r w:rsidR="00DA654A">
        <w:rPr>
          <w:rFonts w:eastAsia="Calibri"/>
          <w:u w:color="000000"/>
        </w:rPr>
        <w:t>the</w:t>
      </w:r>
      <w:r w:rsidR="00DA654A" w:rsidRPr="004C2966">
        <w:rPr>
          <w:rFonts w:eastAsia="Calibri"/>
          <w:u w:color="000000"/>
        </w:rPr>
        <w:t xml:space="preserve"> U</w:t>
      </w:r>
      <w:r w:rsidR="00DA654A">
        <w:rPr>
          <w:rFonts w:eastAsia="Calibri"/>
          <w:u w:color="000000"/>
        </w:rPr>
        <w:t xml:space="preserve">nited </w:t>
      </w:r>
      <w:r w:rsidR="00DA654A" w:rsidRPr="004C2966">
        <w:rPr>
          <w:rFonts w:eastAsia="Calibri"/>
          <w:u w:color="000000"/>
        </w:rPr>
        <w:t>N</w:t>
      </w:r>
      <w:r w:rsidR="00DA654A">
        <w:rPr>
          <w:rFonts w:eastAsia="Calibri"/>
          <w:u w:color="000000"/>
        </w:rPr>
        <w:t>ations</w:t>
      </w:r>
      <w:r w:rsidR="00DA654A" w:rsidRPr="004C2966">
        <w:rPr>
          <w:rFonts w:eastAsia="Calibri"/>
          <w:u w:color="000000"/>
        </w:rPr>
        <w:t xml:space="preserve"> inl</w:t>
      </w:r>
      <w:r>
        <w:rPr>
          <w:rFonts w:eastAsia="Calibri"/>
          <w:u w:color="000000"/>
        </w:rPr>
        <w:t xml:space="preserve">and transport legal instruments and promote </w:t>
      </w:r>
      <w:r w:rsidRPr="004C2966">
        <w:rPr>
          <w:rFonts w:eastAsia="Calibri"/>
          <w:u w:color="000000"/>
        </w:rPr>
        <w:t>sustainable</w:t>
      </w:r>
      <w:r w:rsidRPr="00E95275">
        <w:t xml:space="preserve"> mobility and transport, </w:t>
      </w:r>
      <w:r w:rsidRPr="00336F28">
        <w:t>including</w:t>
      </w:r>
      <w:r w:rsidRPr="00E95275">
        <w:t xml:space="preserve"> </w:t>
      </w:r>
      <w:r>
        <w:t xml:space="preserve">its </w:t>
      </w:r>
      <w:r w:rsidRPr="00E95275">
        <w:t xml:space="preserve">economic, social and environmental </w:t>
      </w:r>
      <w:r>
        <w:t>components</w:t>
      </w:r>
      <w:r w:rsidR="00DA654A" w:rsidRPr="004C2966">
        <w:rPr>
          <w:rFonts w:eastAsia="Calibri"/>
          <w:u w:color="000000"/>
        </w:rPr>
        <w:t xml:space="preserve">. </w:t>
      </w:r>
      <w:r w:rsidR="007D7875">
        <w:rPr>
          <w:rFonts w:eastAsia="Calibri"/>
          <w:u w:color="000000"/>
        </w:rPr>
        <w:t xml:space="preserve">In some </w:t>
      </w:r>
      <w:proofErr w:type="gramStart"/>
      <w:r w:rsidR="0068795A">
        <w:rPr>
          <w:rFonts w:eastAsia="Calibri"/>
          <w:u w:color="000000"/>
        </w:rPr>
        <w:t>countries</w:t>
      </w:r>
      <w:proofErr w:type="gramEnd"/>
      <w:r w:rsidR="007D7875">
        <w:rPr>
          <w:rFonts w:eastAsia="Calibri"/>
          <w:u w:color="000000"/>
        </w:rPr>
        <w:t xml:space="preserve"> </w:t>
      </w:r>
      <w:r w:rsidR="007D7875" w:rsidRPr="004C2966">
        <w:rPr>
          <w:rFonts w:eastAsia="Calibri"/>
          <w:u w:color="000000"/>
        </w:rPr>
        <w:t xml:space="preserve">these activities are more </w:t>
      </w:r>
      <w:r w:rsidR="007D7875">
        <w:rPr>
          <w:rFonts w:eastAsia="Calibri"/>
          <w:u w:color="000000"/>
        </w:rPr>
        <w:t>policy oriented</w:t>
      </w:r>
      <w:r w:rsidR="007D7875" w:rsidRPr="004C2966">
        <w:rPr>
          <w:rFonts w:eastAsia="Calibri"/>
          <w:u w:color="000000"/>
        </w:rPr>
        <w:t xml:space="preserve">, and </w:t>
      </w:r>
      <w:r w:rsidR="007D7875">
        <w:rPr>
          <w:rFonts w:eastAsia="Calibri"/>
          <w:u w:color="000000"/>
        </w:rPr>
        <w:t xml:space="preserve">in the most of the member States </w:t>
      </w:r>
      <w:r w:rsidR="007D7875" w:rsidRPr="004C2966">
        <w:rPr>
          <w:rFonts w:eastAsia="Calibri"/>
          <w:u w:color="000000"/>
        </w:rPr>
        <w:t>TA activities</w:t>
      </w:r>
      <w:r w:rsidR="007D7875">
        <w:rPr>
          <w:rFonts w:eastAsia="Calibri"/>
          <w:u w:color="000000"/>
        </w:rPr>
        <w:t xml:space="preserve"> assist </w:t>
      </w:r>
      <w:r w:rsidR="00A6062F">
        <w:rPr>
          <w:rFonts w:eastAsia="Calibri"/>
          <w:u w:color="000000"/>
        </w:rPr>
        <w:t xml:space="preserve">in </w:t>
      </w:r>
      <w:r w:rsidR="007D7875">
        <w:rPr>
          <w:rFonts w:eastAsia="Calibri"/>
          <w:u w:color="000000"/>
        </w:rPr>
        <w:t>strengthen</w:t>
      </w:r>
      <w:r w:rsidR="00A6062F">
        <w:rPr>
          <w:rFonts w:eastAsia="Calibri"/>
          <w:u w:color="000000"/>
        </w:rPr>
        <w:t>ing</w:t>
      </w:r>
      <w:r w:rsidR="007D7875">
        <w:rPr>
          <w:rFonts w:eastAsia="Calibri"/>
          <w:u w:color="000000"/>
        </w:rPr>
        <w:t xml:space="preserve"> human and institutional capacities </w:t>
      </w:r>
      <w:r w:rsidR="007D7875" w:rsidRPr="004C2966">
        <w:rPr>
          <w:rFonts w:eastAsia="Calibri"/>
          <w:u w:color="000000"/>
        </w:rPr>
        <w:t>to put in place or enhance legal framework</w:t>
      </w:r>
      <w:r w:rsidR="007D7875">
        <w:rPr>
          <w:rFonts w:eastAsia="Calibri"/>
          <w:u w:color="000000"/>
        </w:rPr>
        <w:t>s</w:t>
      </w:r>
      <w:r w:rsidR="007D7875" w:rsidRPr="004C2966">
        <w:rPr>
          <w:rFonts w:eastAsia="Calibri"/>
          <w:u w:color="000000"/>
        </w:rPr>
        <w:t xml:space="preserve"> </w:t>
      </w:r>
      <w:r w:rsidR="007D7875">
        <w:rPr>
          <w:rFonts w:eastAsia="Calibri"/>
          <w:u w:color="000000"/>
        </w:rPr>
        <w:t xml:space="preserve">for </w:t>
      </w:r>
      <w:r w:rsidR="007D7875" w:rsidRPr="004C2966">
        <w:rPr>
          <w:rFonts w:eastAsia="Calibri"/>
          <w:u w:color="000000"/>
        </w:rPr>
        <w:t>sustainable transport system development</w:t>
      </w:r>
      <w:r w:rsidR="007D7875">
        <w:rPr>
          <w:rFonts w:eastAsia="Calibri"/>
          <w:u w:color="000000"/>
        </w:rPr>
        <w:t xml:space="preserve">. TA </w:t>
      </w:r>
      <w:r w:rsidR="004D722E" w:rsidRPr="004C2966">
        <w:rPr>
          <w:rFonts w:eastAsia="Calibri"/>
          <w:u w:color="000000"/>
        </w:rPr>
        <w:t>benefits</w:t>
      </w:r>
      <w:r w:rsidR="007D7875" w:rsidRPr="004C2966">
        <w:rPr>
          <w:rFonts w:eastAsia="Calibri"/>
          <w:u w:color="000000"/>
        </w:rPr>
        <w:t xml:space="preserve"> many member States</w:t>
      </w:r>
      <w:r w:rsidR="007D7875">
        <w:rPr>
          <w:rFonts w:eastAsia="Calibri"/>
          <w:u w:color="000000"/>
        </w:rPr>
        <w:t xml:space="preserve">, </w:t>
      </w:r>
      <w:r w:rsidR="00A6062F">
        <w:rPr>
          <w:rFonts w:eastAsia="Calibri"/>
          <w:u w:color="000000"/>
        </w:rPr>
        <w:t xml:space="preserve">and </w:t>
      </w:r>
      <w:r w:rsidR="004D722E">
        <w:rPr>
          <w:rFonts w:eastAsia="Calibri"/>
          <w:u w:color="000000"/>
        </w:rPr>
        <w:t xml:space="preserve">special attention </w:t>
      </w:r>
      <w:proofErr w:type="gramStart"/>
      <w:r w:rsidR="004D722E">
        <w:rPr>
          <w:rFonts w:eastAsia="Calibri"/>
          <w:u w:color="000000"/>
        </w:rPr>
        <w:t>is given</w:t>
      </w:r>
      <w:proofErr w:type="gramEnd"/>
      <w:r w:rsidR="004D722E">
        <w:rPr>
          <w:rFonts w:eastAsia="Calibri"/>
          <w:u w:color="000000"/>
        </w:rPr>
        <w:t xml:space="preserve"> to the </w:t>
      </w:r>
      <w:r w:rsidR="007D7875" w:rsidRPr="004C2966">
        <w:rPr>
          <w:rFonts w:eastAsia="Calibri"/>
          <w:u w:color="000000"/>
        </w:rPr>
        <w:t>countries of Eastern and South</w:t>
      </w:r>
      <w:r w:rsidR="00C05197">
        <w:rPr>
          <w:rFonts w:eastAsia="Calibri"/>
          <w:u w:color="000000"/>
        </w:rPr>
        <w:t>-</w:t>
      </w:r>
      <w:r w:rsidR="007D7875" w:rsidRPr="004C2966">
        <w:rPr>
          <w:rFonts w:eastAsia="Calibri"/>
          <w:u w:color="000000"/>
        </w:rPr>
        <w:t>Eastern Europe, the Caucasus and Central Asia.</w:t>
      </w:r>
    </w:p>
    <w:p w14:paraId="11416C48" w14:textId="575A41BD" w:rsidR="004D722E" w:rsidRDefault="004D722E" w:rsidP="00336F28">
      <w:pPr>
        <w:pStyle w:val="SingleTxtG"/>
        <w:rPr>
          <w:rFonts w:eastAsia="Calibri"/>
          <w:u w:color="000000"/>
        </w:rPr>
      </w:pPr>
      <w:r>
        <w:rPr>
          <w:rFonts w:eastAsia="Calibri"/>
          <w:u w:color="000000"/>
        </w:rPr>
        <w:t>3</w:t>
      </w:r>
      <w:r w:rsidR="008637A8" w:rsidRPr="004C2966">
        <w:rPr>
          <w:rFonts w:eastAsia="Calibri"/>
          <w:u w:color="000000"/>
        </w:rPr>
        <w:t>.</w:t>
      </w:r>
      <w:r w:rsidR="008637A8" w:rsidRPr="004C2966">
        <w:rPr>
          <w:rFonts w:eastAsia="Calibri"/>
          <w:u w:color="000000"/>
        </w:rPr>
        <w:tab/>
        <w:t>This paper discusses TA activities</w:t>
      </w:r>
      <w:r>
        <w:rPr>
          <w:rFonts w:eastAsia="Calibri"/>
          <w:u w:color="000000"/>
        </w:rPr>
        <w:t xml:space="preserve"> implemented within the United Nations Special Programme for the Economies of Central Asia (SPECA) </w:t>
      </w:r>
      <w:r w:rsidRPr="00336F28">
        <w:rPr>
          <w:rFonts w:eastAsia="Calibri"/>
        </w:rPr>
        <w:t>transport</w:t>
      </w:r>
      <w:r>
        <w:rPr>
          <w:rFonts w:eastAsia="Calibri"/>
          <w:u w:color="000000"/>
        </w:rPr>
        <w:t xml:space="preserve"> cooperation</w:t>
      </w:r>
      <w:r w:rsidR="0075176E">
        <w:rPr>
          <w:rFonts w:eastAsia="Calibri"/>
          <w:u w:color="000000"/>
        </w:rPr>
        <w:t>.</w:t>
      </w:r>
      <w:r w:rsidR="0068795A">
        <w:rPr>
          <w:rFonts w:eastAsia="Calibri"/>
          <w:u w:color="000000"/>
        </w:rPr>
        <w:t xml:space="preserve"> </w:t>
      </w:r>
      <w:r w:rsidR="009D2BA5">
        <w:rPr>
          <w:rFonts w:eastAsia="Calibri"/>
          <w:u w:color="000000"/>
        </w:rPr>
        <w:t>SPECA transport TA covers the whole spectrum of activities fr</w:t>
      </w:r>
      <w:r w:rsidR="00A73B21">
        <w:rPr>
          <w:rFonts w:eastAsia="Calibri"/>
          <w:u w:color="000000"/>
        </w:rPr>
        <w:t>o</w:t>
      </w:r>
      <w:r w:rsidR="009D2BA5">
        <w:rPr>
          <w:rFonts w:eastAsia="Calibri"/>
          <w:u w:color="000000"/>
        </w:rPr>
        <w:t xml:space="preserve">m transport infrastructure </w:t>
      </w:r>
      <w:r w:rsidR="00A73B21">
        <w:rPr>
          <w:rFonts w:eastAsia="Calibri"/>
          <w:u w:color="000000"/>
        </w:rPr>
        <w:t>development</w:t>
      </w:r>
      <w:r w:rsidR="009D2BA5">
        <w:rPr>
          <w:rFonts w:eastAsia="Calibri"/>
          <w:u w:color="000000"/>
        </w:rPr>
        <w:t xml:space="preserve"> to border crossing facilitation and </w:t>
      </w:r>
      <w:proofErr w:type="spellStart"/>
      <w:r w:rsidR="009D2BA5">
        <w:rPr>
          <w:rFonts w:eastAsia="Calibri"/>
          <w:u w:color="000000"/>
        </w:rPr>
        <w:t>intermodality</w:t>
      </w:r>
      <w:proofErr w:type="spellEnd"/>
      <w:r w:rsidR="009D2BA5">
        <w:rPr>
          <w:rFonts w:eastAsia="Calibri"/>
          <w:u w:color="000000"/>
        </w:rPr>
        <w:t xml:space="preserve"> and </w:t>
      </w:r>
      <w:r w:rsidR="00A73B21">
        <w:rPr>
          <w:rFonts w:eastAsia="Calibri"/>
          <w:u w:color="000000"/>
        </w:rPr>
        <w:t>involves the secretariat professional</w:t>
      </w:r>
      <w:r w:rsidR="00A73B21" w:rsidRPr="004D722E">
        <w:rPr>
          <w:rFonts w:eastAsia="Calibri"/>
          <w:u w:color="000000"/>
        </w:rPr>
        <w:t xml:space="preserve"> staff </w:t>
      </w:r>
      <w:r w:rsidR="00A73B21">
        <w:rPr>
          <w:rFonts w:eastAsia="Calibri"/>
          <w:u w:color="000000"/>
        </w:rPr>
        <w:t xml:space="preserve">and </w:t>
      </w:r>
      <w:r w:rsidR="00A6062F">
        <w:rPr>
          <w:rFonts w:eastAsia="Calibri"/>
          <w:u w:color="000000"/>
        </w:rPr>
        <w:t xml:space="preserve">the </w:t>
      </w:r>
      <w:r w:rsidR="00A73B21" w:rsidRPr="004D722E">
        <w:rPr>
          <w:rFonts w:eastAsia="Calibri"/>
          <w:u w:color="000000"/>
        </w:rPr>
        <w:t>Regional Advisor</w:t>
      </w:r>
      <w:r w:rsidR="00A73B21">
        <w:rPr>
          <w:rFonts w:eastAsia="Calibri"/>
          <w:u w:color="000000"/>
        </w:rPr>
        <w:t xml:space="preserve">. </w:t>
      </w:r>
      <w:r w:rsidRPr="004D722E">
        <w:rPr>
          <w:rFonts w:eastAsia="Calibri"/>
          <w:u w:color="000000"/>
        </w:rPr>
        <w:t xml:space="preserve">By operating in this way, it has been possible for </w:t>
      </w:r>
      <w:r w:rsidR="00A73B21">
        <w:rPr>
          <w:rFonts w:eastAsia="Calibri"/>
          <w:u w:color="000000"/>
        </w:rPr>
        <w:t xml:space="preserve">ECE </w:t>
      </w:r>
      <w:r w:rsidRPr="004D722E">
        <w:rPr>
          <w:rFonts w:eastAsia="Calibri"/>
          <w:u w:color="000000"/>
        </w:rPr>
        <w:t>to cover a broad spectrum of transport topics.</w:t>
      </w:r>
    </w:p>
    <w:p w14:paraId="15E3AF25" w14:textId="06373220" w:rsidR="008637A8" w:rsidRPr="006A2401" w:rsidRDefault="00C05197" w:rsidP="006A2401">
      <w:pPr>
        <w:keepNext/>
        <w:keepLines/>
        <w:tabs>
          <w:tab w:val="right" w:pos="851"/>
        </w:tabs>
        <w:spacing w:before="360" w:after="240" w:line="300" w:lineRule="exact"/>
        <w:ind w:left="1134" w:right="1134" w:hanging="1134"/>
        <w:rPr>
          <w:b/>
          <w:sz w:val="28"/>
        </w:rPr>
      </w:pPr>
      <w:r>
        <w:rPr>
          <w:b/>
          <w:sz w:val="28"/>
        </w:rPr>
        <w:tab/>
      </w:r>
      <w:r w:rsidR="006A2401" w:rsidRPr="006A2401">
        <w:rPr>
          <w:b/>
          <w:sz w:val="28"/>
        </w:rPr>
        <w:t>II.</w:t>
      </w:r>
      <w:r w:rsidR="006A2401" w:rsidRPr="006A2401">
        <w:rPr>
          <w:b/>
          <w:sz w:val="28"/>
        </w:rPr>
        <w:tab/>
        <w:t xml:space="preserve">The United Nations Special Programme for the Economies of Central Asia transport </w:t>
      </w:r>
      <w:r w:rsidR="00F4159E">
        <w:rPr>
          <w:b/>
          <w:sz w:val="28"/>
        </w:rPr>
        <w:t xml:space="preserve">and border crossing facilitation </w:t>
      </w:r>
      <w:r w:rsidR="006A2401" w:rsidRPr="006A2401">
        <w:rPr>
          <w:b/>
          <w:sz w:val="28"/>
        </w:rPr>
        <w:t>cooperation</w:t>
      </w:r>
    </w:p>
    <w:p w14:paraId="5AC2DFA1" w14:textId="49636D71" w:rsidR="00C415BF" w:rsidRDefault="001A33AA" w:rsidP="00015C5E">
      <w:pPr>
        <w:pStyle w:val="SingleTxtG"/>
      </w:pPr>
      <w:r>
        <w:rPr>
          <w:rFonts w:eastAsia="Calibri"/>
          <w:u w:color="000000"/>
        </w:rPr>
        <w:t>4.</w:t>
      </w:r>
      <w:r w:rsidR="00C415BF">
        <w:rPr>
          <w:rFonts w:eastAsia="Calibri"/>
          <w:u w:color="000000"/>
        </w:rPr>
        <w:tab/>
      </w:r>
      <w:r w:rsidR="00A73B21">
        <w:t xml:space="preserve">The United Nations Special Programme for the Economies of Central Asia (SPECA) </w:t>
      </w:r>
      <w:proofErr w:type="gramStart"/>
      <w:r w:rsidR="00A73B21">
        <w:t>was launched</w:t>
      </w:r>
      <w:proofErr w:type="gramEnd"/>
      <w:r w:rsidR="00A73B21">
        <w:t xml:space="preserve"> in 1998 to strengthen intraregional cooperation in Central Asia and its integration into the </w:t>
      </w:r>
      <w:r w:rsidR="00C415BF">
        <w:t>global</w:t>
      </w:r>
      <w:r w:rsidR="00A73B21">
        <w:t xml:space="preserve"> economy. </w:t>
      </w:r>
      <w:r w:rsidR="00C415BF">
        <w:t xml:space="preserve">The member </w:t>
      </w:r>
      <w:r w:rsidR="00D3443B">
        <w:t>S</w:t>
      </w:r>
      <w:r w:rsidR="00C415BF">
        <w:t>tates</w:t>
      </w:r>
      <w:r w:rsidR="00C415BF" w:rsidRPr="00C415BF">
        <w:t xml:space="preserve"> of </w:t>
      </w:r>
      <w:r w:rsidR="00C415BF">
        <w:t xml:space="preserve">SPECA </w:t>
      </w:r>
      <w:r w:rsidR="00C415BF" w:rsidRPr="00C415BF">
        <w:t xml:space="preserve">are the signatory parties </w:t>
      </w:r>
      <w:r w:rsidR="00C415BF" w:rsidRPr="00A73B21">
        <w:t>of the Tashkent Declaration</w:t>
      </w:r>
      <w:r w:rsidR="00D3443B">
        <w:t xml:space="preserve"> on </w:t>
      </w:r>
      <w:r w:rsidR="00D3443B" w:rsidRPr="00D3443B">
        <w:t>SPECA</w:t>
      </w:r>
      <w:r w:rsidR="00C415BF" w:rsidRPr="00D3443B">
        <w:t>:</w:t>
      </w:r>
      <w:r w:rsidR="00C415BF" w:rsidRPr="00C415BF">
        <w:t xml:space="preserve"> </w:t>
      </w:r>
      <w:r w:rsidR="00C415BF">
        <w:t xml:space="preserve">Afghanistan, Azerbaijan, </w:t>
      </w:r>
      <w:r w:rsidR="00C415BF" w:rsidRPr="00C415BF">
        <w:t xml:space="preserve">Kazakhstan, </w:t>
      </w:r>
      <w:r w:rsidR="00E568E4" w:rsidRPr="00E568E4">
        <w:t>Kyrgyzstan</w:t>
      </w:r>
      <w:r w:rsidR="00C415BF" w:rsidRPr="00C415BF">
        <w:t>, Tajik</w:t>
      </w:r>
      <w:r w:rsidR="00C415BF">
        <w:t>istan, Turkmenistan and Uzbekistan.</w:t>
      </w:r>
      <w:r w:rsidR="00C415BF" w:rsidRPr="00C415BF">
        <w:t xml:space="preserve"> </w:t>
      </w:r>
      <w:r w:rsidR="00C415BF">
        <w:t xml:space="preserve">Furthermore, </w:t>
      </w:r>
      <w:r w:rsidR="00DB5DE7">
        <w:t>ECE</w:t>
      </w:r>
      <w:r w:rsidR="00A73B21">
        <w:t xml:space="preserve"> and ESCAP jointly provide overall support to the activities under the </w:t>
      </w:r>
      <w:r w:rsidR="00C415BF">
        <w:t xml:space="preserve">SPECA </w:t>
      </w:r>
      <w:r w:rsidR="00E568E4">
        <w:t>p</w:t>
      </w:r>
      <w:r w:rsidR="00A73B21">
        <w:t>rogramme.</w:t>
      </w:r>
    </w:p>
    <w:p w14:paraId="0109FE61" w14:textId="7C63383B" w:rsidR="0094725E" w:rsidRDefault="002B273E" w:rsidP="00015C5E">
      <w:pPr>
        <w:pStyle w:val="SingleTxtG"/>
      </w:pPr>
      <w:r>
        <w:t>5.</w:t>
      </w:r>
      <w:r>
        <w:tab/>
      </w:r>
      <w:r w:rsidR="00E568E4">
        <w:t xml:space="preserve">Since </w:t>
      </w:r>
      <w:r>
        <w:t xml:space="preserve">all SPECA </w:t>
      </w:r>
      <w:r w:rsidR="00E568E4">
        <w:t>countries are landlocked, e</w:t>
      </w:r>
      <w:r w:rsidR="00E568E4" w:rsidRPr="00A73B21">
        <w:t>fficient internatio</w:t>
      </w:r>
      <w:r w:rsidR="00E568E4">
        <w:t>nal and regional transport plays</w:t>
      </w:r>
      <w:r w:rsidR="00E568E4" w:rsidRPr="00A73B21">
        <w:t xml:space="preserve"> a key role in addressing the economic development challenges </w:t>
      </w:r>
      <w:r w:rsidR="00E568E4">
        <w:t>of the region</w:t>
      </w:r>
      <w:r w:rsidRPr="00A73B21">
        <w:t xml:space="preserve">. </w:t>
      </w:r>
      <w:r w:rsidR="0077373A">
        <w:t>Recognizing the need</w:t>
      </w:r>
      <w:r w:rsidR="00E6175C">
        <w:t xml:space="preserve"> to support regional transport system development</w:t>
      </w:r>
      <w:r>
        <w:t xml:space="preserve">, the Project Working Group on Transport and Border Crossing (PWG-TBC) </w:t>
      </w:r>
      <w:proofErr w:type="gramStart"/>
      <w:r w:rsidR="00E568E4">
        <w:t xml:space="preserve">was </w:t>
      </w:r>
      <w:r>
        <w:t>established</w:t>
      </w:r>
      <w:proofErr w:type="gramEnd"/>
      <w:r>
        <w:t xml:space="preserve"> in 1998 and the first session took place the same year in Almaty</w:t>
      </w:r>
      <w:r w:rsidR="00E568E4">
        <w:t xml:space="preserve">, </w:t>
      </w:r>
      <w:r w:rsidR="00E568E4" w:rsidRPr="00E568E4">
        <w:t>Kazakhstan</w:t>
      </w:r>
      <w:r w:rsidR="00CF0FE7">
        <w:t xml:space="preserve">. </w:t>
      </w:r>
      <w:r w:rsidR="00E568E4">
        <w:t xml:space="preserve">The </w:t>
      </w:r>
      <w:r w:rsidR="00E6175C">
        <w:t xml:space="preserve">Sustainable Transport Division </w:t>
      </w:r>
      <w:r w:rsidR="00E6175C" w:rsidRPr="00E6175C">
        <w:t xml:space="preserve">and </w:t>
      </w:r>
      <w:r w:rsidR="00E6175C">
        <w:t>ESCAP</w:t>
      </w:r>
      <w:r w:rsidR="00E6175C" w:rsidRPr="00E6175C">
        <w:t xml:space="preserve"> </w:t>
      </w:r>
      <w:r w:rsidR="00CF0FE7">
        <w:t xml:space="preserve">gave substantial and administrative support to the PWG-TBC from its first session, </w:t>
      </w:r>
      <w:r w:rsidR="0094725E">
        <w:t>as alternating secretariat.</w:t>
      </w:r>
    </w:p>
    <w:p w14:paraId="77708F60" w14:textId="457CD2D4" w:rsidR="00CF0FE7" w:rsidRDefault="006A2401" w:rsidP="00015C5E">
      <w:pPr>
        <w:pStyle w:val="SingleTxtG"/>
      </w:pPr>
      <w:r>
        <w:t>6.</w:t>
      </w:r>
      <w:r>
        <w:tab/>
      </w:r>
      <w:r w:rsidR="00CF0FE7">
        <w:t xml:space="preserve">At the beginning, the </w:t>
      </w:r>
      <w:r w:rsidR="002B273E">
        <w:t>PWG-TBC focus</w:t>
      </w:r>
      <w:r w:rsidR="00CF0FE7">
        <w:t xml:space="preserve"> was</w:t>
      </w:r>
      <w:r w:rsidR="002B273E">
        <w:t xml:space="preserve"> on </w:t>
      </w:r>
      <w:r w:rsidR="00F4159E">
        <w:t xml:space="preserve">promotion of </w:t>
      </w:r>
      <w:r w:rsidR="002B273E">
        <w:t>develop</w:t>
      </w:r>
      <w:r w:rsidR="00CF0FE7">
        <w:t>ment</w:t>
      </w:r>
      <w:r w:rsidR="002B273E">
        <w:t xml:space="preserve"> </w:t>
      </w:r>
      <w:r w:rsidR="00CF0FE7">
        <w:t xml:space="preserve">of </w:t>
      </w:r>
      <w:r w:rsidR="002B273E">
        <w:t>transport network</w:t>
      </w:r>
      <w:r w:rsidR="00F4159E">
        <w:t>s</w:t>
      </w:r>
      <w:r w:rsidR="00CF0FE7">
        <w:t xml:space="preserve"> in the region</w:t>
      </w:r>
      <w:r w:rsidR="002B273E">
        <w:t xml:space="preserve"> as well as implementing projects and programmes to support </w:t>
      </w:r>
      <w:r w:rsidR="00B07702">
        <w:t xml:space="preserve">the </w:t>
      </w:r>
      <w:r w:rsidR="00CF0FE7">
        <w:t xml:space="preserve">development of efficient transport in Central Asia </w:t>
      </w:r>
      <w:r w:rsidR="002B273E">
        <w:t xml:space="preserve">landlocked </w:t>
      </w:r>
      <w:r w:rsidR="00CF0FE7">
        <w:t>countries</w:t>
      </w:r>
      <w:r w:rsidR="002B273E">
        <w:t>.</w:t>
      </w:r>
      <w:r w:rsidRPr="006A2401">
        <w:t xml:space="preserve"> </w:t>
      </w:r>
    </w:p>
    <w:p w14:paraId="3439424C" w14:textId="063D2C39" w:rsidR="00A73B21" w:rsidRDefault="00CF0FE7" w:rsidP="00015C5E">
      <w:pPr>
        <w:pStyle w:val="SingleTxtG"/>
      </w:pPr>
      <w:r>
        <w:t>7</w:t>
      </w:r>
      <w:r w:rsidR="00C05197">
        <w:t>.</w:t>
      </w:r>
      <w:r w:rsidR="00145C7E">
        <w:tab/>
      </w:r>
      <w:r w:rsidR="00B07702">
        <w:t>P</w:t>
      </w:r>
      <w:r w:rsidR="00A73B21">
        <w:t>articular</w:t>
      </w:r>
      <w:r w:rsidR="00B07702">
        <w:t xml:space="preserve"> </w:t>
      </w:r>
      <w:r>
        <w:t>PWG-TBC tasks were to</w:t>
      </w:r>
      <w:r w:rsidR="00A73B21">
        <w:t>:</w:t>
      </w:r>
    </w:p>
    <w:p w14:paraId="13B13CB2" w14:textId="78BEAC57" w:rsidR="00A73B21" w:rsidRDefault="00A73B21" w:rsidP="00D7476A">
      <w:pPr>
        <w:pStyle w:val="Bullet1G"/>
      </w:pPr>
      <w:r>
        <w:lastRenderedPageBreak/>
        <w:t xml:space="preserve">develop an </w:t>
      </w:r>
      <w:r w:rsidR="00B07702">
        <w:t>action-</w:t>
      </w:r>
      <w:r>
        <w:t>oriented framework for implementable and workable priority proj</w:t>
      </w:r>
      <w:r w:rsidR="00145C7E">
        <w:t>ects to facilitate the intra</w:t>
      </w:r>
      <w:r>
        <w:t>regional and international movement of vehicles, goods and people;</w:t>
      </w:r>
    </w:p>
    <w:p w14:paraId="11723F66" w14:textId="45E6771F" w:rsidR="00A73B21" w:rsidRDefault="00A73B21" w:rsidP="00D7476A">
      <w:pPr>
        <w:pStyle w:val="Bullet1G"/>
      </w:pPr>
      <w:r>
        <w:t xml:space="preserve">establish a collaborative mechanism to ensure coordination and monitoring among all interested parties in the Central Asian </w:t>
      </w:r>
      <w:proofErr w:type="spellStart"/>
      <w:r>
        <w:t>subregion</w:t>
      </w:r>
      <w:proofErr w:type="spellEnd"/>
      <w:r>
        <w:t xml:space="preserve"> for all ongoing and planned transport and border crossing </w:t>
      </w:r>
      <w:r w:rsidR="00145C7E">
        <w:t>activities of relevance to the SPECA countries</w:t>
      </w:r>
      <w:r>
        <w:t>;</w:t>
      </w:r>
    </w:p>
    <w:p w14:paraId="66F6F183" w14:textId="77777777" w:rsidR="00A73B21" w:rsidRDefault="00A73B21" w:rsidP="00D7476A">
      <w:pPr>
        <w:pStyle w:val="Bullet1G"/>
      </w:pPr>
      <w:r>
        <w:t>establish a special database and review past, current and proposed transport actions and border crossing</w:t>
      </w:r>
      <w:r w:rsidR="00887039">
        <w:t xml:space="preserve"> </w:t>
      </w:r>
      <w:r>
        <w:t xml:space="preserve">activities of relevance to the </w:t>
      </w:r>
      <w:r w:rsidR="00145C7E">
        <w:t>SPECA countries</w:t>
      </w:r>
      <w:r>
        <w:t>;</w:t>
      </w:r>
    </w:p>
    <w:p w14:paraId="2A9C170B" w14:textId="77777777" w:rsidR="00A73B21" w:rsidRDefault="00A73B21" w:rsidP="00D7476A">
      <w:pPr>
        <w:pStyle w:val="Bullet1G"/>
      </w:pPr>
      <w:r>
        <w:t>develop a programme of work and schedule of implementation including resource mobilization;</w:t>
      </w:r>
    </w:p>
    <w:p w14:paraId="412CBC6A" w14:textId="77777777" w:rsidR="00A73B21" w:rsidRDefault="00A73B21" w:rsidP="00D7476A">
      <w:pPr>
        <w:pStyle w:val="Bullet1G"/>
      </w:pPr>
      <w:r>
        <w:t>support the training of personnel for transport a</w:t>
      </w:r>
      <w:r w:rsidR="004067DE">
        <w:t>nd border crossing facilitation; and</w:t>
      </w:r>
    </w:p>
    <w:p w14:paraId="6C4509EB" w14:textId="77777777" w:rsidR="00A73B21" w:rsidRDefault="00A73B21" w:rsidP="00D7476A">
      <w:pPr>
        <w:pStyle w:val="Bullet1G"/>
      </w:pPr>
      <w:proofErr w:type="gramStart"/>
      <w:r>
        <w:t>coordinate</w:t>
      </w:r>
      <w:proofErr w:type="gramEnd"/>
      <w:r>
        <w:t xml:space="preserve"> and foster the exchange of information among </w:t>
      </w:r>
      <w:r w:rsidR="00145C7E">
        <w:t xml:space="preserve">SPECA countries </w:t>
      </w:r>
      <w:r>
        <w:t>and other relevant parties.</w:t>
      </w:r>
    </w:p>
    <w:p w14:paraId="2F9A6D4A" w14:textId="5B283CB3" w:rsidR="00716163" w:rsidRDefault="00145C7E" w:rsidP="00015C5E">
      <w:pPr>
        <w:pStyle w:val="SingleTxtG"/>
      </w:pPr>
      <w:r>
        <w:t>8.</w:t>
      </w:r>
      <w:r>
        <w:tab/>
      </w:r>
      <w:r w:rsidR="00716163">
        <w:t>Massive change in transport patterns between Europe and Asia i</w:t>
      </w:r>
      <w:r w:rsidR="00716163" w:rsidRPr="00145C7E">
        <w:t xml:space="preserve">n the </w:t>
      </w:r>
      <w:r w:rsidR="00716163">
        <w:t>last two</w:t>
      </w:r>
      <w:r w:rsidR="00716163" w:rsidRPr="00145C7E">
        <w:t xml:space="preserve"> decade</w:t>
      </w:r>
      <w:r w:rsidR="00716163">
        <w:t>s</w:t>
      </w:r>
      <w:r w:rsidR="00716163" w:rsidRPr="00145C7E">
        <w:t xml:space="preserve"> </w:t>
      </w:r>
      <w:r w:rsidR="00716163">
        <w:t>required more efficient transport infrastructure and operations in Central Asia</w:t>
      </w:r>
      <w:r w:rsidR="004D08A1">
        <w:t>. I</w:t>
      </w:r>
      <w:r w:rsidR="00F2025A">
        <w:t>n order to accommodate growing demand</w:t>
      </w:r>
      <w:r w:rsidR="004D08A1">
        <w:t xml:space="preserve"> from SPECA countries, </w:t>
      </w:r>
      <w:r w:rsidR="00B07702">
        <w:t xml:space="preserve">the </w:t>
      </w:r>
      <w:r w:rsidR="00F2025A">
        <w:t xml:space="preserve">programme of </w:t>
      </w:r>
      <w:r w:rsidR="00F4159E">
        <w:t>PWG-TBC</w:t>
      </w:r>
      <w:r w:rsidRPr="00145C7E">
        <w:t xml:space="preserve"> </w:t>
      </w:r>
      <w:proofErr w:type="gramStart"/>
      <w:r w:rsidRPr="00145C7E">
        <w:t xml:space="preserve">was </w:t>
      </w:r>
      <w:r w:rsidR="004D08A1">
        <w:t>shifted</w:t>
      </w:r>
      <w:proofErr w:type="gramEnd"/>
      <w:r w:rsidR="004D08A1">
        <w:t xml:space="preserve"> towards</w:t>
      </w:r>
      <w:r w:rsidRPr="00145C7E">
        <w:t xml:space="preserve"> topics related to sustainable development of transport systems and promotion of regional cooperation, with special emphasis on connectivity and more efficient international transport. </w:t>
      </w:r>
      <w:r w:rsidR="004D08A1" w:rsidRPr="00145C7E">
        <w:t xml:space="preserve">Furthermore, </w:t>
      </w:r>
      <w:r w:rsidR="004D08A1">
        <w:t xml:space="preserve">important topics </w:t>
      </w:r>
      <w:r w:rsidR="00B07702">
        <w:t xml:space="preserve">such </w:t>
      </w:r>
      <w:r w:rsidR="004D08A1">
        <w:t>as</w:t>
      </w:r>
      <w:r w:rsidR="004D08A1" w:rsidRPr="00145C7E">
        <w:t xml:space="preserve"> border crossing facilitation, </w:t>
      </w:r>
      <w:r w:rsidR="004D08A1">
        <w:t xml:space="preserve">collection and dissemination of transport statistics, </w:t>
      </w:r>
      <w:r w:rsidR="004D08A1" w:rsidRPr="00145C7E">
        <w:t xml:space="preserve">development of rail transport and </w:t>
      </w:r>
      <w:proofErr w:type="spellStart"/>
      <w:r w:rsidR="004D08A1" w:rsidRPr="00145C7E">
        <w:t>intermodality</w:t>
      </w:r>
      <w:proofErr w:type="spellEnd"/>
      <w:r w:rsidR="00B07702">
        <w:t>,</w:t>
      </w:r>
      <w:r w:rsidR="004D08A1" w:rsidRPr="00145C7E">
        <w:t xml:space="preserve"> and actions to improve road safety </w:t>
      </w:r>
      <w:proofErr w:type="gramStart"/>
      <w:r w:rsidR="004D08A1">
        <w:t>were emphasized</w:t>
      </w:r>
      <w:proofErr w:type="gramEnd"/>
      <w:r w:rsidR="004D08A1">
        <w:t xml:space="preserve"> as </w:t>
      </w:r>
      <w:r w:rsidR="004D08A1" w:rsidRPr="00145C7E">
        <w:t>region</w:t>
      </w:r>
      <w:r w:rsidR="004D08A1">
        <w:t>al priorities</w:t>
      </w:r>
      <w:r w:rsidR="004D08A1" w:rsidRPr="00145C7E">
        <w:t>.</w:t>
      </w:r>
    </w:p>
    <w:p w14:paraId="525F7F88" w14:textId="77777777" w:rsidR="004067DE" w:rsidRDefault="00F4159E" w:rsidP="00015C5E">
      <w:pPr>
        <w:pStyle w:val="SingleTxtG"/>
      </w:pPr>
      <w:r>
        <w:t>9.</w:t>
      </w:r>
      <w:r>
        <w:tab/>
      </w:r>
      <w:r w:rsidR="004067DE">
        <w:t xml:space="preserve">The </w:t>
      </w:r>
      <w:r w:rsidR="00633BAC">
        <w:t xml:space="preserve">PWG-TBC </w:t>
      </w:r>
      <w:r w:rsidR="004067DE">
        <w:t>meeting conclusions</w:t>
      </w:r>
      <w:r w:rsidR="004D08A1">
        <w:t>, reflecting the state-of-the-art of regional transport system, regularly</w:t>
      </w:r>
      <w:r w:rsidR="004067DE">
        <w:t xml:space="preserve"> included recommendations to SPECA countries:</w:t>
      </w:r>
    </w:p>
    <w:p w14:paraId="34AC6178" w14:textId="77777777" w:rsidR="004067DE" w:rsidRDefault="004067DE" w:rsidP="00D7476A">
      <w:pPr>
        <w:pStyle w:val="Bullet1G"/>
      </w:pPr>
      <w:r>
        <w:t>to make an additional progress related to accession to and implementation of</w:t>
      </w:r>
      <w:r w:rsidR="004D08A1">
        <w:t xml:space="preserve"> </w:t>
      </w:r>
      <w:r w:rsidR="00837A30">
        <w:t>United Nations</w:t>
      </w:r>
      <w:r w:rsidR="004D08A1">
        <w:t xml:space="preserve"> transport legal instruments;</w:t>
      </w:r>
    </w:p>
    <w:p w14:paraId="542402FF" w14:textId="2B9639D9" w:rsidR="004067DE" w:rsidRDefault="004067DE" w:rsidP="00D7476A">
      <w:pPr>
        <w:pStyle w:val="Bullet1G"/>
      </w:pPr>
      <w:r>
        <w:t xml:space="preserve">to harmonize transport infrastructure development plans relying on established frameworks (Euro-Asian Transport Linkages; </w:t>
      </w:r>
      <w:r w:rsidR="005F4884">
        <w:t xml:space="preserve">AGR, AGN, AGC and AGTC, </w:t>
      </w:r>
      <w:r>
        <w:t>Intergovernmental Agreement on the Asian Highway network, Intergovernmental Agreement on the Trans-Asian Railway network, the Intergovernmental Agreement on D</w:t>
      </w:r>
      <w:r w:rsidR="004D08A1">
        <w:t>ry Ports);</w:t>
      </w:r>
    </w:p>
    <w:p w14:paraId="0493D8A4" w14:textId="77777777" w:rsidR="004067DE" w:rsidRDefault="004067DE" w:rsidP="00D7476A">
      <w:pPr>
        <w:pStyle w:val="Bullet1G"/>
      </w:pPr>
      <w:r>
        <w:t>to further facilitate intern</w:t>
      </w:r>
      <w:r w:rsidR="004D08A1">
        <w:t>ational road and rail transport;</w:t>
      </w:r>
    </w:p>
    <w:p w14:paraId="36EAC38D" w14:textId="77777777" w:rsidR="004067DE" w:rsidRDefault="004067DE" w:rsidP="00D7476A">
      <w:pPr>
        <w:pStyle w:val="Bullet1G"/>
      </w:pPr>
      <w:r>
        <w:t xml:space="preserve">to take actions to respond to the </w:t>
      </w:r>
      <w:r w:rsidR="00837A30">
        <w:t>United Nations</w:t>
      </w:r>
      <w:r>
        <w:t xml:space="preserve"> Decade of Ac</w:t>
      </w:r>
      <w:r w:rsidR="004D08A1">
        <w:t>tion for Road Safety, 2011-2020; and</w:t>
      </w:r>
    </w:p>
    <w:p w14:paraId="675CC5FF" w14:textId="77777777" w:rsidR="004067DE" w:rsidRDefault="004067DE" w:rsidP="00D7476A">
      <w:pPr>
        <w:pStyle w:val="Bullet1G"/>
      </w:pPr>
      <w:proofErr w:type="gramStart"/>
      <w:r>
        <w:t>to</w:t>
      </w:r>
      <w:proofErr w:type="gramEnd"/>
      <w:r>
        <w:t xml:space="preserve"> take actions to improve robustness and reliability of transport statistics as a tool to support governments or decision makers to make informed transport decisions.</w:t>
      </w:r>
      <w:r w:rsidRPr="00A73B21">
        <w:t xml:space="preserve"> </w:t>
      </w:r>
    </w:p>
    <w:p w14:paraId="6D24B64E" w14:textId="31AD92CB" w:rsidR="004067DE" w:rsidRDefault="00633BAC" w:rsidP="00015C5E">
      <w:pPr>
        <w:pStyle w:val="SingleTxtG"/>
      </w:pPr>
      <w:r>
        <w:t>10.</w:t>
      </w:r>
      <w:r>
        <w:tab/>
        <w:t>In the last few years, SPECA countries have benefited from several ECE TA activities organized to support activities carried out under the SPECA PWG-TBC umbrella</w:t>
      </w:r>
      <w:r w:rsidR="004067DE">
        <w:t xml:space="preserve">: </w:t>
      </w:r>
    </w:p>
    <w:p w14:paraId="3472B30A" w14:textId="6AE54192" w:rsidR="0036096B" w:rsidRDefault="0036096B" w:rsidP="00D7476A">
      <w:pPr>
        <w:pStyle w:val="Bullet1G"/>
      </w:pPr>
      <w:r w:rsidRPr="0036096B">
        <w:t xml:space="preserve">To solve the problems encountered in collecting transport statistics in some SPECA member countries, several workshops were held in 2010 (Almaty, Kazakhstan) and 2011 (Almaty, Kazakhstan and </w:t>
      </w:r>
      <w:r>
        <w:t>Baku, Azerbaijan) under the PWG-</w:t>
      </w:r>
      <w:r w:rsidRPr="0036096B">
        <w:t xml:space="preserve">TBC umbrella. The workshops aimed to familiarize transport statistics experts with ECE tools for gathering and dissemination of transport statistics, and to get </w:t>
      </w:r>
      <w:r>
        <w:t>reliable transport statistics</w:t>
      </w:r>
      <w:r w:rsidRPr="0036096B">
        <w:t xml:space="preserve"> fr</w:t>
      </w:r>
      <w:r>
        <w:t>o</w:t>
      </w:r>
      <w:r w:rsidRPr="0036096B">
        <w:t>m SPECA countries.</w:t>
      </w:r>
    </w:p>
    <w:p w14:paraId="2F4B6545" w14:textId="78117758" w:rsidR="004067DE" w:rsidRDefault="004067DE" w:rsidP="00D7476A">
      <w:pPr>
        <w:pStyle w:val="Bullet1G"/>
      </w:pPr>
      <w:r>
        <w:t xml:space="preserve">The capacity-building workshop on </w:t>
      </w:r>
      <w:r w:rsidR="00837A30">
        <w:t>United Nations</w:t>
      </w:r>
      <w:r>
        <w:t xml:space="preserve"> legal instruments on </w:t>
      </w:r>
      <w:r w:rsidR="00B07702">
        <w:t xml:space="preserve">inland transport </w:t>
      </w:r>
      <w:r>
        <w:t xml:space="preserve">(accession procedures and benefits of the conventions) </w:t>
      </w:r>
      <w:proofErr w:type="gramStart"/>
      <w:r>
        <w:t>was organized</w:t>
      </w:r>
      <w:proofErr w:type="gramEnd"/>
      <w:r>
        <w:t xml:space="preserve"> </w:t>
      </w:r>
      <w:r>
        <w:lastRenderedPageBreak/>
        <w:t xml:space="preserve">back-to-back </w:t>
      </w:r>
      <w:r w:rsidR="00B07702">
        <w:t xml:space="preserve">with </w:t>
      </w:r>
      <w:r>
        <w:t xml:space="preserve">the Inland Transport Committee </w:t>
      </w:r>
      <w:r w:rsidR="00B07702">
        <w:t xml:space="preserve">annual meeting </w:t>
      </w:r>
      <w:r>
        <w:t xml:space="preserve">(Geneva, February 2015). Presentations and discussions during the workshop reaffirmed the need to access and implement </w:t>
      </w:r>
      <w:r w:rsidR="00837A30">
        <w:t>United Nations</w:t>
      </w:r>
      <w:r>
        <w:t xml:space="preserve"> legal instruments in order to create more efficient, safer and environmental</w:t>
      </w:r>
      <w:r w:rsidR="005F4884">
        <w:t>ly</w:t>
      </w:r>
      <w:r>
        <w:t xml:space="preserve"> friendly transport systems.</w:t>
      </w:r>
    </w:p>
    <w:p w14:paraId="7A78CB59" w14:textId="511C6E2B" w:rsidR="004067DE" w:rsidRDefault="004067DE" w:rsidP="00D7476A">
      <w:pPr>
        <w:pStyle w:val="Bullet1G"/>
      </w:pPr>
      <w:r>
        <w:t xml:space="preserve">During the SPECA Road Safety Capacity-building Workshop (Almaty, September 2015), which was held back-to-back to the </w:t>
      </w:r>
      <w:r w:rsidR="00155875">
        <w:t xml:space="preserve">twentieth </w:t>
      </w:r>
      <w:r>
        <w:t xml:space="preserve">SPECA PWG-TBC, SPECA countries presented their current road safety situation, shared experiences on developing road safety legal and regulatory architecture, as well as on developing their national strategy, and setting up a road safety management system. Collection and analysis of road safety data for monitoring and evaluation was considered </w:t>
      </w:r>
      <w:proofErr w:type="gramStart"/>
      <w:r>
        <w:t>to be one</w:t>
      </w:r>
      <w:proofErr w:type="gramEnd"/>
      <w:r>
        <w:t xml:space="preserve"> of the key challenges.</w:t>
      </w:r>
    </w:p>
    <w:p w14:paraId="071E19E2" w14:textId="76ECA575" w:rsidR="0036096B" w:rsidRDefault="004067DE" w:rsidP="00D7476A">
      <w:pPr>
        <w:pStyle w:val="Bullet1G"/>
      </w:pPr>
      <w:r>
        <w:t>The SPECA Workshop on Road Transport and Road Safety Statistics (</w:t>
      </w:r>
      <w:r w:rsidR="00155875">
        <w:rPr>
          <w:rStyle w:val="st"/>
        </w:rPr>
        <w:t xml:space="preserve">Ashgabat, </w:t>
      </w:r>
      <w:r>
        <w:t xml:space="preserve">8-9 September 2016) sought to strengthen the capacities of SPECA and East-European countries in collecting reliable and comprehensive road transport and road safety statistics. </w:t>
      </w:r>
      <w:r w:rsidR="00155875">
        <w:t>A t</w:t>
      </w:r>
      <w:r>
        <w:t xml:space="preserve">echnical assistance workshop, under the SPECA </w:t>
      </w:r>
      <w:r w:rsidR="004B333D">
        <w:t xml:space="preserve">PWG-TBC </w:t>
      </w:r>
      <w:r>
        <w:t xml:space="preserve">umbrella, </w:t>
      </w:r>
      <w:proofErr w:type="gramStart"/>
      <w:r>
        <w:t>was held</w:t>
      </w:r>
      <w:proofErr w:type="gramEnd"/>
      <w:r>
        <w:t xml:space="preserve"> back-to-back with </w:t>
      </w:r>
      <w:r w:rsidR="00155875">
        <w:t xml:space="preserve">the twenty-first </w:t>
      </w:r>
      <w:r w:rsidR="004B333D">
        <w:t xml:space="preserve">PWG-TBC </w:t>
      </w:r>
      <w:r>
        <w:t xml:space="preserve">session. </w:t>
      </w:r>
      <w:proofErr w:type="gramStart"/>
      <w:r>
        <w:t xml:space="preserve">Representatives </w:t>
      </w:r>
      <w:r w:rsidR="00DB5DE7">
        <w:t>of five SPECA member countries —</w:t>
      </w:r>
      <w:r>
        <w:t xml:space="preserve"> Azerbaijan, Kazakhstan, Kyrgyz</w:t>
      </w:r>
      <w:r w:rsidR="00DB5DE7">
        <w:t>stan, Tajikistan, Turkmenistan —</w:t>
      </w:r>
      <w:r>
        <w:t xml:space="preserve"> and Belarus, the Russian Federation, Serbia and Turkey met with ECE, </w:t>
      </w:r>
      <w:r w:rsidR="003254AB">
        <w:t>ESCAP</w:t>
      </w:r>
      <w:r>
        <w:t xml:space="preserve"> and Euro-Asian Economic Commission representatives (a total of 35 participants) to discuss the methodology for collecting road transport and road safety statistics, as well as how best to make this information available to decision makers, the road transport co</w:t>
      </w:r>
      <w:r w:rsidR="004B333D">
        <w:t>mmunity and the general public.</w:t>
      </w:r>
      <w:proofErr w:type="gramEnd"/>
    </w:p>
    <w:p w14:paraId="28D3B304" w14:textId="268BB1EC" w:rsidR="004067DE" w:rsidRDefault="004067DE" w:rsidP="00D7476A">
      <w:pPr>
        <w:pStyle w:val="Bullet1G"/>
      </w:pPr>
      <w:r>
        <w:t>ECE organized a Regional Seminar on the application of the TIR Convention in Dushanbe (May 2015) with the participation of officials from Afghanistan, Azerbaijan</w:t>
      </w:r>
      <w:r w:rsidR="005F4884">
        <w:t xml:space="preserve"> and Tajikistan</w:t>
      </w:r>
      <w:r>
        <w:t>, among others. Afghanistan ha</w:t>
      </w:r>
      <w:r w:rsidR="00F11CE7">
        <w:t>d</w:t>
      </w:r>
      <w:r>
        <w:t xml:space="preserve"> resumed its TIR operations only in 2013. The </w:t>
      </w:r>
      <w:r w:rsidR="00F11CE7">
        <w:t>s</w:t>
      </w:r>
      <w:r>
        <w:t xml:space="preserve">eminar demonstrated the increased use of TIR in Central Asia, as well as the readiness of many countries in the region to proceed with computerization of customs procedures and establishment of single window concepts. The main message that emerged from the </w:t>
      </w:r>
      <w:r w:rsidR="00F11CE7">
        <w:t>s</w:t>
      </w:r>
      <w:r>
        <w:t>eminar is that several countries in the region are now mature in their policy goals and strategic plans to achieve deeper integration and modernization of their trade and transport processes, especia</w:t>
      </w:r>
      <w:r w:rsidR="00633BAC">
        <w:t>lly border crossing procedures.</w:t>
      </w:r>
    </w:p>
    <w:p w14:paraId="6F552817" w14:textId="70072BEF" w:rsidR="00107B3B" w:rsidRDefault="0036096B" w:rsidP="00015C5E">
      <w:pPr>
        <w:pStyle w:val="SingleTxtG"/>
      </w:pPr>
      <w:r>
        <w:t>11.</w:t>
      </w:r>
      <w:r>
        <w:tab/>
      </w:r>
      <w:r w:rsidR="004B333D">
        <w:t>It is worthwhile to mention t</w:t>
      </w:r>
      <w:r w:rsidR="004067DE">
        <w:t>he Unit</w:t>
      </w:r>
      <w:r w:rsidR="004B333D">
        <w:t>ed Nations Development Account p</w:t>
      </w:r>
      <w:r w:rsidR="004067DE">
        <w:t xml:space="preserve">roject </w:t>
      </w:r>
      <w:r w:rsidR="00F11CE7">
        <w:t>‘</w:t>
      </w:r>
      <w:r w:rsidR="004067DE">
        <w:t>Strengthening the capacities of developing countries and countries with economies in transition to facilitate legitimate border crossing, regional cooperation and integration</w:t>
      </w:r>
      <w:r w:rsidR="00F11CE7">
        <w:t xml:space="preserve">’ </w:t>
      </w:r>
      <w:r w:rsidR="004B333D">
        <w:t>which</w:t>
      </w:r>
      <w:r w:rsidR="004067DE">
        <w:t xml:space="preserve"> </w:t>
      </w:r>
      <w:r w:rsidR="004B333D">
        <w:t xml:space="preserve">supported activities on border crossing facilitation in Central Asia. </w:t>
      </w:r>
      <w:r w:rsidR="005F4884">
        <w:t xml:space="preserve">The </w:t>
      </w:r>
      <w:r w:rsidR="004B333D">
        <w:t>Project</w:t>
      </w:r>
      <w:r w:rsidR="004067DE">
        <w:t xml:space="preserve"> lead by ECE and implemented in cooperation with ESCAP, aim</w:t>
      </w:r>
      <w:r w:rsidR="004B333D">
        <w:t>ed</w:t>
      </w:r>
      <w:r w:rsidR="004067DE">
        <w:t xml:space="preserve"> at increasing Customs-to-Customs electronic exchange of transit related data between, inter alia, Kyrgyzstan and its </w:t>
      </w:r>
      <w:r w:rsidR="004B333D">
        <w:t>neighbouring</w:t>
      </w:r>
      <w:r w:rsidR="004067DE">
        <w:t xml:space="preserve"> countries to further improve risk management procedures at border crossing and, ultimately, further f</w:t>
      </w:r>
      <w:r>
        <w:t>acilitate legitimate transport.</w:t>
      </w:r>
      <w:r w:rsidR="004B333D">
        <w:t xml:space="preserve"> </w:t>
      </w:r>
      <w:r w:rsidR="00F11CE7">
        <w:t>The p</w:t>
      </w:r>
      <w:r w:rsidR="004B333D">
        <w:t xml:space="preserve">roject </w:t>
      </w:r>
      <w:proofErr w:type="gramStart"/>
      <w:r w:rsidR="00F11CE7">
        <w:t xml:space="preserve">was </w:t>
      </w:r>
      <w:r w:rsidR="004B333D">
        <w:t>finalized</w:t>
      </w:r>
      <w:proofErr w:type="gramEnd"/>
      <w:r w:rsidR="004B333D">
        <w:t xml:space="preserve"> in 2016 and more in</w:t>
      </w:r>
      <w:r w:rsidR="00C05197">
        <w:t xml:space="preserve">formation </w:t>
      </w:r>
      <w:r w:rsidR="00107B3B">
        <w:t>is available at</w:t>
      </w:r>
      <w:r w:rsidR="00497A18">
        <w:t xml:space="preserve"> </w:t>
      </w:r>
      <w:hyperlink r:id="rId10" w:history="1">
        <w:r w:rsidR="00107B3B" w:rsidRPr="00166E37">
          <w:rPr>
            <w:rStyle w:val="Hyperlink"/>
          </w:rPr>
          <w:t>www.unece.org/trans/themes/unda_customs-to-customs.html</w:t>
        </w:r>
      </w:hyperlink>
    </w:p>
    <w:p w14:paraId="541244ED" w14:textId="77777777" w:rsidR="004067DE" w:rsidRPr="006A2401" w:rsidRDefault="00C05197" w:rsidP="004067DE">
      <w:pPr>
        <w:keepNext/>
        <w:keepLines/>
        <w:tabs>
          <w:tab w:val="right" w:pos="851"/>
        </w:tabs>
        <w:spacing w:before="360" w:after="240" w:line="300" w:lineRule="exact"/>
        <w:ind w:left="1134" w:right="1134" w:hanging="1134"/>
        <w:rPr>
          <w:b/>
          <w:sz w:val="28"/>
        </w:rPr>
      </w:pPr>
      <w:r>
        <w:rPr>
          <w:b/>
          <w:sz w:val="28"/>
        </w:rPr>
        <w:tab/>
      </w:r>
      <w:r w:rsidR="004067DE" w:rsidRPr="006A2401">
        <w:rPr>
          <w:b/>
          <w:sz w:val="28"/>
        </w:rPr>
        <w:t>II</w:t>
      </w:r>
      <w:r w:rsidR="004067DE">
        <w:rPr>
          <w:b/>
          <w:sz w:val="28"/>
        </w:rPr>
        <w:t>I</w:t>
      </w:r>
      <w:r w:rsidR="004067DE" w:rsidRPr="006A2401">
        <w:rPr>
          <w:b/>
          <w:sz w:val="28"/>
        </w:rPr>
        <w:t>.</w:t>
      </w:r>
      <w:r w:rsidR="004067DE" w:rsidRPr="006A2401">
        <w:rPr>
          <w:b/>
          <w:sz w:val="28"/>
        </w:rPr>
        <w:tab/>
        <w:t xml:space="preserve">The </w:t>
      </w:r>
      <w:r w:rsidR="004067DE">
        <w:rPr>
          <w:b/>
          <w:sz w:val="28"/>
        </w:rPr>
        <w:t>way forward</w:t>
      </w:r>
    </w:p>
    <w:p w14:paraId="5BEB1E26" w14:textId="49197FE5" w:rsidR="004067DE" w:rsidRDefault="00376722" w:rsidP="00015C5E">
      <w:pPr>
        <w:pStyle w:val="SingleTxtG"/>
      </w:pPr>
      <w:proofErr w:type="gramStart"/>
      <w:r>
        <w:t>12</w:t>
      </w:r>
      <w:r w:rsidR="004067DE">
        <w:t>.</w:t>
      </w:r>
      <w:r w:rsidR="004067DE">
        <w:tab/>
        <w:t xml:space="preserve">The Governing Council of SPECA </w:t>
      </w:r>
      <w:r w:rsidR="00F11CE7">
        <w:t>at</w:t>
      </w:r>
      <w:r w:rsidR="004067DE">
        <w:t xml:space="preserve"> its tenth session in November 2015 decided to change the </w:t>
      </w:r>
      <w:r>
        <w:t xml:space="preserve">name of the </w:t>
      </w:r>
      <w:r w:rsidR="004067DE">
        <w:t xml:space="preserve">PWG-TBC into the </w:t>
      </w:r>
      <w:r w:rsidR="00F11CE7">
        <w:t>‘</w:t>
      </w:r>
      <w:r w:rsidR="004067DE">
        <w:t>Thematic Working Group on Sustainable Transport, Transit and Connectivity</w:t>
      </w:r>
      <w:r w:rsidR="00F11CE7">
        <w:t xml:space="preserve">’ </w:t>
      </w:r>
      <w:r w:rsidR="004067DE">
        <w:t>(TWG-STTC)</w:t>
      </w:r>
      <w:r w:rsidR="00F11CE7">
        <w:t>, and develop</w:t>
      </w:r>
      <w:r w:rsidR="004067DE">
        <w:t xml:space="preserve"> new objectives in line with </w:t>
      </w:r>
      <w:r w:rsidR="00F11CE7">
        <w:t>‘</w:t>
      </w:r>
      <w:r w:rsidRPr="00107B3B">
        <w:rPr>
          <w:rFonts w:eastAsia="Calibri"/>
          <w:u w:color="000000"/>
        </w:rPr>
        <w:t>Transforming our world: the 2030 Agenda for Sustainable Development</w:t>
      </w:r>
      <w:r w:rsidR="00F11CE7">
        <w:rPr>
          <w:rFonts w:eastAsia="Calibri"/>
          <w:u w:color="000000"/>
        </w:rPr>
        <w:t>’</w:t>
      </w:r>
      <w:r w:rsidR="004067DE">
        <w:t xml:space="preserve"> and the </w:t>
      </w:r>
      <w:r>
        <w:t xml:space="preserve">commitment of the SPECA countries to </w:t>
      </w:r>
      <w:r w:rsidR="004067DE">
        <w:t>achieve</w:t>
      </w:r>
      <w:r>
        <w:t xml:space="preserve"> </w:t>
      </w:r>
      <w:r w:rsidR="004067DE">
        <w:t>the Sustainable Development Goals.</w:t>
      </w:r>
      <w:proofErr w:type="gramEnd"/>
      <w:r w:rsidR="004067DE">
        <w:t xml:space="preserve"> The</w:t>
      </w:r>
      <w:r>
        <w:t xml:space="preserve"> </w:t>
      </w:r>
      <w:r>
        <w:lastRenderedPageBreak/>
        <w:t>SPECA framework</w:t>
      </w:r>
      <w:r w:rsidR="004067DE">
        <w:t xml:space="preserve"> </w:t>
      </w:r>
      <w:proofErr w:type="gramStart"/>
      <w:r>
        <w:t>was identified</w:t>
      </w:r>
      <w:proofErr w:type="gramEnd"/>
      <w:r>
        <w:t xml:space="preserve"> </w:t>
      </w:r>
      <w:r w:rsidR="002A4F7B">
        <w:t>as</w:t>
      </w:r>
      <w:r w:rsidR="004067DE">
        <w:t xml:space="preserve"> an important platform for supporting the </w:t>
      </w:r>
      <w:r w:rsidR="00B97B12" w:rsidRPr="00B97B12">
        <w:t xml:space="preserve">achievement </w:t>
      </w:r>
      <w:r w:rsidR="00B97B12">
        <w:t xml:space="preserve">of </w:t>
      </w:r>
      <w:r w:rsidR="00F11CE7" w:rsidRPr="00F11CE7">
        <w:t>Sustainable Development Goals</w:t>
      </w:r>
      <w:r w:rsidR="00F11CE7">
        <w:t xml:space="preserve"> </w:t>
      </w:r>
      <w:r w:rsidR="004067DE">
        <w:t xml:space="preserve">through </w:t>
      </w:r>
      <w:r w:rsidR="002A4F7B">
        <w:t>TA activities</w:t>
      </w:r>
      <w:r w:rsidR="004067DE">
        <w:t xml:space="preserve">, joint development and implementation of regional </w:t>
      </w:r>
      <w:r w:rsidR="002A4F7B">
        <w:t xml:space="preserve">transport </w:t>
      </w:r>
      <w:r w:rsidR="004067DE">
        <w:t xml:space="preserve">projects and </w:t>
      </w:r>
      <w:r w:rsidR="002A4F7B">
        <w:t>sharing of best practice</w:t>
      </w:r>
      <w:r w:rsidR="005F4884">
        <w:t>s</w:t>
      </w:r>
      <w:r w:rsidR="002A4F7B">
        <w:t xml:space="preserve"> in project financing</w:t>
      </w:r>
      <w:r w:rsidR="004067DE">
        <w:t>.</w:t>
      </w:r>
    </w:p>
    <w:p w14:paraId="65F080C7" w14:textId="036BFEF6" w:rsidR="004067DE" w:rsidRDefault="002A4F7B" w:rsidP="00015C5E">
      <w:pPr>
        <w:pStyle w:val="SingleTxtG"/>
      </w:pPr>
      <w:r>
        <w:t>13.</w:t>
      </w:r>
      <w:r>
        <w:tab/>
        <w:t xml:space="preserve">Based on the SPECA Governing Council decision, </w:t>
      </w:r>
      <w:r w:rsidRPr="002A4F7B">
        <w:t xml:space="preserve">a leitmotif of </w:t>
      </w:r>
      <w:r w:rsidR="00B97B12">
        <w:t>the twenty-first</w:t>
      </w:r>
      <w:r w:rsidR="00B97B12" w:rsidRPr="002A4F7B">
        <w:t xml:space="preserve"> </w:t>
      </w:r>
      <w:r w:rsidRPr="002A4F7B">
        <w:t xml:space="preserve">TWG-STTC meeting were </w:t>
      </w:r>
      <w:r w:rsidR="00B97B12" w:rsidRPr="00B97B12">
        <w:t xml:space="preserve">Sustainable Development Goals </w:t>
      </w:r>
      <w:r w:rsidRPr="002A4F7B">
        <w:t xml:space="preserve">related to transport and </w:t>
      </w:r>
      <w:r>
        <w:t xml:space="preserve">ways to assist </w:t>
      </w:r>
      <w:r w:rsidRPr="002A4F7B">
        <w:t xml:space="preserve">SPECA member countries in implementing and monitoring </w:t>
      </w:r>
      <w:r w:rsidR="00B97B12" w:rsidRPr="00B97B12">
        <w:t>Sustainable Development Goals</w:t>
      </w:r>
      <w:r w:rsidRPr="002A4F7B">
        <w:t xml:space="preserve">. </w:t>
      </w:r>
      <w:r w:rsidR="00C82181">
        <w:t xml:space="preserve">Several </w:t>
      </w:r>
      <w:r w:rsidR="00B97B12" w:rsidRPr="00B97B12">
        <w:t xml:space="preserve">Sustainable Development Goals </w:t>
      </w:r>
      <w:r w:rsidR="00C82181">
        <w:t>on which t</w:t>
      </w:r>
      <w:r w:rsidR="004067DE">
        <w:t xml:space="preserve">ransport sector has </w:t>
      </w:r>
      <w:r w:rsidR="00B97B12">
        <w:t xml:space="preserve">a </w:t>
      </w:r>
      <w:r w:rsidR="004067DE">
        <w:t xml:space="preserve">direct influence </w:t>
      </w:r>
      <w:proofErr w:type="gramStart"/>
      <w:r w:rsidR="00C82181">
        <w:t>were identified</w:t>
      </w:r>
      <w:proofErr w:type="gramEnd"/>
      <w:r w:rsidR="004067DE">
        <w:t xml:space="preserve">: </w:t>
      </w:r>
    </w:p>
    <w:p w14:paraId="56893E7D" w14:textId="5FB6BDE2" w:rsidR="004067DE" w:rsidRDefault="004067DE" w:rsidP="00D7476A">
      <w:pPr>
        <w:pStyle w:val="Bullet1G"/>
      </w:pPr>
      <w:proofErr w:type="gramStart"/>
      <w:r>
        <w:t>Goal 3.</w:t>
      </w:r>
      <w:proofErr w:type="gramEnd"/>
      <w:r>
        <w:t xml:space="preserve"> Ensure healthy lives and promote well-being for all at all ages (Road </w:t>
      </w:r>
      <w:r w:rsidR="00B97B12">
        <w:t>saf</w:t>
      </w:r>
      <w:r>
        <w:t>ety</w:t>
      </w:r>
      <w:r w:rsidR="00C82181">
        <w:t>);</w:t>
      </w:r>
      <w:r>
        <w:t xml:space="preserve"> </w:t>
      </w:r>
    </w:p>
    <w:p w14:paraId="6A2F2656" w14:textId="77777777" w:rsidR="004067DE" w:rsidRDefault="004067DE" w:rsidP="00D7476A">
      <w:pPr>
        <w:pStyle w:val="Bullet1G"/>
      </w:pPr>
      <w:proofErr w:type="gramStart"/>
      <w:r>
        <w:t>Goal 7.</w:t>
      </w:r>
      <w:proofErr w:type="gramEnd"/>
      <w:r>
        <w:t xml:space="preserve"> Ensure access to affordable, reliable, sustainable and modern energy for all (Energy efficiency)</w:t>
      </w:r>
      <w:r w:rsidR="00C82181">
        <w:t>;</w:t>
      </w:r>
      <w:r>
        <w:t xml:space="preserve"> </w:t>
      </w:r>
    </w:p>
    <w:p w14:paraId="2DDEA4C8" w14:textId="77777777" w:rsidR="004067DE" w:rsidRDefault="004067DE" w:rsidP="00D7476A">
      <w:pPr>
        <w:pStyle w:val="Bullet1G"/>
      </w:pPr>
      <w:proofErr w:type="gramStart"/>
      <w:r>
        <w:t>Goal 9.</w:t>
      </w:r>
      <w:proofErr w:type="gramEnd"/>
      <w:r>
        <w:t xml:space="preserve"> Build resilient infrastructure, promote inclusive and sustainable industrialization and foster innovation (Sustainable infrastructure)</w:t>
      </w:r>
      <w:r w:rsidR="00C82181">
        <w:t>;</w:t>
      </w:r>
      <w:r>
        <w:t xml:space="preserve"> </w:t>
      </w:r>
    </w:p>
    <w:p w14:paraId="516469F1" w14:textId="77777777" w:rsidR="004067DE" w:rsidRDefault="004067DE" w:rsidP="00D7476A">
      <w:pPr>
        <w:pStyle w:val="Bullet1G"/>
      </w:pPr>
      <w:proofErr w:type="gramStart"/>
      <w:r>
        <w:t>Goal 11.</w:t>
      </w:r>
      <w:proofErr w:type="gramEnd"/>
      <w:r>
        <w:t xml:space="preserve"> Make cities and human settlements inclusive, safe, resilient and sustainable (Sustainable transport for all)</w:t>
      </w:r>
      <w:r w:rsidR="00C82181">
        <w:t>;</w:t>
      </w:r>
      <w:r>
        <w:t xml:space="preserve"> </w:t>
      </w:r>
      <w:r w:rsidR="00C82181">
        <w:t>and</w:t>
      </w:r>
    </w:p>
    <w:p w14:paraId="144121DD" w14:textId="6120E3A7" w:rsidR="004067DE" w:rsidRDefault="004067DE" w:rsidP="00D7476A">
      <w:pPr>
        <w:pStyle w:val="Bullet1G"/>
      </w:pPr>
      <w:proofErr w:type="gramStart"/>
      <w:r>
        <w:t>Goal 12.</w:t>
      </w:r>
      <w:proofErr w:type="gramEnd"/>
      <w:r>
        <w:t xml:space="preserve"> Ensure sustainable consumption and production patterns (</w:t>
      </w:r>
      <w:r w:rsidR="008913CA">
        <w:t>Termination of f</w:t>
      </w:r>
      <w:r>
        <w:t>uel subsidies)</w:t>
      </w:r>
      <w:r w:rsidR="00C82181">
        <w:t>.</w:t>
      </w:r>
      <w:r>
        <w:t xml:space="preserve"> </w:t>
      </w:r>
    </w:p>
    <w:p w14:paraId="21BCD090" w14:textId="28498B44" w:rsidR="003330A5" w:rsidRDefault="00C82181" w:rsidP="00015C5E">
      <w:pPr>
        <w:pStyle w:val="SingleTxtG"/>
      </w:pPr>
      <w:r>
        <w:t>14.</w:t>
      </w:r>
      <w:r>
        <w:tab/>
      </w:r>
      <w:r w:rsidR="0027560B">
        <w:t xml:space="preserve">Taking into account identified </w:t>
      </w:r>
      <w:r w:rsidR="00B97B12">
        <w:t>Sustainable Development Goals</w:t>
      </w:r>
      <w:r w:rsidR="0027560B">
        <w:t xml:space="preserve"> and </w:t>
      </w:r>
      <w:r w:rsidRPr="002A4F7B">
        <w:t xml:space="preserve">the importance of regional transport cooperation to achieve </w:t>
      </w:r>
      <w:r w:rsidR="00B97B12">
        <w:t>Sustainable Development Goals</w:t>
      </w:r>
      <w:r w:rsidR="0027560B">
        <w:t>,</w:t>
      </w:r>
      <w:r w:rsidRPr="002A4F7B">
        <w:t xml:space="preserve"> </w:t>
      </w:r>
      <w:r w:rsidR="0027560B">
        <w:t>SPECA member countries</w:t>
      </w:r>
      <w:r w:rsidR="0027560B" w:rsidRPr="002A4F7B">
        <w:t xml:space="preserve"> </w:t>
      </w:r>
      <w:r w:rsidRPr="002A4F7B">
        <w:t xml:space="preserve">agreed to include </w:t>
      </w:r>
      <w:r w:rsidR="00534728">
        <w:t>Sustainable Development Goal</w:t>
      </w:r>
      <w:r w:rsidRPr="002A4F7B">
        <w:t>-related acti</w:t>
      </w:r>
      <w:r w:rsidR="003330A5">
        <w:t>vities</w:t>
      </w:r>
      <w:r w:rsidRPr="002A4F7B">
        <w:t xml:space="preserve"> in the SPECA Programme of Work 2017-</w:t>
      </w:r>
      <w:r w:rsidR="00063969">
        <w:t>20</w:t>
      </w:r>
      <w:r w:rsidRPr="002A4F7B">
        <w:t>18.</w:t>
      </w:r>
      <w:r w:rsidR="003330A5">
        <w:t xml:space="preserve"> </w:t>
      </w:r>
      <w:r w:rsidR="004B1AA0">
        <w:t xml:space="preserve">The </w:t>
      </w:r>
      <w:r w:rsidR="003330A5">
        <w:t xml:space="preserve">TWG-STTC </w:t>
      </w:r>
      <w:r w:rsidR="00534728" w:rsidRPr="00534728">
        <w:t>Sustainable Development Goal</w:t>
      </w:r>
      <w:r w:rsidR="00C41847">
        <w:t xml:space="preserve">-related </w:t>
      </w:r>
      <w:r w:rsidR="003330A5">
        <w:t xml:space="preserve">activities </w:t>
      </w:r>
      <w:r w:rsidR="004B1AA0">
        <w:t>should</w:t>
      </w:r>
      <w:r w:rsidR="003330A5">
        <w:t xml:space="preserve">: </w:t>
      </w:r>
    </w:p>
    <w:p w14:paraId="6399DD68" w14:textId="77777777" w:rsidR="003330A5" w:rsidRDefault="003330A5" w:rsidP="00D7476A">
      <w:pPr>
        <w:pStyle w:val="Bullet1G"/>
      </w:pPr>
      <w:r>
        <w:t>Support the efforts of the participating countries to implement 2030 development agenda by enhancing the sustainability of transport;</w:t>
      </w:r>
    </w:p>
    <w:p w14:paraId="20CFC85C" w14:textId="4BABDDC0" w:rsidR="003330A5" w:rsidRDefault="003330A5" w:rsidP="00D7476A">
      <w:pPr>
        <w:pStyle w:val="Bullet1G"/>
      </w:pPr>
      <w:r>
        <w:t xml:space="preserve">Ensure more focus on those efforts which would result in strengthening regional cooperation aimed at achieving transport related </w:t>
      </w:r>
      <w:r w:rsidR="00B97B12">
        <w:t>Sustainable Development Goals</w:t>
      </w:r>
      <w:r>
        <w:t>;</w:t>
      </w:r>
    </w:p>
    <w:p w14:paraId="5E462246" w14:textId="0696E57C" w:rsidR="003330A5" w:rsidRDefault="003330A5" w:rsidP="00D7476A">
      <w:pPr>
        <w:pStyle w:val="Bullet1G"/>
      </w:pPr>
      <w:r>
        <w:t>Serve as a forum for inland transport stakeholders to discuss strategic issues, exchange of experiences, lessons learned and good practice, as well as for national and sub</w:t>
      </w:r>
      <w:r w:rsidR="00107B3B">
        <w:t>-</w:t>
      </w:r>
      <w:r>
        <w:t xml:space="preserve">regional efforts in transport sector related to increasing sustainability of transport and achieving </w:t>
      </w:r>
      <w:r w:rsidR="00B97B12">
        <w:t>Sustainable Development Goals</w:t>
      </w:r>
      <w:r>
        <w:t>; and</w:t>
      </w:r>
    </w:p>
    <w:p w14:paraId="439DC1C1" w14:textId="03D11172" w:rsidR="003330A5" w:rsidRDefault="003330A5" w:rsidP="00D7476A">
      <w:pPr>
        <w:pStyle w:val="Bullet1G"/>
      </w:pPr>
      <w:r>
        <w:t xml:space="preserve">Develop and implement transport projects, when possible, in line with relevant </w:t>
      </w:r>
      <w:r w:rsidR="00B97B12">
        <w:t>Sustainable Development Goals</w:t>
      </w:r>
      <w:r>
        <w:t xml:space="preserve"> and targets to contri</w:t>
      </w:r>
      <w:r w:rsidR="00D7476A">
        <w:t>bute to 2030 development agenda.</w:t>
      </w:r>
      <w:r w:rsidR="00887039">
        <w:t xml:space="preserve"> </w:t>
      </w:r>
    </w:p>
    <w:p w14:paraId="161ED94A" w14:textId="21698C08" w:rsidR="001B7456" w:rsidRDefault="004B1AA0" w:rsidP="00015C5E">
      <w:pPr>
        <w:pStyle w:val="SingleTxtG"/>
      </w:pPr>
      <w:r>
        <w:t>1</w:t>
      </w:r>
      <w:r w:rsidR="004067DE">
        <w:t>5.</w:t>
      </w:r>
      <w:r w:rsidR="004067DE">
        <w:tab/>
      </w:r>
      <w:r w:rsidR="001B7456">
        <w:t xml:space="preserve">Furthermore, the TWG has decided to explore the possibilities </w:t>
      </w:r>
      <w:r w:rsidR="00534728">
        <w:t xml:space="preserve">of </w:t>
      </w:r>
      <w:r w:rsidR="001B7456">
        <w:t>prepar</w:t>
      </w:r>
      <w:r w:rsidR="00534728">
        <w:t>ing an</w:t>
      </w:r>
      <w:r w:rsidR="001B7456">
        <w:t xml:space="preserve"> analytical paper </w:t>
      </w:r>
      <w:r w:rsidR="00534728">
        <w:t xml:space="preserve">on </w:t>
      </w:r>
      <w:r w:rsidR="001B7456">
        <w:t xml:space="preserve">how regional transport cooperation within </w:t>
      </w:r>
      <w:r w:rsidR="00534728">
        <w:t xml:space="preserve">the </w:t>
      </w:r>
      <w:r w:rsidR="001B7456">
        <w:t>SPECA framework could contribute to SPECA countries in achiev</w:t>
      </w:r>
      <w:r w:rsidR="00534728">
        <w:t xml:space="preserve">ing the </w:t>
      </w:r>
      <w:r w:rsidR="00B97B12">
        <w:t>Sustainable Development Goals</w:t>
      </w:r>
      <w:r w:rsidR="001B7456">
        <w:t>.</w:t>
      </w:r>
    </w:p>
    <w:p w14:paraId="3882ACFF" w14:textId="692DCC92" w:rsidR="00C41847" w:rsidRPr="00E926A8" w:rsidRDefault="001B7456" w:rsidP="00015C5E">
      <w:pPr>
        <w:pStyle w:val="SingleTxtG"/>
      </w:pPr>
      <w:r w:rsidRPr="00E926A8">
        <w:t>16.</w:t>
      </w:r>
      <w:r w:rsidRPr="00E926A8">
        <w:tab/>
      </w:r>
      <w:r w:rsidR="00DF0305" w:rsidRPr="00E926A8">
        <w:t xml:space="preserve">TWG-STTC found </w:t>
      </w:r>
      <w:r w:rsidR="00C41847" w:rsidRPr="00E926A8">
        <w:t xml:space="preserve">existing </w:t>
      </w:r>
      <w:r w:rsidR="00DF0305" w:rsidRPr="00E926A8">
        <w:t xml:space="preserve">TWG </w:t>
      </w:r>
      <w:r w:rsidR="00C41847" w:rsidRPr="00E926A8">
        <w:t>activities (</w:t>
      </w:r>
      <w:r w:rsidR="00DF0305" w:rsidRPr="00E926A8">
        <w:t>transport connectivity and</w:t>
      </w:r>
      <w:r w:rsidR="00C41847" w:rsidRPr="00E926A8">
        <w:t xml:space="preserve"> infrastructure development, </w:t>
      </w:r>
      <w:r w:rsidR="00DF0305" w:rsidRPr="00E926A8">
        <w:t>removal of</w:t>
      </w:r>
      <w:r w:rsidR="00C41847" w:rsidRPr="00E926A8">
        <w:t xml:space="preserve"> bottlenecks (both physical and non-physical), </w:t>
      </w:r>
      <w:r w:rsidR="00DF0305" w:rsidRPr="00E926A8">
        <w:t xml:space="preserve">transport statistics, rail transport and </w:t>
      </w:r>
      <w:proofErr w:type="spellStart"/>
      <w:r w:rsidR="00DF0305" w:rsidRPr="00E926A8">
        <w:t>intermodality</w:t>
      </w:r>
      <w:proofErr w:type="spellEnd"/>
      <w:r w:rsidR="00DF0305" w:rsidRPr="00E926A8">
        <w:t xml:space="preserve">, </w:t>
      </w:r>
      <w:r w:rsidR="00C41847" w:rsidRPr="00E926A8">
        <w:t>progress related to accession to and implementat</w:t>
      </w:r>
      <w:r w:rsidR="00DF0305" w:rsidRPr="00E926A8">
        <w:t xml:space="preserve">ion of </w:t>
      </w:r>
      <w:r w:rsidR="00837A30" w:rsidRPr="00E926A8">
        <w:t>United Nations</w:t>
      </w:r>
      <w:r w:rsidR="00DF0305" w:rsidRPr="00E926A8">
        <w:t xml:space="preserve"> transport conventions, etc.) extremely important and complementary to </w:t>
      </w:r>
      <w:r w:rsidR="00B97B12">
        <w:t>Sustainable Development Goals</w:t>
      </w:r>
      <w:r w:rsidR="00DF0305" w:rsidRPr="00E926A8">
        <w:t xml:space="preserve"> achievement</w:t>
      </w:r>
      <w:r w:rsidRPr="00E926A8">
        <w:t xml:space="preserve"> and agreed</w:t>
      </w:r>
      <w:r w:rsidR="00DF0305" w:rsidRPr="00E926A8">
        <w:t xml:space="preserve"> to keep </w:t>
      </w:r>
      <w:r w:rsidRPr="00E926A8">
        <w:t xml:space="preserve">them </w:t>
      </w:r>
      <w:r w:rsidR="00DF0305" w:rsidRPr="00E926A8">
        <w:t>in the SPECA Programme of Work 2017-</w:t>
      </w:r>
      <w:r w:rsidR="00534728">
        <w:t>20</w:t>
      </w:r>
      <w:r w:rsidR="00DF0305" w:rsidRPr="00E926A8">
        <w:t>18</w:t>
      </w:r>
      <w:r w:rsidRPr="00E926A8">
        <w:t>.</w:t>
      </w:r>
    </w:p>
    <w:p w14:paraId="0833868F" w14:textId="1A97D8E4" w:rsidR="00E95275" w:rsidRDefault="00DF0305" w:rsidP="00015C5E">
      <w:pPr>
        <w:pStyle w:val="SingleTxtG"/>
      </w:pPr>
      <w:r>
        <w:t>1</w:t>
      </w:r>
      <w:r w:rsidR="001B7456">
        <w:t>7</w:t>
      </w:r>
      <w:r w:rsidR="004067DE">
        <w:t>.</w:t>
      </w:r>
      <w:r w:rsidR="00BE7FAC">
        <w:tab/>
      </w:r>
      <w:r w:rsidR="00047CA5">
        <w:t xml:space="preserve">From the beginning, </w:t>
      </w:r>
      <w:r w:rsidR="001B7456">
        <w:t>TA activities within SPECA TWG-STTC are an important complement to the Sustainable Transport Division’s regulatory and analytical work in Central Asia.</w:t>
      </w:r>
      <w:r w:rsidR="0088704D" w:rsidRPr="0088704D">
        <w:t xml:space="preserve"> </w:t>
      </w:r>
      <w:r w:rsidR="00047CA5">
        <w:t xml:space="preserve">Through TWG activities, SPECA member </w:t>
      </w:r>
      <w:r w:rsidR="004F66B5">
        <w:t>S</w:t>
      </w:r>
      <w:r w:rsidR="00047CA5">
        <w:t xml:space="preserve">tates and ECE addressed the need </w:t>
      </w:r>
      <w:r w:rsidR="00047CA5">
        <w:lastRenderedPageBreak/>
        <w:t xml:space="preserve">for higher investments in transport infrastructure, better connectivity, enhanced cross-border cooperation, wider and more efficient implementation of </w:t>
      </w:r>
      <w:r w:rsidR="00837A30">
        <w:t>United Nations</w:t>
      </w:r>
      <w:r w:rsidR="00047CA5">
        <w:t xml:space="preserve"> transport legal instruments and more attention to road safety. </w:t>
      </w:r>
      <w:proofErr w:type="gramStart"/>
      <w:r w:rsidR="00047CA5">
        <w:t>Constant i</w:t>
      </w:r>
      <w:r w:rsidR="00476DC7" w:rsidRPr="00476DC7">
        <w:t>nvolve</w:t>
      </w:r>
      <w:r w:rsidR="00476DC7">
        <w:t xml:space="preserve">ment of </w:t>
      </w:r>
      <w:r w:rsidR="00476DC7" w:rsidRPr="00476DC7">
        <w:t xml:space="preserve">the secretariat professional staff and </w:t>
      </w:r>
      <w:r w:rsidR="00936930">
        <w:t xml:space="preserve">the </w:t>
      </w:r>
      <w:r w:rsidR="00476DC7" w:rsidRPr="00476DC7">
        <w:t>Regional Advisor</w:t>
      </w:r>
      <w:r w:rsidR="00476DC7">
        <w:t xml:space="preserve"> in best practice</w:t>
      </w:r>
      <w:r w:rsidR="008913CA">
        <w:t>s</w:t>
      </w:r>
      <w:r w:rsidR="00476DC7">
        <w:t xml:space="preserve"> sharing (substantial work in preparation of TWG documents and presentation at s</w:t>
      </w:r>
      <w:r w:rsidR="0088704D">
        <w:t>eminars, workshops</w:t>
      </w:r>
      <w:r w:rsidR="00476DC7">
        <w:t xml:space="preserve"> and</w:t>
      </w:r>
      <w:r w:rsidR="0088704D">
        <w:t xml:space="preserve"> conferences</w:t>
      </w:r>
      <w:r w:rsidR="00476DC7">
        <w:t>),</w:t>
      </w:r>
      <w:r w:rsidR="0088704D">
        <w:t xml:space="preserve"> advisor</w:t>
      </w:r>
      <w:r w:rsidR="00C66058">
        <w:t>y services</w:t>
      </w:r>
      <w:r w:rsidR="00476DC7">
        <w:t xml:space="preserve"> and organization of TA activities</w:t>
      </w:r>
      <w:r w:rsidR="00047CA5">
        <w:t>, in the future, will</w:t>
      </w:r>
      <w:r w:rsidR="00C66058">
        <w:t xml:space="preserve"> </w:t>
      </w:r>
      <w:r w:rsidR="00047CA5">
        <w:t>be one of the</w:t>
      </w:r>
      <w:r w:rsidR="007A01A5">
        <w:t xml:space="preserve"> most</w:t>
      </w:r>
      <w:r w:rsidR="00047CA5">
        <w:t xml:space="preserve"> important </w:t>
      </w:r>
      <w:r w:rsidR="007A01A5">
        <w:t xml:space="preserve">matters </w:t>
      </w:r>
      <w:r w:rsidR="00047CA5">
        <w:t xml:space="preserve">in the </w:t>
      </w:r>
      <w:r w:rsidR="00C66058">
        <w:t>assist</w:t>
      </w:r>
      <w:r w:rsidR="00047CA5">
        <w:t xml:space="preserve">ance to the </w:t>
      </w:r>
      <w:r w:rsidR="00C66058">
        <w:t xml:space="preserve">countries to </w:t>
      </w:r>
      <w:r w:rsidR="00476DC7">
        <w:t xml:space="preserve">achieve </w:t>
      </w:r>
      <w:r w:rsidR="00B97B12">
        <w:t>Sustainable Development Goals</w:t>
      </w:r>
      <w:r w:rsidR="00476DC7">
        <w:t xml:space="preserve"> and </w:t>
      </w:r>
      <w:r w:rsidR="00C66058">
        <w:t xml:space="preserve">enhance regional transport </w:t>
      </w:r>
      <w:r w:rsidR="00476DC7">
        <w:t>cooperation.</w:t>
      </w:r>
      <w:proofErr w:type="gramEnd"/>
    </w:p>
    <w:p w14:paraId="56E819E8" w14:textId="4EB86D70" w:rsidR="00015C5E" w:rsidRPr="00015C5E" w:rsidRDefault="00015C5E" w:rsidP="00015C5E">
      <w:pPr>
        <w:pStyle w:val="SingleTxtG"/>
        <w:spacing w:before="240" w:after="0"/>
        <w:jc w:val="center"/>
        <w:rPr>
          <w:u w:val="single"/>
        </w:rPr>
      </w:pPr>
      <w:r>
        <w:rPr>
          <w:u w:val="single"/>
        </w:rPr>
        <w:tab/>
      </w:r>
      <w:r>
        <w:rPr>
          <w:u w:val="single"/>
        </w:rPr>
        <w:tab/>
      </w:r>
      <w:r>
        <w:rPr>
          <w:u w:val="single"/>
        </w:rPr>
        <w:tab/>
      </w:r>
    </w:p>
    <w:sectPr w:rsidR="00015C5E" w:rsidRPr="00015C5E" w:rsidSect="003A5F98">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03C0B" w14:textId="77777777" w:rsidR="00210076" w:rsidRDefault="00210076"/>
  </w:endnote>
  <w:endnote w:type="continuationSeparator" w:id="0">
    <w:p w14:paraId="52D38902" w14:textId="77777777" w:rsidR="00210076" w:rsidRDefault="00210076"/>
  </w:endnote>
  <w:endnote w:type="continuationNotice" w:id="1">
    <w:p w14:paraId="5077EC70" w14:textId="77777777" w:rsidR="00210076" w:rsidRDefault="00210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E5DC" w14:textId="7635D765"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4416E5">
      <w:rPr>
        <w:b/>
        <w:noProof/>
        <w:sz w:val="18"/>
      </w:rPr>
      <w:t>6</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8FD2" w14:textId="2B3D5613"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4416E5">
      <w:rPr>
        <w:b/>
        <w:noProof/>
        <w:sz w:val="18"/>
      </w:rPr>
      <w:t>5</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F1E28" w14:textId="77777777" w:rsidR="00210076" w:rsidRPr="000B175B" w:rsidRDefault="00210076" w:rsidP="000B175B">
      <w:pPr>
        <w:tabs>
          <w:tab w:val="right" w:pos="2155"/>
        </w:tabs>
        <w:spacing w:after="80"/>
        <w:ind w:left="680"/>
        <w:rPr>
          <w:u w:val="single"/>
        </w:rPr>
      </w:pPr>
      <w:r>
        <w:rPr>
          <w:u w:val="single"/>
        </w:rPr>
        <w:tab/>
      </w:r>
    </w:p>
  </w:footnote>
  <w:footnote w:type="continuationSeparator" w:id="0">
    <w:p w14:paraId="509B75BF" w14:textId="77777777" w:rsidR="00210076" w:rsidRPr="00FC68B7" w:rsidRDefault="00210076" w:rsidP="00FC68B7">
      <w:pPr>
        <w:tabs>
          <w:tab w:val="left" w:pos="2155"/>
        </w:tabs>
        <w:spacing w:after="80"/>
        <w:ind w:left="680"/>
        <w:rPr>
          <w:u w:val="single"/>
        </w:rPr>
      </w:pPr>
      <w:r>
        <w:rPr>
          <w:u w:val="single"/>
        </w:rPr>
        <w:tab/>
      </w:r>
    </w:p>
  </w:footnote>
  <w:footnote w:type="continuationNotice" w:id="1">
    <w:p w14:paraId="7B66F66C" w14:textId="77777777" w:rsidR="00210076" w:rsidRDefault="00210076"/>
  </w:footnote>
  <w:footnote w:id="2">
    <w:p w14:paraId="2EBF6F29" w14:textId="525DE714" w:rsidR="00517926" w:rsidRPr="00517926" w:rsidRDefault="00517926">
      <w:pPr>
        <w:pStyle w:val="FootnoteText"/>
        <w:rPr>
          <w:lang w:val="en-US"/>
        </w:rPr>
      </w:pPr>
      <w:r w:rsidRPr="00517926">
        <w:rPr>
          <w:rStyle w:val="FootnoteReference"/>
          <w:szCs w:val="18"/>
        </w:rPr>
        <w:tab/>
      </w:r>
      <w:r w:rsidRPr="00517926">
        <w:rPr>
          <w:rStyle w:val="FootnoteReference"/>
          <w:szCs w:val="18"/>
          <w:vertAlign w:val="baseline"/>
        </w:rPr>
        <w:t>*</w:t>
      </w:r>
      <w:r>
        <w:rPr>
          <w:rStyle w:val="FootnoteReference"/>
          <w:sz w:val="20"/>
          <w:vertAlign w:val="baseline"/>
        </w:rPr>
        <w:tab/>
      </w:r>
      <w:proofErr w:type="gramStart"/>
      <w:r>
        <w:t>In accordance with the Programme of work of the Inland Transport Committee for 2016-2017, (ECE/TRANS/2016/28 (C (</w:t>
      </w:r>
      <w:proofErr w:type="spellStart"/>
      <w:r>
        <w:t>i</w:t>
      </w:r>
      <w:proofErr w:type="spellEnd"/>
      <w:r>
        <w:t>) and (ii)) and subsequent to Tashkent Declaration (26 March 1998).</w:t>
      </w:r>
      <w:proofErr w:type="gramEnd"/>
    </w:p>
  </w:footnote>
  <w:footnote w:id="3">
    <w:p w14:paraId="79B10EAA" w14:textId="301AABA8" w:rsidR="00134EE9" w:rsidRPr="00134EE9" w:rsidRDefault="00134EE9" w:rsidP="00134EE9">
      <w:pPr>
        <w:pStyle w:val="FootnoteText"/>
        <w:widowControl w:val="0"/>
        <w:tabs>
          <w:tab w:val="clear" w:pos="1021"/>
          <w:tab w:val="right" w:pos="1020"/>
        </w:tabs>
        <w:rPr>
          <w:lang w:val="en-US"/>
        </w:rPr>
      </w:pPr>
      <w:r>
        <w:tab/>
      </w:r>
      <w:r>
        <w:rPr>
          <w:rStyle w:val="FootnoteReference"/>
        </w:rPr>
        <w:footnoteRef/>
      </w:r>
      <w:r>
        <w:tab/>
      </w:r>
      <w:r w:rsidRPr="0068795A">
        <w:t>Available from www.un.org/ga/search/view_doc.asp?symbol=A/RES/70/1&amp;Lang=E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3F62" w14:textId="77777777" w:rsidR="003A5F98" w:rsidRPr="003A5F98" w:rsidRDefault="006C1223">
    <w:pPr>
      <w:pStyle w:val="Header"/>
    </w:pPr>
    <w:r>
      <w:t>ECE/TRANS/2017</w:t>
    </w:r>
    <w:r w:rsidR="006F1285">
      <w:t>/</w:t>
    </w:r>
    <w:r w:rsidR="00E437D6">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7A23" w14:textId="77777777" w:rsidR="003A5F98" w:rsidRPr="003A5F98" w:rsidRDefault="006C1223" w:rsidP="003A5F98">
    <w:pPr>
      <w:pStyle w:val="Header"/>
      <w:jc w:val="right"/>
    </w:pPr>
    <w:r>
      <w:t>ECE/TRANS/2017</w:t>
    </w:r>
    <w:r w:rsidR="006F1285">
      <w:t>/</w:t>
    </w:r>
    <w:r w:rsidR="00E437D6">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B3554C"/>
    <w:multiLevelType w:val="hybridMultilevel"/>
    <w:tmpl w:val="FD7C3E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1E2267"/>
    <w:multiLevelType w:val="hybridMultilevel"/>
    <w:tmpl w:val="A16640DC"/>
    <w:lvl w:ilvl="0" w:tplc="CB20276C">
      <w:start w:val="8"/>
      <w:numFmt w:val="bullet"/>
      <w:lvlText w:val="•"/>
      <w:lvlJc w:val="left"/>
      <w:pPr>
        <w:ind w:left="1689" w:hanging="555"/>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nsid w:val="24B72ADC"/>
    <w:multiLevelType w:val="hybridMultilevel"/>
    <w:tmpl w:val="DF509E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253E774A"/>
    <w:multiLevelType w:val="hybridMultilevel"/>
    <w:tmpl w:val="30E07FF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309F775E"/>
    <w:multiLevelType w:val="hybridMultilevel"/>
    <w:tmpl w:val="3C6A150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C908F7"/>
    <w:multiLevelType w:val="hybridMultilevel"/>
    <w:tmpl w:val="47866EA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9E71EA"/>
    <w:multiLevelType w:val="hybridMultilevel"/>
    <w:tmpl w:val="776867BE"/>
    <w:lvl w:ilvl="0" w:tplc="8B4ED6C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E4A10EC"/>
    <w:multiLevelType w:val="hybridMultilevel"/>
    <w:tmpl w:val="EDB617EC"/>
    <w:lvl w:ilvl="0" w:tplc="351AB0A2">
      <w:start w:val="8"/>
      <w:numFmt w:val="bullet"/>
      <w:lvlText w:val="•"/>
      <w:lvlJc w:val="left"/>
      <w:pPr>
        <w:ind w:left="1689" w:hanging="555"/>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nsid w:val="64A67522"/>
    <w:multiLevelType w:val="hybridMultilevel"/>
    <w:tmpl w:val="CBBA27D2"/>
    <w:lvl w:ilvl="0" w:tplc="728CC3CA">
      <w:start w:val="1"/>
      <w:numFmt w:val="lowerLetter"/>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B207DDE"/>
    <w:multiLevelType w:val="hybridMultilevel"/>
    <w:tmpl w:val="056684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5F226C3"/>
    <w:multiLevelType w:val="hybridMultilevel"/>
    <w:tmpl w:val="13562EA8"/>
    <w:lvl w:ilvl="0" w:tplc="6B040A14">
      <w:start w:val="5"/>
      <w:numFmt w:val="bullet"/>
      <w:lvlText w:val="•"/>
      <w:lvlJc w:val="left"/>
      <w:pPr>
        <w:ind w:left="1689" w:hanging="555"/>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0"/>
  </w:num>
  <w:num w:numId="14">
    <w:abstractNumId w:val="12"/>
  </w:num>
  <w:num w:numId="15">
    <w:abstractNumId w:val="21"/>
  </w:num>
  <w:num w:numId="16">
    <w:abstractNumId w:val="13"/>
  </w:num>
  <w:num w:numId="17">
    <w:abstractNumId w:val="25"/>
  </w:num>
  <w:num w:numId="18">
    <w:abstractNumId w:val="27"/>
  </w:num>
  <w:num w:numId="19">
    <w:abstractNumId w:val="16"/>
  </w:num>
  <w:num w:numId="20">
    <w:abstractNumId w:val="11"/>
  </w:num>
  <w:num w:numId="21">
    <w:abstractNumId w:val="22"/>
  </w:num>
  <w:num w:numId="22">
    <w:abstractNumId w:val="26"/>
  </w:num>
  <w:num w:numId="23">
    <w:abstractNumId w:val="23"/>
  </w:num>
  <w:num w:numId="24">
    <w:abstractNumId w:val="17"/>
  </w:num>
  <w:num w:numId="25">
    <w:abstractNumId w:val="15"/>
  </w:num>
  <w:num w:numId="26">
    <w:abstractNumId w:val="18"/>
  </w:num>
  <w:num w:numId="27">
    <w:abstractNumId w:val="24"/>
  </w:num>
  <w:num w:numId="28">
    <w:abstractNumId w:val="20"/>
  </w:num>
  <w:num w:numId="2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15C5E"/>
    <w:rsid w:val="00027624"/>
    <w:rsid w:val="00046ECE"/>
    <w:rsid w:val="00047CA5"/>
    <w:rsid w:val="00050F6B"/>
    <w:rsid w:val="00063969"/>
    <w:rsid w:val="000678CD"/>
    <w:rsid w:val="00072C8C"/>
    <w:rsid w:val="00081CE0"/>
    <w:rsid w:val="00084D30"/>
    <w:rsid w:val="00085B8E"/>
    <w:rsid w:val="00087467"/>
    <w:rsid w:val="00090320"/>
    <w:rsid w:val="000931C0"/>
    <w:rsid w:val="000A2E09"/>
    <w:rsid w:val="000B175B"/>
    <w:rsid w:val="000B3A0F"/>
    <w:rsid w:val="000E0415"/>
    <w:rsid w:val="000F7715"/>
    <w:rsid w:val="00107B3B"/>
    <w:rsid w:val="00134EE9"/>
    <w:rsid w:val="00137138"/>
    <w:rsid w:val="00145C7E"/>
    <w:rsid w:val="00155875"/>
    <w:rsid w:val="00156B99"/>
    <w:rsid w:val="00166124"/>
    <w:rsid w:val="00184DDA"/>
    <w:rsid w:val="001900CD"/>
    <w:rsid w:val="001A0452"/>
    <w:rsid w:val="001A33AA"/>
    <w:rsid w:val="001B4B04"/>
    <w:rsid w:val="001B5875"/>
    <w:rsid w:val="001B7456"/>
    <w:rsid w:val="001C4B9C"/>
    <w:rsid w:val="001C6663"/>
    <w:rsid w:val="001C7895"/>
    <w:rsid w:val="001D26DF"/>
    <w:rsid w:val="001E3A39"/>
    <w:rsid w:val="001F1599"/>
    <w:rsid w:val="001F19C4"/>
    <w:rsid w:val="002043F0"/>
    <w:rsid w:val="00210076"/>
    <w:rsid w:val="00211E0B"/>
    <w:rsid w:val="00223C66"/>
    <w:rsid w:val="00232575"/>
    <w:rsid w:val="00232737"/>
    <w:rsid w:val="00247258"/>
    <w:rsid w:val="00257CAC"/>
    <w:rsid w:val="0027237A"/>
    <w:rsid w:val="0027560B"/>
    <w:rsid w:val="002974E9"/>
    <w:rsid w:val="002A4F7B"/>
    <w:rsid w:val="002A7F94"/>
    <w:rsid w:val="002B109A"/>
    <w:rsid w:val="002B273E"/>
    <w:rsid w:val="002C6D45"/>
    <w:rsid w:val="002D036C"/>
    <w:rsid w:val="002D6E53"/>
    <w:rsid w:val="002F046D"/>
    <w:rsid w:val="00301764"/>
    <w:rsid w:val="003229D8"/>
    <w:rsid w:val="003254AB"/>
    <w:rsid w:val="003330A5"/>
    <w:rsid w:val="00336C97"/>
    <w:rsid w:val="00336F28"/>
    <w:rsid w:val="00337F88"/>
    <w:rsid w:val="00342432"/>
    <w:rsid w:val="0035223F"/>
    <w:rsid w:val="00352D4B"/>
    <w:rsid w:val="0035638C"/>
    <w:rsid w:val="0036096B"/>
    <w:rsid w:val="00363F9C"/>
    <w:rsid w:val="003672C4"/>
    <w:rsid w:val="00376722"/>
    <w:rsid w:val="00380707"/>
    <w:rsid w:val="003A46BB"/>
    <w:rsid w:val="003A4EC7"/>
    <w:rsid w:val="003A5F98"/>
    <w:rsid w:val="003A6254"/>
    <w:rsid w:val="003A7295"/>
    <w:rsid w:val="003B1F60"/>
    <w:rsid w:val="003C2CC4"/>
    <w:rsid w:val="003D4B23"/>
    <w:rsid w:val="003E278A"/>
    <w:rsid w:val="004067DE"/>
    <w:rsid w:val="00413520"/>
    <w:rsid w:val="004325CB"/>
    <w:rsid w:val="00440A07"/>
    <w:rsid w:val="004416E5"/>
    <w:rsid w:val="00462880"/>
    <w:rsid w:val="00476DC7"/>
    <w:rsid w:val="00476F24"/>
    <w:rsid w:val="0048784C"/>
    <w:rsid w:val="0049116F"/>
    <w:rsid w:val="00497A18"/>
    <w:rsid w:val="004B1AA0"/>
    <w:rsid w:val="004B333D"/>
    <w:rsid w:val="004C55B0"/>
    <w:rsid w:val="004D08A1"/>
    <w:rsid w:val="004D722E"/>
    <w:rsid w:val="004F66B5"/>
    <w:rsid w:val="004F6BA0"/>
    <w:rsid w:val="00503BEA"/>
    <w:rsid w:val="00511975"/>
    <w:rsid w:val="00511D01"/>
    <w:rsid w:val="00517926"/>
    <w:rsid w:val="005317F5"/>
    <w:rsid w:val="00533616"/>
    <w:rsid w:val="00534728"/>
    <w:rsid w:val="00535ABA"/>
    <w:rsid w:val="0053768B"/>
    <w:rsid w:val="005420F2"/>
    <w:rsid w:val="0054285C"/>
    <w:rsid w:val="00564FB3"/>
    <w:rsid w:val="00584173"/>
    <w:rsid w:val="00595520"/>
    <w:rsid w:val="005A44B9"/>
    <w:rsid w:val="005B1BA0"/>
    <w:rsid w:val="005B3DB3"/>
    <w:rsid w:val="005C4D94"/>
    <w:rsid w:val="005D15CA"/>
    <w:rsid w:val="005F2010"/>
    <w:rsid w:val="005F3066"/>
    <w:rsid w:val="005F3E61"/>
    <w:rsid w:val="005F4884"/>
    <w:rsid w:val="00604DDD"/>
    <w:rsid w:val="006115CC"/>
    <w:rsid w:val="00611FC4"/>
    <w:rsid w:val="00614087"/>
    <w:rsid w:val="00614E98"/>
    <w:rsid w:val="006176FB"/>
    <w:rsid w:val="00630FCB"/>
    <w:rsid w:val="00633BAC"/>
    <w:rsid w:val="00640B26"/>
    <w:rsid w:val="00650702"/>
    <w:rsid w:val="006770B2"/>
    <w:rsid w:val="0068795A"/>
    <w:rsid w:val="006940E1"/>
    <w:rsid w:val="006A2401"/>
    <w:rsid w:val="006A3C72"/>
    <w:rsid w:val="006A7392"/>
    <w:rsid w:val="006B03A1"/>
    <w:rsid w:val="006B67D9"/>
    <w:rsid w:val="006C1223"/>
    <w:rsid w:val="006C5535"/>
    <w:rsid w:val="006D0589"/>
    <w:rsid w:val="006E564B"/>
    <w:rsid w:val="006E66EE"/>
    <w:rsid w:val="006E7154"/>
    <w:rsid w:val="006F1285"/>
    <w:rsid w:val="007003CD"/>
    <w:rsid w:val="00705990"/>
    <w:rsid w:val="0070701E"/>
    <w:rsid w:val="00716163"/>
    <w:rsid w:val="0072632A"/>
    <w:rsid w:val="007358E8"/>
    <w:rsid w:val="00736ECE"/>
    <w:rsid w:val="0074533B"/>
    <w:rsid w:val="0075176E"/>
    <w:rsid w:val="007643BC"/>
    <w:rsid w:val="0076447B"/>
    <w:rsid w:val="0077373A"/>
    <w:rsid w:val="007758B3"/>
    <w:rsid w:val="007959FE"/>
    <w:rsid w:val="007A01A5"/>
    <w:rsid w:val="007A0CF1"/>
    <w:rsid w:val="007B6BA5"/>
    <w:rsid w:val="007C3390"/>
    <w:rsid w:val="007C42D8"/>
    <w:rsid w:val="007C4F4B"/>
    <w:rsid w:val="007D7362"/>
    <w:rsid w:val="007D7875"/>
    <w:rsid w:val="007F33C7"/>
    <w:rsid w:val="007F5CE2"/>
    <w:rsid w:val="007F6611"/>
    <w:rsid w:val="00810BAC"/>
    <w:rsid w:val="008175E9"/>
    <w:rsid w:val="00822031"/>
    <w:rsid w:val="008242D7"/>
    <w:rsid w:val="0082577B"/>
    <w:rsid w:val="00837A30"/>
    <w:rsid w:val="00841936"/>
    <w:rsid w:val="008637A8"/>
    <w:rsid w:val="00866893"/>
    <w:rsid w:val="00866F02"/>
    <w:rsid w:val="00867D18"/>
    <w:rsid w:val="00871F9A"/>
    <w:rsid w:val="00871FD5"/>
    <w:rsid w:val="0088172E"/>
    <w:rsid w:val="00881EFA"/>
    <w:rsid w:val="00887039"/>
    <w:rsid w:val="0088704D"/>
    <w:rsid w:val="008879CB"/>
    <w:rsid w:val="008913CA"/>
    <w:rsid w:val="008979B1"/>
    <w:rsid w:val="008A071E"/>
    <w:rsid w:val="008A6B25"/>
    <w:rsid w:val="008A6C4F"/>
    <w:rsid w:val="008B389E"/>
    <w:rsid w:val="008D045E"/>
    <w:rsid w:val="008D3F25"/>
    <w:rsid w:val="008D4D82"/>
    <w:rsid w:val="008E0E46"/>
    <w:rsid w:val="008E7116"/>
    <w:rsid w:val="008F143B"/>
    <w:rsid w:val="008F3882"/>
    <w:rsid w:val="008F4B7C"/>
    <w:rsid w:val="00926E47"/>
    <w:rsid w:val="00936930"/>
    <w:rsid w:val="00946559"/>
    <w:rsid w:val="00947162"/>
    <w:rsid w:val="0094725E"/>
    <w:rsid w:val="009610D0"/>
    <w:rsid w:val="0096375C"/>
    <w:rsid w:val="009662E6"/>
    <w:rsid w:val="0097095E"/>
    <w:rsid w:val="00985129"/>
    <w:rsid w:val="0098592B"/>
    <w:rsid w:val="00985FC4"/>
    <w:rsid w:val="00990766"/>
    <w:rsid w:val="00991261"/>
    <w:rsid w:val="009964C4"/>
    <w:rsid w:val="009A7B81"/>
    <w:rsid w:val="009C0951"/>
    <w:rsid w:val="009D01C0"/>
    <w:rsid w:val="009D2BA5"/>
    <w:rsid w:val="009D6A08"/>
    <w:rsid w:val="009E0A16"/>
    <w:rsid w:val="009E6CB7"/>
    <w:rsid w:val="009E7970"/>
    <w:rsid w:val="009F2EAC"/>
    <w:rsid w:val="009F57E3"/>
    <w:rsid w:val="00A10F4F"/>
    <w:rsid w:val="00A11067"/>
    <w:rsid w:val="00A1704A"/>
    <w:rsid w:val="00A425EB"/>
    <w:rsid w:val="00A6062F"/>
    <w:rsid w:val="00A72F22"/>
    <w:rsid w:val="00A733BC"/>
    <w:rsid w:val="00A73B21"/>
    <w:rsid w:val="00A748A6"/>
    <w:rsid w:val="00A76A69"/>
    <w:rsid w:val="00A879A4"/>
    <w:rsid w:val="00AA0FF8"/>
    <w:rsid w:val="00AB7C53"/>
    <w:rsid w:val="00AC0F2C"/>
    <w:rsid w:val="00AC502A"/>
    <w:rsid w:val="00AF58C1"/>
    <w:rsid w:val="00B04A3F"/>
    <w:rsid w:val="00B06643"/>
    <w:rsid w:val="00B07702"/>
    <w:rsid w:val="00B15055"/>
    <w:rsid w:val="00B30179"/>
    <w:rsid w:val="00B37B15"/>
    <w:rsid w:val="00B45C02"/>
    <w:rsid w:val="00B72A1E"/>
    <w:rsid w:val="00B81E12"/>
    <w:rsid w:val="00B93C5E"/>
    <w:rsid w:val="00B97B12"/>
    <w:rsid w:val="00BA339B"/>
    <w:rsid w:val="00BC1E7E"/>
    <w:rsid w:val="00BC74E9"/>
    <w:rsid w:val="00BC7F91"/>
    <w:rsid w:val="00BD3B26"/>
    <w:rsid w:val="00BE36A9"/>
    <w:rsid w:val="00BE618E"/>
    <w:rsid w:val="00BE7BEC"/>
    <w:rsid w:val="00BE7FAC"/>
    <w:rsid w:val="00BF0A5A"/>
    <w:rsid w:val="00BF0E63"/>
    <w:rsid w:val="00BF12A3"/>
    <w:rsid w:val="00BF16D7"/>
    <w:rsid w:val="00BF2373"/>
    <w:rsid w:val="00C044E2"/>
    <w:rsid w:val="00C048CB"/>
    <w:rsid w:val="00C05197"/>
    <w:rsid w:val="00C066F3"/>
    <w:rsid w:val="00C415BF"/>
    <w:rsid w:val="00C41847"/>
    <w:rsid w:val="00C463DD"/>
    <w:rsid w:val="00C66058"/>
    <w:rsid w:val="00C745C3"/>
    <w:rsid w:val="00C82181"/>
    <w:rsid w:val="00C87912"/>
    <w:rsid w:val="00CA24A4"/>
    <w:rsid w:val="00CB33F3"/>
    <w:rsid w:val="00CB348D"/>
    <w:rsid w:val="00CD46F5"/>
    <w:rsid w:val="00CE4A8F"/>
    <w:rsid w:val="00CF071D"/>
    <w:rsid w:val="00CF0FE7"/>
    <w:rsid w:val="00D15B04"/>
    <w:rsid w:val="00D2031B"/>
    <w:rsid w:val="00D25FE2"/>
    <w:rsid w:val="00D31D22"/>
    <w:rsid w:val="00D3443B"/>
    <w:rsid w:val="00D37DA9"/>
    <w:rsid w:val="00D406A7"/>
    <w:rsid w:val="00D43252"/>
    <w:rsid w:val="00D44D86"/>
    <w:rsid w:val="00D50B7D"/>
    <w:rsid w:val="00D52012"/>
    <w:rsid w:val="00D704E5"/>
    <w:rsid w:val="00D72727"/>
    <w:rsid w:val="00D7476A"/>
    <w:rsid w:val="00D978C6"/>
    <w:rsid w:val="00DA0956"/>
    <w:rsid w:val="00DA0F77"/>
    <w:rsid w:val="00DA357F"/>
    <w:rsid w:val="00DA3E12"/>
    <w:rsid w:val="00DA654A"/>
    <w:rsid w:val="00DA65D2"/>
    <w:rsid w:val="00DB5DE7"/>
    <w:rsid w:val="00DC18AD"/>
    <w:rsid w:val="00DF0305"/>
    <w:rsid w:val="00DF7CAE"/>
    <w:rsid w:val="00E423C0"/>
    <w:rsid w:val="00E437D6"/>
    <w:rsid w:val="00E56509"/>
    <w:rsid w:val="00E568E4"/>
    <w:rsid w:val="00E6175C"/>
    <w:rsid w:val="00E6414C"/>
    <w:rsid w:val="00E7260F"/>
    <w:rsid w:val="00E83014"/>
    <w:rsid w:val="00E8702D"/>
    <w:rsid w:val="00E916A9"/>
    <w:rsid w:val="00E916DE"/>
    <w:rsid w:val="00E925AD"/>
    <w:rsid w:val="00E926A8"/>
    <w:rsid w:val="00E95275"/>
    <w:rsid w:val="00E96630"/>
    <w:rsid w:val="00ED18DC"/>
    <w:rsid w:val="00ED6201"/>
    <w:rsid w:val="00ED7A2A"/>
    <w:rsid w:val="00EF1D7F"/>
    <w:rsid w:val="00F0137E"/>
    <w:rsid w:val="00F11CE7"/>
    <w:rsid w:val="00F179DA"/>
    <w:rsid w:val="00F2025A"/>
    <w:rsid w:val="00F21786"/>
    <w:rsid w:val="00F3742B"/>
    <w:rsid w:val="00F4159E"/>
    <w:rsid w:val="00F41FDB"/>
    <w:rsid w:val="00F507EC"/>
    <w:rsid w:val="00F56D63"/>
    <w:rsid w:val="00F609A9"/>
    <w:rsid w:val="00F80C99"/>
    <w:rsid w:val="00F867EC"/>
    <w:rsid w:val="00F907DA"/>
    <w:rsid w:val="00F91B2B"/>
    <w:rsid w:val="00FC03CD"/>
    <w:rsid w:val="00FC0646"/>
    <w:rsid w:val="00FC68B7"/>
    <w:rsid w:val="00FE3251"/>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57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DE"/>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8637A8"/>
    <w:rPr>
      <w:lang w:eastAsia="en-US"/>
    </w:rPr>
  </w:style>
  <w:style w:type="character" w:customStyle="1" w:styleId="HChGChar">
    <w:name w:val="_ H _Ch_G Char"/>
    <w:link w:val="HChG"/>
    <w:rsid w:val="008637A8"/>
    <w:rPr>
      <w:b/>
      <w:sz w:val="28"/>
      <w:lang w:eastAsia="en-US"/>
    </w:rPr>
  </w:style>
  <w:style w:type="character" w:styleId="CommentReference">
    <w:name w:val="annotation reference"/>
    <w:basedOn w:val="DefaultParagraphFont"/>
    <w:semiHidden/>
    <w:unhideWhenUsed/>
    <w:rsid w:val="00564FB3"/>
    <w:rPr>
      <w:sz w:val="16"/>
      <w:szCs w:val="16"/>
    </w:rPr>
  </w:style>
  <w:style w:type="paragraph" w:styleId="CommentText">
    <w:name w:val="annotation text"/>
    <w:basedOn w:val="Normal"/>
    <w:link w:val="CommentTextChar"/>
    <w:semiHidden/>
    <w:unhideWhenUsed/>
    <w:rsid w:val="00564FB3"/>
    <w:pPr>
      <w:spacing w:line="240" w:lineRule="auto"/>
    </w:pPr>
  </w:style>
  <w:style w:type="character" w:customStyle="1" w:styleId="CommentTextChar">
    <w:name w:val="Comment Text Char"/>
    <w:basedOn w:val="DefaultParagraphFont"/>
    <w:link w:val="CommentText"/>
    <w:semiHidden/>
    <w:rsid w:val="00564FB3"/>
    <w:rPr>
      <w:lang w:eastAsia="en-US"/>
    </w:rPr>
  </w:style>
  <w:style w:type="paragraph" w:styleId="CommentSubject">
    <w:name w:val="annotation subject"/>
    <w:basedOn w:val="CommentText"/>
    <w:next w:val="CommentText"/>
    <w:link w:val="CommentSubjectChar"/>
    <w:semiHidden/>
    <w:unhideWhenUsed/>
    <w:rsid w:val="00564FB3"/>
    <w:rPr>
      <w:b/>
      <w:bCs/>
    </w:rPr>
  </w:style>
  <w:style w:type="character" w:customStyle="1" w:styleId="CommentSubjectChar">
    <w:name w:val="Comment Subject Char"/>
    <w:basedOn w:val="CommentTextChar"/>
    <w:link w:val="CommentSubject"/>
    <w:semiHidden/>
    <w:rsid w:val="00564FB3"/>
    <w:rPr>
      <w:b/>
      <w:bCs/>
      <w:lang w:eastAsia="en-US"/>
    </w:rPr>
  </w:style>
  <w:style w:type="character" w:customStyle="1" w:styleId="st">
    <w:name w:val="st"/>
    <w:basedOn w:val="DefaultParagraphFont"/>
    <w:rsid w:val="00155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DE"/>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8637A8"/>
    <w:rPr>
      <w:lang w:eastAsia="en-US"/>
    </w:rPr>
  </w:style>
  <w:style w:type="character" w:customStyle="1" w:styleId="HChGChar">
    <w:name w:val="_ H _Ch_G Char"/>
    <w:link w:val="HChG"/>
    <w:rsid w:val="008637A8"/>
    <w:rPr>
      <w:b/>
      <w:sz w:val="28"/>
      <w:lang w:eastAsia="en-US"/>
    </w:rPr>
  </w:style>
  <w:style w:type="character" w:styleId="CommentReference">
    <w:name w:val="annotation reference"/>
    <w:basedOn w:val="DefaultParagraphFont"/>
    <w:semiHidden/>
    <w:unhideWhenUsed/>
    <w:rsid w:val="00564FB3"/>
    <w:rPr>
      <w:sz w:val="16"/>
      <w:szCs w:val="16"/>
    </w:rPr>
  </w:style>
  <w:style w:type="paragraph" w:styleId="CommentText">
    <w:name w:val="annotation text"/>
    <w:basedOn w:val="Normal"/>
    <w:link w:val="CommentTextChar"/>
    <w:semiHidden/>
    <w:unhideWhenUsed/>
    <w:rsid w:val="00564FB3"/>
    <w:pPr>
      <w:spacing w:line="240" w:lineRule="auto"/>
    </w:pPr>
  </w:style>
  <w:style w:type="character" w:customStyle="1" w:styleId="CommentTextChar">
    <w:name w:val="Comment Text Char"/>
    <w:basedOn w:val="DefaultParagraphFont"/>
    <w:link w:val="CommentText"/>
    <w:semiHidden/>
    <w:rsid w:val="00564FB3"/>
    <w:rPr>
      <w:lang w:eastAsia="en-US"/>
    </w:rPr>
  </w:style>
  <w:style w:type="paragraph" w:styleId="CommentSubject">
    <w:name w:val="annotation subject"/>
    <w:basedOn w:val="CommentText"/>
    <w:next w:val="CommentText"/>
    <w:link w:val="CommentSubjectChar"/>
    <w:semiHidden/>
    <w:unhideWhenUsed/>
    <w:rsid w:val="00564FB3"/>
    <w:rPr>
      <w:b/>
      <w:bCs/>
    </w:rPr>
  </w:style>
  <w:style w:type="character" w:customStyle="1" w:styleId="CommentSubjectChar">
    <w:name w:val="Comment Subject Char"/>
    <w:basedOn w:val="CommentTextChar"/>
    <w:link w:val="CommentSubject"/>
    <w:semiHidden/>
    <w:rsid w:val="00564FB3"/>
    <w:rPr>
      <w:b/>
      <w:bCs/>
      <w:lang w:eastAsia="en-US"/>
    </w:rPr>
  </w:style>
  <w:style w:type="character" w:customStyle="1" w:styleId="st">
    <w:name w:val="st"/>
    <w:basedOn w:val="DefaultParagraphFont"/>
    <w:rsid w:val="0015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trans/themes/unda_customs-to-custom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A18CC-0748-4CD2-8C80-2BF3A8BF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10</TotalTime>
  <Pages>6</Pages>
  <Words>2124</Words>
  <Characters>13229</Characters>
  <Application>Microsoft Office Word</Application>
  <DocSecurity>0</DocSecurity>
  <Lines>224</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14</cp:revision>
  <cp:lastPrinted>2009-02-18T09:36:00Z</cp:lastPrinted>
  <dcterms:created xsi:type="dcterms:W3CDTF">2016-12-13T07:55:00Z</dcterms:created>
  <dcterms:modified xsi:type="dcterms:W3CDTF">2016-12-13T12:55:00Z</dcterms:modified>
</cp:coreProperties>
</file>