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97011">
        <w:trPr>
          <w:cantSplit/>
          <w:trHeight w:hRule="exact" w:val="851"/>
        </w:trPr>
        <w:tc>
          <w:tcPr>
            <w:tcW w:w="1276" w:type="dxa"/>
            <w:tcBorders>
              <w:bottom w:val="single" w:sz="4" w:space="0" w:color="auto"/>
            </w:tcBorders>
            <w:shd w:val="clear" w:color="auto" w:fill="auto"/>
            <w:vAlign w:val="bottom"/>
          </w:tcPr>
          <w:p w:rsidR="00B56E9C" w:rsidRDefault="00B56E9C" w:rsidP="00897011">
            <w:pPr>
              <w:spacing w:after="80"/>
            </w:pPr>
            <w:bookmarkStart w:id="0" w:name="_GoBack"/>
            <w:bookmarkEnd w:id="0"/>
          </w:p>
        </w:tc>
        <w:tc>
          <w:tcPr>
            <w:tcW w:w="2268" w:type="dxa"/>
            <w:tcBorders>
              <w:bottom w:val="single" w:sz="4" w:space="0" w:color="auto"/>
            </w:tcBorders>
            <w:shd w:val="clear" w:color="auto" w:fill="auto"/>
            <w:vAlign w:val="bottom"/>
          </w:tcPr>
          <w:p w:rsidR="00B56E9C" w:rsidRPr="00897011" w:rsidRDefault="00B56E9C" w:rsidP="00897011">
            <w:pPr>
              <w:spacing w:after="80" w:line="300" w:lineRule="exact"/>
              <w:rPr>
                <w:b/>
                <w:sz w:val="24"/>
                <w:szCs w:val="24"/>
              </w:rPr>
            </w:pPr>
            <w:r w:rsidRPr="00897011">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6A2922" w:rsidP="00A109C9">
            <w:pPr>
              <w:jc w:val="right"/>
            </w:pPr>
            <w:r w:rsidRPr="00897011">
              <w:rPr>
                <w:sz w:val="40"/>
              </w:rPr>
              <w:t>ECE</w:t>
            </w:r>
            <w:r>
              <w:t>/TRANS/WP.11/201</w:t>
            </w:r>
            <w:r w:rsidR="00A109C9">
              <w:t>7</w:t>
            </w:r>
            <w:r>
              <w:t>/</w:t>
            </w:r>
            <w:r w:rsidR="00C02520">
              <w:t>3</w:t>
            </w:r>
          </w:p>
        </w:tc>
      </w:tr>
      <w:tr w:rsidR="00B56E9C" w:rsidTr="00897011">
        <w:trPr>
          <w:cantSplit/>
          <w:trHeight w:hRule="exact" w:val="2835"/>
        </w:trPr>
        <w:tc>
          <w:tcPr>
            <w:tcW w:w="1276" w:type="dxa"/>
            <w:tcBorders>
              <w:top w:val="single" w:sz="4" w:space="0" w:color="auto"/>
              <w:bottom w:val="single" w:sz="12" w:space="0" w:color="auto"/>
            </w:tcBorders>
            <w:shd w:val="clear" w:color="auto" w:fill="auto"/>
          </w:tcPr>
          <w:p w:rsidR="00B56E9C" w:rsidRDefault="00A525ED" w:rsidP="00897011">
            <w:pPr>
              <w:spacing w:before="120"/>
            </w:pPr>
            <w:r>
              <w:rPr>
                <w:noProof/>
                <w:lang w:eastAsia="en-GB"/>
              </w:rPr>
              <w:drawing>
                <wp:inline distT="0" distB="0" distL="0" distR="0">
                  <wp:extent cx="718185"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97011" w:rsidRDefault="00D773DF" w:rsidP="00897011">
            <w:pPr>
              <w:spacing w:before="120" w:line="420" w:lineRule="exact"/>
              <w:rPr>
                <w:sz w:val="40"/>
                <w:szCs w:val="40"/>
              </w:rPr>
            </w:pPr>
            <w:r w:rsidRPr="00897011">
              <w:rPr>
                <w:b/>
                <w:sz w:val="40"/>
                <w:szCs w:val="40"/>
              </w:rPr>
              <w:t>Economic and Social Council</w:t>
            </w:r>
          </w:p>
        </w:tc>
        <w:tc>
          <w:tcPr>
            <w:tcW w:w="2835" w:type="dxa"/>
            <w:tcBorders>
              <w:top w:val="single" w:sz="4" w:space="0" w:color="auto"/>
              <w:bottom w:val="single" w:sz="12" w:space="0" w:color="auto"/>
            </w:tcBorders>
            <w:shd w:val="clear" w:color="auto" w:fill="auto"/>
          </w:tcPr>
          <w:p w:rsidR="006A2922" w:rsidRDefault="006A2922" w:rsidP="00897011">
            <w:pPr>
              <w:spacing w:before="240" w:line="240" w:lineRule="exact"/>
            </w:pPr>
            <w:r>
              <w:t>Distr.: General</w:t>
            </w:r>
          </w:p>
          <w:p w:rsidR="006A2922" w:rsidRDefault="005363B7" w:rsidP="00897011">
            <w:pPr>
              <w:spacing w:line="240" w:lineRule="exact"/>
            </w:pPr>
            <w:r>
              <w:t>25</w:t>
            </w:r>
            <w:r w:rsidR="00C02520">
              <w:t xml:space="preserve"> Ju</w:t>
            </w:r>
            <w:r w:rsidR="00145F63">
              <w:t>ly</w:t>
            </w:r>
            <w:r w:rsidR="006A2922">
              <w:t xml:space="preserve"> 201</w:t>
            </w:r>
            <w:r w:rsidR="00A109C9">
              <w:t>7</w:t>
            </w:r>
          </w:p>
          <w:p w:rsidR="006A2922" w:rsidRDefault="006A2922" w:rsidP="00897011">
            <w:pPr>
              <w:spacing w:line="240" w:lineRule="exact"/>
            </w:pPr>
          </w:p>
          <w:p w:rsidR="00B56E9C" w:rsidRDefault="006A2922" w:rsidP="00897011">
            <w:pPr>
              <w:spacing w:line="240" w:lineRule="exact"/>
            </w:pPr>
            <w:r>
              <w:t>Original: English</w:t>
            </w:r>
          </w:p>
        </w:tc>
      </w:tr>
    </w:tbl>
    <w:p w:rsidR="00CD1745" w:rsidRDefault="00CD1745" w:rsidP="00CD1745">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D1745" w:rsidRPr="008F31D2" w:rsidRDefault="00CD1745" w:rsidP="00CD1745">
      <w:pPr>
        <w:spacing w:before="120"/>
        <w:rPr>
          <w:sz w:val="28"/>
          <w:szCs w:val="28"/>
        </w:rPr>
      </w:pPr>
      <w:r>
        <w:rPr>
          <w:sz w:val="28"/>
          <w:szCs w:val="28"/>
        </w:rPr>
        <w:t>Inland Transport Committee</w:t>
      </w:r>
    </w:p>
    <w:p w:rsidR="00CD1745" w:rsidRDefault="00CD1745" w:rsidP="00CD1745">
      <w:pPr>
        <w:spacing w:before="120"/>
        <w:rPr>
          <w:b/>
          <w:sz w:val="24"/>
          <w:szCs w:val="24"/>
        </w:rPr>
      </w:pPr>
      <w:r>
        <w:rPr>
          <w:b/>
          <w:sz w:val="24"/>
          <w:szCs w:val="24"/>
        </w:rPr>
        <w:t>Working Party on the Transport of Perishable Foodstuffs</w:t>
      </w:r>
    </w:p>
    <w:p w:rsidR="00CD1745" w:rsidRDefault="00CD1745" w:rsidP="00CD1745">
      <w:pPr>
        <w:spacing w:before="120"/>
        <w:rPr>
          <w:b/>
        </w:rPr>
      </w:pPr>
      <w:r>
        <w:rPr>
          <w:b/>
        </w:rPr>
        <w:t>S</w:t>
      </w:r>
      <w:r w:rsidR="007E38E5">
        <w:rPr>
          <w:b/>
        </w:rPr>
        <w:t>eventy-</w:t>
      </w:r>
      <w:r w:rsidR="00A109C9">
        <w:rPr>
          <w:b/>
        </w:rPr>
        <w:t>third</w:t>
      </w:r>
      <w:r>
        <w:rPr>
          <w:b/>
        </w:rPr>
        <w:t xml:space="preserve"> session</w:t>
      </w:r>
    </w:p>
    <w:p w:rsidR="00CD1745" w:rsidRDefault="00CD1745" w:rsidP="00CD1745">
      <w:r>
        <w:t xml:space="preserve">Geneva, </w:t>
      </w:r>
      <w:r w:rsidR="00A109C9">
        <w:t>10-13</w:t>
      </w:r>
      <w:r>
        <w:t xml:space="preserve"> October 201</w:t>
      </w:r>
      <w:r w:rsidR="00A109C9">
        <w:t>7</w:t>
      </w:r>
    </w:p>
    <w:p w:rsidR="00CD1745" w:rsidRDefault="00CD1745" w:rsidP="00CD1745">
      <w:r>
        <w:t>Item 9</w:t>
      </w:r>
      <w:r>
        <w:rPr>
          <w:bCs/>
        </w:rPr>
        <w:t xml:space="preserve"> </w:t>
      </w:r>
      <w:r>
        <w:t>of the provisional agenda</w:t>
      </w:r>
    </w:p>
    <w:p w:rsidR="00A6129C" w:rsidRDefault="00CD1745" w:rsidP="00CD1745">
      <w:r>
        <w:rPr>
          <w:b/>
        </w:rPr>
        <w:t>Programme of work and biennial evaluation</w:t>
      </w:r>
    </w:p>
    <w:p w:rsidR="00CD1745" w:rsidRPr="00CD1745" w:rsidRDefault="00CD1745" w:rsidP="00A630DF">
      <w:pPr>
        <w:pStyle w:val="HChG"/>
      </w:pPr>
      <w:r>
        <w:tab/>
      </w:r>
      <w:r>
        <w:tab/>
      </w:r>
      <w:r w:rsidR="0083123F">
        <w:t>Biennial evaluation and programme of work</w:t>
      </w:r>
    </w:p>
    <w:p w:rsidR="00CD1745" w:rsidRDefault="00CD1745" w:rsidP="00A630DF">
      <w:pPr>
        <w:pStyle w:val="H1G"/>
      </w:pPr>
      <w:r>
        <w:tab/>
      </w:r>
      <w:r>
        <w:tab/>
        <w:t xml:space="preserve">Note by the </w:t>
      </w:r>
      <w:r w:rsidRPr="00A630DF">
        <w:t>secretariat</w:t>
      </w:r>
    </w:p>
    <w:p w:rsidR="00023244" w:rsidRPr="00BE118E" w:rsidRDefault="00CD1745" w:rsidP="00CD1745">
      <w:pPr>
        <w:pStyle w:val="SingleTxtG"/>
      </w:pPr>
      <w:r w:rsidRPr="00BE118E">
        <w:t>1.</w:t>
      </w:r>
      <w:r w:rsidRPr="00BE118E">
        <w:tab/>
        <w:t xml:space="preserve">The WP.11 </w:t>
      </w:r>
      <w:r w:rsidR="007E29E9" w:rsidRPr="00BE118E">
        <w:t xml:space="preserve">examines </w:t>
      </w:r>
      <w:r w:rsidR="00C769F4" w:rsidRPr="00BE118E">
        <w:t>and approves</w:t>
      </w:r>
      <w:r w:rsidR="003004D9" w:rsidRPr="00BE118E">
        <w:t xml:space="preserve"> </w:t>
      </w:r>
      <w:r w:rsidRPr="00BE118E">
        <w:t xml:space="preserve">its </w:t>
      </w:r>
      <w:r w:rsidR="003004D9" w:rsidRPr="00BE118E">
        <w:t xml:space="preserve">draft </w:t>
      </w:r>
      <w:r w:rsidRPr="00BE118E">
        <w:t xml:space="preserve">programme of work every two years. Once adopted by WP.11, the draft programme of work is forwarded to the Inland Transport Committee </w:t>
      </w:r>
      <w:r w:rsidR="00C769F4" w:rsidRPr="00BE118E">
        <w:t xml:space="preserve">(ITC) </w:t>
      </w:r>
      <w:r w:rsidRPr="00BE118E">
        <w:t>and once adopted it becomes part of the programme of work of the ITC.</w:t>
      </w:r>
      <w:r w:rsidR="00023244" w:rsidRPr="00BE118E">
        <w:t xml:space="preserve"> The draft programme of work for 2018-2019 appears in </w:t>
      </w:r>
      <w:r w:rsidR="00BE118E">
        <w:t>annex II</w:t>
      </w:r>
      <w:r w:rsidR="00023244" w:rsidRPr="00BE118E">
        <w:t>.</w:t>
      </w:r>
    </w:p>
    <w:p w:rsidR="00023244" w:rsidRPr="00BE118E" w:rsidRDefault="00023244" w:rsidP="00CD1745">
      <w:pPr>
        <w:pStyle w:val="SingleTxtG"/>
      </w:pPr>
      <w:r w:rsidRPr="00BE118E">
        <w:t>2.</w:t>
      </w:r>
      <w:r w:rsidRPr="00BE118E">
        <w:tab/>
        <w:t>The secretariat would also like to</w:t>
      </w:r>
      <w:r w:rsidR="001948F6" w:rsidRPr="00BE118E">
        <w:t xml:space="preserve"> </w:t>
      </w:r>
      <w:r w:rsidR="00AE5C2B">
        <w:t>draw the attention of the Working P</w:t>
      </w:r>
      <w:r w:rsidRPr="00BE118E">
        <w:t>arty to t</w:t>
      </w:r>
      <w:r w:rsidR="00F234EC" w:rsidRPr="00BE118E">
        <w:t>he Tran</w:t>
      </w:r>
      <w:r w:rsidR="00D6654C">
        <w:t>sport Sub</w:t>
      </w:r>
      <w:r w:rsidR="00CE540B">
        <w:t>-</w:t>
      </w:r>
      <w:r w:rsidR="00D6654C">
        <w:t xml:space="preserve">programme </w:t>
      </w:r>
      <w:r w:rsidR="00F234EC" w:rsidRPr="00BE118E">
        <w:t xml:space="preserve">objective included in the Strategic Framework for 2018-2019, </w:t>
      </w:r>
      <w:r w:rsidRPr="00BE118E">
        <w:t xml:space="preserve">that reads: </w:t>
      </w:r>
      <w:r w:rsidR="00F234EC" w:rsidRPr="00BE118E">
        <w:t xml:space="preserve">“To improve sustainable inland transport with a view to making it safe, clean and competitive, both for freight and personal mobility”. </w:t>
      </w:r>
    </w:p>
    <w:p w:rsidR="00884766" w:rsidRPr="00884766" w:rsidRDefault="00BE118E" w:rsidP="00884766">
      <w:pPr>
        <w:spacing w:after="120"/>
        <w:ind w:left="1134" w:right="1134"/>
        <w:jc w:val="both"/>
      </w:pPr>
      <w:r>
        <w:t>3</w:t>
      </w:r>
      <w:r w:rsidR="00884766" w:rsidRPr="00884766">
        <w:t>.</w:t>
      </w:r>
      <w:r w:rsidR="00884766" w:rsidRPr="00884766">
        <w:tab/>
        <w:t xml:space="preserve">As in previous biennia, WP.11 is </w:t>
      </w:r>
      <w:r w:rsidR="003004D9">
        <w:t xml:space="preserve">also </w:t>
      </w:r>
      <w:r w:rsidR="00884766" w:rsidRPr="00884766">
        <w:t>expected to draw up a draft expected accomplishment related to its area of work as well as related indicators of achievement.</w:t>
      </w:r>
    </w:p>
    <w:p w:rsidR="00884766" w:rsidRDefault="00BE118E" w:rsidP="00884766">
      <w:pPr>
        <w:spacing w:after="120"/>
        <w:ind w:left="1134" w:right="1134"/>
        <w:jc w:val="both"/>
      </w:pPr>
      <w:r>
        <w:t>4</w:t>
      </w:r>
      <w:r w:rsidR="00884766" w:rsidRPr="003F6562">
        <w:t>.</w:t>
      </w:r>
      <w:r w:rsidR="00884766" w:rsidRPr="003F6562">
        <w:tab/>
        <w:t xml:space="preserve">At its </w:t>
      </w:r>
      <w:r w:rsidR="00756C80" w:rsidRPr="003F6562">
        <w:t>seventy</w:t>
      </w:r>
      <w:r w:rsidR="00884766" w:rsidRPr="003F6562">
        <w:t>-</w:t>
      </w:r>
      <w:r w:rsidR="00756C80" w:rsidRPr="003F6562">
        <w:t>first</w:t>
      </w:r>
      <w:r w:rsidR="00884766" w:rsidRPr="003F6562">
        <w:t xml:space="preserve"> session in 201</w:t>
      </w:r>
      <w:r w:rsidR="00756C80" w:rsidRPr="003F6562">
        <w:t>5</w:t>
      </w:r>
      <w:r w:rsidR="00884766" w:rsidRPr="003F6562">
        <w:t>, WP.11 adopted the proposal that appears below which was subsequently endorsed by the Inland Transport Committee.</w:t>
      </w:r>
    </w:p>
    <w:p w:rsidR="00950751" w:rsidRPr="006D5F5A" w:rsidRDefault="00950751" w:rsidP="00950751">
      <w:pPr>
        <w:pStyle w:val="H1G"/>
        <w:rPr>
          <w:rFonts w:eastAsia="MS Mincho"/>
          <w:lang w:eastAsia="ja-JP"/>
        </w:rPr>
      </w:pPr>
      <w:r>
        <w:rPr>
          <w:rFonts w:eastAsia="MS Mincho"/>
          <w:lang w:eastAsia="ja-JP"/>
        </w:rPr>
        <w:tab/>
        <w:t>A.</w:t>
      </w:r>
      <w:r>
        <w:rPr>
          <w:rFonts w:eastAsia="MS Mincho"/>
          <w:lang w:eastAsia="ja-JP"/>
        </w:rPr>
        <w:tab/>
      </w:r>
      <w:r w:rsidRPr="006D5F5A">
        <w:rPr>
          <w:rFonts w:eastAsia="MS Mincho"/>
          <w:lang w:eastAsia="ja-JP"/>
        </w:rPr>
        <w:t>Expected accomplishment</w:t>
      </w:r>
      <w:r>
        <w:rPr>
          <w:rFonts w:eastAsia="MS Mincho"/>
          <w:lang w:eastAsia="ja-JP"/>
        </w:rPr>
        <w:t xml:space="preserve"> </w:t>
      </w:r>
    </w:p>
    <w:p w:rsidR="00950751" w:rsidRDefault="00950751" w:rsidP="00950751">
      <w:pPr>
        <w:pStyle w:val="SingleTxtG"/>
        <w:rPr>
          <w:rFonts w:eastAsia="MS Mincho"/>
          <w:lang w:eastAsia="ja-JP"/>
        </w:rPr>
      </w:pPr>
      <w:r>
        <w:rPr>
          <w:rFonts w:eastAsia="MS Mincho"/>
          <w:lang w:eastAsia="ja-JP"/>
        </w:rPr>
        <w:t>5.</w:t>
      </w:r>
      <w:r>
        <w:rPr>
          <w:rFonts w:eastAsia="MS Mincho"/>
          <w:lang w:eastAsia="ja-JP"/>
        </w:rPr>
        <w:tab/>
      </w:r>
      <w:r w:rsidRPr="006D5F5A">
        <w:rPr>
          <w:rFonts w:eastAsia="MS Mincho"/>
          <w:lang w:eastAsia="ja-JP"/>
        </w:rPr>
        <w:t>Enhanced and updated international requirements for the transport of perishable foodstuffs</w:t>
      </w:r>
      <w:r>
        <w:rPr>
          <w:rFonts w:eastAsia="MS Mincho"/>
          <w:lang w:eastAsia="ja-JP"/>
        </w:rPr>
        <w:t>.</w:t>
      </w:r>
    </w:p>
    <w:p w:rsidR="00950751" w:rsidRPr="006D5F5A" w:rsidRDefault="00950751" w:rsidP="00950751">
      <w:pPr>
        <w:pStyle w:val="H1G"/>
        <w:pageBreakBefore/>
        <w:rPr>
          <w:rFonts w:eastAsia="MS Mincho"/>
          <w:lang w:eastAsia="ja-JP"/>
        </w:rPr>
      </w:pPr>
      <w:r w:rsidRPr="00884766">
        <w:lastRenderedPageBreak/>
        <w:tab/>
      </w:r>
      <w:r>
        <w:t>B</w:t>
      </w:r>
      <w:r w:rsidRPr="00884766">
        <w:tab/>
      </w:r>
      <w:r w:rsidRPr="006D5F5A">
        <w:rPr>
          <w:rFonts w:eastAsia="MS Mincho"/>
          <w:lang w:eastAsia="ja-JP"/>
        </w:rPr>
        <w:t>Indicators of achievement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66"/>
        <w:gridCol w:w="3000"/>
        <w:gridCol w:w="3104"/>
      </w:tblGrid>
      <w:tr w:rsidR="007E28B2" w:rsidRPr="003F6562" w:rsidTr="00D14684">
        <w:trPr>
          <w:tblHeader/>
        </w:trPr>
        <w:tc>
          <w:tcPr>
            <w:tcW w:w="1266" w:type="dxa"/>
            <w:tcBorders>
              <w:top w:val="single" w:sz="4" w:space="0" w:color="auto"/>
              <w:bottom w:val="single" w:sz="12" w:space="0" w:color="auto"/>
            </w:tcBorders>
            <w:shd w:val="clear" w:color="auto" w:fill="auto"/>
            <w:vAlign w:val="bottom"/>
          </w:tcPr>
          <w:p w:rsidR="007E28B2" w:rsidRPr="003F6562" w:rsidRDefault="007E28B2" w:rsidP="00D14684">
            <w:pPr>
              <w:suppressAutoHyphens w:val="0"/>
              <w:spacing w:before="80" w:after="80" w:line="200" w:lineRule="exact"/>
              <w:ind w:right="113"/>
              <w:rPr>
                <w:i/>
                <w:sz w:val="16"/>
                <w:szCs w:val="24"/>
              </w:rPr>
            </w:pPr>
            <w:r w:rsidRPr="003F6562">
              <w:rPr>
                <w:i/>
                <w:sz w:val="16"/>
              </w:rPr>
              <w:br w:type="page"/>
            </w:r>
            <w:r w:rsidRPr="003F6562">
              <w:rPr>
                <w:i/>
                <w:sz w:val="16"/>
              </w:rPr>
              <w:br w:type="page"/>
            </w:r>
            <w:r w:rsidRPr="003F6562">
              <w:rPr>
                <w:i/>
                <w:sz w:val="16"/>
              </w:rPr>
              <w:br w:type="page"/>
            </w:r>
            <w:r w:rsidRPr="003F6562">
              <w:rPr>
                <w:i/>
                <w:sz w:val="16"/>
                <w:szCs w:val="24"/>
                <w:lang w:val="fr-CH"/>
              </w:rPr>
              <w:t>Cluster</w:t>
            </w:r>
          </w:p>
        </w:tc>
        <w:tc>
          <w:tcPr>
            <w:tcW w:w="3000" w:type="dxa"/>
            <w:tcBorders>
              <w:top w:val="single" w:sz="4" w:space="0" w:color="auto"/>
              <w:bottom w:val="single" w:sz="12" w:space="0" w:color="auto"/>
            </w:tcBorders>
            <w:shd w:val="clear" w:color="auto" w:fill="auto"/>
            <w:vAlign w:val="bottom"/>
          </w:tcPr>
          <w:p w:rsidR="007E28B2" w:rsidRPr="003F6562" w:rsidRDefault="007E28B2" w:rsidP="00D14684">
            <w:pPr>
              <w:suppressAutoHyphens w:val="0"/>
              <w:spacing w:before="80" w:after="80" w:line="200" w:lineRule="exact"/>
              <w:ind w:right="113"/>
              <w:rPr>
                <w:i/>
                <w:sz w:val="16"/>
                <w:szCs w:val="24"/>
              </w:rPr>
            </w:pPr>
            <w:r w:rsidRPr="003F6562">
              <w:rPr>
                <w:i/>
                <w:sz w:val="16"/>
                <w:szCs w:val="24"/>
                <w:lang w:val="fr-CH"/>
              </w:rPr>
              <w:t>Expected accomplishments</w:t>
            </w:r>
          </w:p>
        </w:tc>
        <w:tc>
          <w:tcPr>
            <w:tcW w:w="3104" w:type="dxa"/>
            <w:tcBorders>
              <w:top w:val="single" w:sz="4" w:space="0" w:color="auto"/>
              <w:bottom w:val="single" w:sz="12" w:space="0" w:color="auto"/>
            </w:tcBorders>
            <w:shd w:val="clear" w:color="auto" w:fill="auto"/>
            <w:vAlign w:val="bottom"/>
          </w:tcPr>
          <w:p w:rsidR="007E28B2" w:rsidRPr="003F6562" w:rsidRDefault="007E28B2" w:rsidP="00D14684">
            <w:pPr>
              <w:suppressAutoHyphens w:val="0"/>
              <w:autoSpaceDE w:val="0"/>
              <w:autoSpaceDN w:val="0"/>
              <w:adjustRightInd w:val="0"/>
              <w:spacing w:before="80" w:after="80" w:line="200" w:lineRule="exact"/>
              <w:ind w:right="113"/>
              <w:rPr>
                <w:i/>
                <w:sz w:val="16"/>
                <w:szCs w:val="24"/>
              </w:rPr>
            </w:pPr>
            <w:r w:rsidRPr="003F6562">
              <w:rPr>
                <w:i/>
                <w:sz w:val="16"/>
                <w:szCs w:val="24"/>
              </w:rPr>
              <w:t>Indicators of achievement</w:t>
            </w:r>
          </w:p>
        </w:tc>
      </w:tr>
      <w:tr w:rsidR="007E28B2" w:rsidRPr="003F6562" w:rsidTr="00D14684">
        <w:trPr>
          <w:trHeight w:val="473"/>
        </w:trPr>
        <w:tc>
          <w:tcPr>
            <w:tcW w:w="1266" w:type="dxa"/>
            <w:tcBorders>
              <w:top w:val="single" w:sz="12" w:space="0" w:color="auto"/>
            </w:tcBorders>
            <w:shd w:val="clear" w:color="auto" w:fill="auto"/>
          </w:tcPr>
          <w:p w:rsidR="007E28B2" w:rsidRPr="003F6562" w:rsidRDefault="007E28B2" w:rsidP="00D14684">
            <w:pPr>
              <w:suppressAutoHyphens w:val="0"/>
              <w:spacing w:before="40" w:after="120" w:line="220" w:lineRule="exact"/>
              <w:ind w:right="113"/>
            </w:pPr>
            <w:r w:rsidRPr="003F6562">
              <w:rPr>
                <w:lang w:val="en-US"/>
              </w:rPr>
              <w:t xml:space="preserve">Transport </w:t>
            </w:r>
            <w:r w:rsidRPr="003F6562">
              <w:rPr>
                <w:lang w:val="en-US"/>
              </w:rPr>
              <w:br/>
              <w:t>of perishable foodstuffs</w:t>
            </w:r>
          </w:p>
        </w:tc>
        <w:tc>
          <w:tcPr>
            <w:tcW w:w="3000" w:type="dxa"/>
            <w:tcBorders>
              <w:top w:val="single" w:sz="12" w:space="0" w:color="auto"/>
            </w:tcBorders>
            <w:shd w:val="clear" w:color="auto" w:fill="auto"/>
          </w:tcPr>
          <w:p w:rsidR="007E28B2" w:rsidRPr="003F6562" w:rsidRDefault="007E28B2" w:rsidP="00D14684">
            <w:pPr>
              <w:suppressAutoHyphens w:val="0"/>
              <w:spacing w:before="40" w:after="120" w:line="220" w:lineRule="exact"/>
              <w:ind w:right="113"/>
            </w:pPr>
            <w:r w:rsidRPr="003F6562">
              <w:rPr>
                <w:lang w:val="en-US"/>
              </w:rPr>
              <w:t>Enhanced and updated international requirements for the transport of perishable foodstuffs</w:t>
            </w:r>
          </w:p>
        </w:tc>
        <w:tc>
          <w:tcPr>
            <w:tcW w:w="3104" w:type="dxa"/>
            <w:tcBorders>
              <w:top w:val="single" w:sz="12" w:space="0" w:color="auto"/>
            </w:tcBorders>
            <w:shd w:val="clear" w:color="auto" w:fill="auto"/>
          </w:tcPr>
          <w:p w:rsidR="007E28B2" w:rsidRPr="003F6562" w:rsidRDefault="007E28B2" w:rsidP="00D14684">
            <w:pPr>
              <w:suppressAutoHyphens w:val="0"/>
              <w:spacing w:before="40" w:after="120" w:line="220" w:lineRule="exact"/>
              <w:ind w:right="113"/>
              <w:rPr>
                <w:lang w:val="en-US"/>
              </w:rPr>
            </w:pPr>
            <w:r w:rsidRPr="003F6562">
              <w:rPr>
                <w:lang w:val="en-US"/>
              </w:rPr>
              <w:t>(a)</w:t>
            </w:r>
            <w:r w:rsidRPr="003F6562">
              <w:rPr>
                <w:lang w:val="en-US"/>
              </w:rPr>
              <w:tab/>
              <w:t>Percentage of total of non-editorial amendment proposals adopted by WP.11</w:t>
            </w:r>
          </w:p>
          <w:p w:rsidR="007E28B2" w:rsidRPr="003F6562" w:rsidRDefault="007E28B2" w:rsidP="00D14684">
            <w:pPr>
              <w:suppressAutoHyphens w:val="0"/>
              <w:spacing w:before="40" w:after="40" w:line="220" w:lineRule="exact"/>
              <w:ind w:right="113"/>
              <w:rPr>
                <w:lang w:val="en-US"/>
              </w:rPr>
            </w:pPr>
            <w:r w:rsidRPr="003F6562">
              <w:rPr>
                <w:lang w:val="en-US"/>
              </w:rPr>
              <w:t>Performance measures:</w:t>
            </w:r>
          </w:p>
          <w:p w:rsidR="007E28B2" w:rsidRPr="003F6562" w:rsidRDefault="007E28B2" w:rsidP="00D14684">
            <w:pPr>
              <w:suppressAutoHyphens w:val="0"/>
              <w:spacing w:before="40" w:after="120" w:line="220" w:lineRule="exact"/>
              <w:ind w:right="113"/>
              <w:rPr>
                <w:lang w:val="en-US"/>
              </w:rPr>
            </w:pPr>
            <w:r w:rsidRPr="003F6562">
              <w:rPr>
                <w:lang w:val="fr-CH"/>
              </w:rPr>
              <w:t>Baseline: 2014-2015: 50</w:t>
            </w:r>
            <w:r w:rsidR="00DC13F8">
              <w:rPr>
                <w:lang w:val="fr-CH"/>
              </w:rPr>
              <w:t> </w:t>
            </w:r>
            <w:r w:rsidRPr="003F6562">
              <w:rPr>
                <w:lang w:val="fr-CH"/>
              </w:rPr>
              <w:t>%</w:t>
            </w:r>
            <w:r w:rsidRPr="003F6562">
              <w:rPr>
                <w:lang w:val="en-US"/>
              </w:rPr>
              <w:br/>
            </w:r>
            <w:r w:rsidRPr="003F6562">
              <w:rPr>
                <w:lang w:val="fr-CH"/>
              </w:rPr>
              <w:t>Target: 2016-2017: 60</w:t>
            </w:r>
            <w:r w:rsidR="00DC13F8">
              <w:rPr>
                <w:lang w:val="fr-CH"/>
              </w:rPr>
              <w:t> </w:t>
            </w:r>
            <w:r w:rsidRPr="003F6562">
              <w:rPr>
                <w:lang w:val="fr-CH"/>
              </w:rPr>
              <w:t>%</w:t>
            </w:r>
          </w:p>
        </w:tc>
      </w:tr>
      <w:tr w:rsidR="007E28B2" w:rsidRPr="003F6562" w:rsidTr="00D14684">
        <w:trPr>
          <w:trHeight w:val="472"/>
        </w:trPr>
        <w:tc>
          <w:tcPr>
            <w:tcW w:w="1266" w:type="dxa"/>
            <w:shd w:val="clear" w:color="auto" w:fill="auto"/>
          </w:tcPr>
          <w:p w:rsidR="007E28B2" w:rsidRPr="003F6562" w:rsidRDefault="007E28B2" w:rsidP="00D14684">
            <w:pPr>
              <w:suppressAutoHyphens w:val="0"/>
              <w:spacing w:before="40" w:after="120" w:line="220" w:lineRule="exact"/>
              <w:ind w:right="113"/>
              <w:rPr>
                <w:lang w:val="en-US"/>
              </w:rPr>
            </w:pPr>
          </w:p>
        </w:tc>
        <w:tc>
          <w:tcPr>
            <w:tcW w:w="3000" w:type="dxa"/>
            <w:shd w:val="clear" w:color="auto" w:fill="auto"/>
          </w:tcPr>
          <w:p w:rsidR="007E28B2" w:rsidRPr="003F6562" w:rsidRDefault="007E28B2" w:rsidP="00D14684">
            <w:pPr>
              <w:suppressAutoHyphens w:val="0"/>
              <w:spacing w:before="40" w:after="120" w:line="220" w:lineRule="exact"/>
              <w:ind w:right="113"/>
              <w:rPr>
                <w:lang w:val="en-US"/>
              </w:rPr>
            </w:pPr>
          </w:p>
        </w:tc>
        <w:tc>
          <w:tcPr>
            <w:tcW w:w="3104" w:type="dxa"/>
            <w:shd w:val="clear" w:color="auto" w:fill="auto"/>
          </w:tcPr>
          <w:p w:rsidR="007E28B2" w:rsidRPr="003F6562" w:rsidRDefault="007E28B2" w:rsidP="00D14684">
            <w:pPr>
              <w:suppressAutoHyphens w:val="0"/>
              <w:spacing w:before="40" w:after="120" w:line="220" w:lineRule="exact"/>
              <w:ind w:right="113"/>
              <w:rPr>
                <w:lang w:val="en-US"/>
              </w:rPr>
            </w:pPr>
            <w:r w:rsidRPr="003F6562">
              <w:rPr>
                <w:lang w:val="en-US"/>
              </w:rPr>
              <w:t>(b)</w:t>
            </w:r>
            <w:r w:rsidRPr="003F6562">
              <w:rPr>
                <w:lang w:val="en-US"/>
              </w:rPr>
              <w:tab/>
              <w:t>Total number of Contracting Parties to the ATP</w:t>
            </w:r>
          </w:p>
        </w:tc>
      </w:tr>
      <w:tr w:rsidR="007E28B2" w:rsidRPr="003F6562" w:rsidTr="00D14684">
        <w:trPr>
          <w:trHeight w:val="472"/>
        </w:trPr>
        <w:tc>
          <w:tcPr>
            <w:tcW w:w="1266" w:type="dxa"/>
            <w:shd w:val="clear" w:color="auto" w:fill="auto"/>
          </w:tcPr>
          <w:p w:rsidR="007E28B2" w:rsidRPr="003F6562" w:rsidRDefault="007E28B2" w:rsidP="00D14684">
            <w:pPr>
              <w:suppressAutoHyphens w:val="0"/>
              <w:spacing w:before="40" w:after="120" w:line="220" w:lineRule="exact"/>
              <w:ind w:right="113"/>
              <w:rPr>
                <w:lang w:val="en-US"/>
              </w:rPr>
            </w:pPr>
          </w:p>
        </w:tc>
        <w:tc>
          <w:tcPr>
            <w:tcW w:w="3000" w:type="dxa"/>
            <w:shd w:val="clear" w:color="auto" w:fill="auto"/>
          </w:tcPr>
          <w:p w:rsidR="007E28B2" w:rsidRPr="003F6562" w:rsidRDefault="007E28B2" w:rsidP="00D14684">
            <w:pPr>
              <w:suppressAutoHyphens w:val="0"/>
              <w:spacing w:before="40" w:after="120" w:line="220" w:lineRule="exact"/>
              <w:ind w:right="113"/>
              <w:rPr>
                <w:lang w:val="en-US"/>
              </w:rPr>
            </w:pPr>
          </w:p>
        </w:tc>
        <w:tc>
          <w:tcPr>
            <w:tcW w:w="3104" w:type="dxa"/>
            <w:shd w:val="clear" w:color="auto" w:fill="auto"/>
          </w:tcPr>
          <w:p w:rsidR="007E28B2" w:rsidRPr="003F6562" w:rsidRDefault="007E28B2" w:rsidP="00D14684">
            <w:pPr>
              <w:suppressAutoHyphens w:val="0"/>
              <w:spacing w:before="40" w:after="40" w:line="220" w:lineRule="exact"/>
              <w:ind w:right="113"/>
              <w:rPr>
                <w:lang w:val="fr-CH"/>
              </w:rPr>
            </w:pPr>
            <w:r w:rsidRPr="003F6562">
              <w:rPr>
                <w:lang w:val="fr-CH"/>
              </w:rPr>
              <w:t>Performance measures:</w:t>
            </w:r>
          </w:p>
          <w:p w:rsidR="007E28B2" w:rsidRPr="003F6562" w:rsidRDefault="007E28B2" w:rsidP="00D14684">
            <w:pPr>
              <w:suppressAutoHyphens w:val="0"/>
              <w:spacing w:before="40" w:after="120" w:line="220" w:lineRule="exact"/>
              <w:ind w:right="113"/>
              <w:rPr>
                <w:lang w:val="en-US"/>
              </w:rPr>
            </w:pPr>
            <w:r w:rsidRPr="003F6562">
              <w:rPr>
                <w:lang w:val="fr-CH"/>
              </w:rPr>
              <w:t>Baseline: 2014-2015: 49</w:t>
            </w:r>
            <w:r w:rsidRPr="003F6562">
              <w:rPr>
                <w:lang w:val="fr-CH"/>
              </w:rPr>
              <w:br/>
              <w:t>Target: 2016-2017: 51</w:t>
            </w:r>
          </w:p>
        </w:tc>
      </w:tr>
      <w:tr w:rsidR="007E28B2" w:rsidRPr="003F6562" w:rsidTr="00D14684">
        <w:trPr>
          <w:trHeight w:val="472"/>
        </w:trPr>
        <w:tc>
          <w:tcPr>
            <w:tcW w:w="1266" w:type="dxa"/>
            <w:shd w:val="clear" w:color="auto" w:fill="auto"/>
          </w:tcPr>
          <w:p w:rsidR="007E28B2" w:rsidRPr="003F6562" w:rsidRDefault="007E28B2" w:rsidP="00D14684">
            <w:pPr>
              <w:suppressAutoHyphens w:val="0"/>
              <w:spacing w:before="40" w:after="120" w:line="220" w:lineRule="exact"/>
              <w:ind w:right="113"/>
              <w:rPr>
                <w:lang w:val="en-US"/>
              </w:rPr>
            </w:pPr>
          </w:p>
        </w:tc>
        <w:tc>
          <w:tcPr>
            <w:tcW w:w="3000" w:type="dxa"/>
            <w:shd w:val="clear" w:color="auto" w:fill="auto"/>
          </w:tcPr>
          <w:p w:rsidR="007E28B2" w:rsidRPr="003F6562" w:rsidRDefault="007E28B2" w:rsidP="00D14684">
            <w:pPr>
              <w:suppressAutoHyphens w:val="0"/>
              <w:spacing w:before="40" w:after="120" w:line="220" w:lineRule="exact"/>
              <w:ind w:right="113"/>
              <w:rPr>
                <w:lang w:val="en-US"/>
              </w:rPr>
            </w:pPr>
          </w:p>
        </w:tc>
        <w:tc>
          <w:tcPr>
            <w:tcW w:w="3104" w:type="dxa"/>
            <w:shd w:val="clear" w:color="auto" w:fill="auto"/>
          </w:tcPr>
          <w:p w:rsidR="007E28B2" w:rsidRPr="003F6562" w:rsidRDefault="007E28B2" w:rsidP="00D14684">
            <w:pPr>
              <w:suppressAutoHyphens w:val="0"/>
              <w:spacing w:before="40" w:after="120" w:line="220" w:lineRule="exact"/>
              <w:ind w:right="113"/>
              <w:rPr>
                <w:lang w:val="en-US"/>
              </w:rPr>
            </w:pPr>
            <w:r w:rsidRPr="003F6562">
              <w:rPr>
                <w:lang w:val="en-US"/>
              </w:rPr>
              <w:t>(c)</w:t>
            </w:r>
            <w:r w:rsidRPr="003F6562">
              <w:rPr>
                <w:lang w:val="en-US"/>
              </w:rPr>
              <w:tab/>
              <w:t>Number of countries replying to the questionnaire on the implementation of the ATP</w:t>
            </w:r>
          </w:p>
        </w:tc>
      </w:tr>
      <w:tr w:rsidR="007E28B2" w:rsidRPr="00916DC5" w:rsidTr="00D14684">
        <w:trPr>
          <w:trHeight w:val="472"/>
        </w:trPr>
        <w:tc>
          <w:tcPr>
            <w:tcW w:w="1266" w:type="dxa"/>
            <w:shd w:val="clear" w:color="auto" w:fill="auto"/>
          </w:tcPr>
          <w:p w:rsidR="007E28B2" w:rsidRPr="003F6562" w:rsidRDefault="007E28B2" w:rsidP="00D14684">
            <w:pPr>
              <w:suppressAutoHyphens w:val="0"/>
              <w:spacing w:before="40" w:after="120" w:line="220" w:lineRule="exact"/>
              <w:ind w:right="113"/>
              <w:rPr>
                <w:lang w:val="en-US"/>
              </w:rPr>
            </w:pPr>
          </w:p>
        </w:tc>
        <w:tc>
          <w:tcPr>
            <w:tcW w:w="3000" w:type="dxa"/>
            <w:shd w:val="clear" w:color="auto" w:fill="auto"/>
          </w:tcPr>
          <w:p w:rsidR="007E28B2" w:rsidRPr="003F6562" w:rsidRDefault="007E28B2" w:rsidP="00D14684">
            <w:pPr>
              <w:suppressAutoHyphens w:val="0"/>
              <w:spacing w:before="40" w:after="120" w:line="220" w:lineRule="exact"/>
              <w:ind w:right="113"/>
              <w:rPr>
                <w:lang w:val="en-US"/>
              </w:rPr>
            </w:pPr>
          </w:p>
        </w:tc>
        <w:tc>
          <w:tcPr>
            <w:tcW w:w="3104" w:type="dxa"/>
            <w:shd w:val="clear" w:color="auto" w:fill="auto"/>
          </w:tcPr>
          <w:p w:rsidR="007E28B2" w:rsidRPr="003F6562" w:rsidRDefault="007E28B2" w:rsidP="00D14684">
            <w:pPr>
              <w:suppressAutoHyphens w:val="0"/>
              <w:spacing w:before="40" w:after="40" w:line="220" w:lineRule="exact"/>
              <w:ind w:right="113"/>
              <w:rPr>
                <w:lang w:val="en-US"/>
              </w:rPr>
            </w:pPr>
            <w:r w:rsidRPr="003F6562">
              <w:rPr>
                <w:lang w:val="en-US"/>
              </w:rPr>
              <w:t>Performance measures:</w:t>
            </w:r>
          </w:p>
          <w:p w:rsidR="007E28B2" w:rsidRPr="00916DC5" w:rsidRDefault="007E28B2" w:rsidP="00D14684">
            <w:pPr>
              <w:suppressAutoHyphens w:val="0"/>
              <w:spacing w:before="40" w:after="120" w:line="220" w:lineRule="exact"/>
              <w:ind w:right="113"/>
              <w:rPr>
                <w:lang w:val="en-US"/>
              </w:rPr>
            </w:pPr>
            <w:r w:rsidRPr="003F6562">
              <w:rPr>
                <w:lang w:val="fr-CH"/>
              </w:rPr>
              <w:t>Baseline: 2014-2015: 21</w:t>
            </w:r>
            <w:r w:rsidRPr="003F6562">
              <w:rPr>
                <w:lang w:val="en-US"/>
              </w:rPr>
              <w:br/>
            </w:r>
            <w:r w:rsidRPr="003F6562">
              <w:rPr>
                <w:lang w:val="fr-CH"/>
              </w:rPr>
              <w:t>Target: 2016-2017: 24</w:t>
            </w:r>
          </w:p>
        </w:tc>
      </w:tr>
    </w:tbl>
    <w:p w:rsidR="00884766" w:rsidRDefault="00950751" w:rsidP="00884766">
      <w:pPr>
        <w:spacing w:before="120" w:after="120"/>
        <w:ind w:left="1134" w:right="1134"/>
        <w:jc w:val="both"/>
      </w:pPr>
      <w:r>
        <w:t>6</w:t>
      </w:r>
      <w:r w:rsidR="00884766" w:rsidRPr="00884766">
        <w:t>.</w:t>
      </w:r>
      <w:r w:rsidR="00884766" w:rsidRPr="00884766">
        <w:tab/>
        <w:t xml:space="preserve">The </w:t>
      </w:r>
      <w:r w:rsidR="00884766" w:rsidRPr="00884766">
        <w:rPr>
          <w:lang w:val="en-US"/>
        </w:rPr>
        <w:t>Working Party is invited to evaluate the performance of its activities in view of the expected accomplishments and related indicators drawn up in 201</w:t>
      </w:r>
      <w:r w:rsidR="007E28B2">
        <w:rPr>
          <w:lang w:val="en-US"/>
        </w:rPr>
        <w:t>5</w:t>
      </w:r>
      <w:r w:rsidR="00884766" w:rsidRPr="00884766">
        <w:rPr>
          <w:lang w:val="en-US"/>
        </w:rPr>
        <w:t xml:space="preserve">. </w:t>
      </w:r>
      <w:r w:rsidR="00884766" w:rsidRPr="00884766">
        <w:t>For this purpose, it may wish to review the draft accomplishment account below, consisting of an evaluation of the results achieved until July 201</w:t>
      </w:r>
      <w:r w:rsidR="003F6562">
        <w:t>7</w:t>
      </w:r>
      <w:r w:rsidR="00884766">
        <w:t xml:space="preserve">, </w:t>
      </w:r>
      <w:r w:rsidR="00884766" w:rsidRPr="00884766">
        <w:t>discuss the lessons learned and take programmatic measures.</w:t>
      </w:r>
    </w:p>
    <w:p w:rsidR="00BE118E" w:rsidRDefault="00BE118E" w:rsidP="00BE118E">
      <w:pPr>
        <w:pStyle w:val="H1G"/>
        <w:rPr>
          <w:rFonts w:eastAsia="MS Mincho"/>
          <w:lang w:eastAsia="ja-JP"/>
        </w:rPr>
      </w:pPr>
      <w:r>
        <w:rPr>
          <w:rFonts w:eastAsia="MS Mincho"/>
          <w:lang w:eastAsia="ja-JP"/>
        </w:rPr>
        <w:tab/>
        <w:t>C.</w:t>
      </w:r>
      <w:r>
        <w:rPr>
          <w:rFonts w:eastAsia="MS Mincho"/>
          <w:lang w:eastAsia="ja-JP"/>
        </w:rPr>
        <w:tab/>
      </w:r>
      <w:r w:rsidRPr="006D5F5A">
        <w:rPr>
          <w:rFonts w:eastAsia="MS Mincho"/>
          <w:lang w:eastAsia="ja-JP"/>
        </w:rPr>
        <w:t>Performance assessment</w:t>
      </w:r>
    </w:p>
    <w:p w:rsidR="00950751" w:rsidRPr="00884766" w:rsidRDefault="00950751" w:rsidP="00950751">
      <w:pPr>
        <w:pStyle w:val="H23G"/>
      </w:pPr>
      <w:r w:rsidRPr="00884766">
        <w:tab/>
        <w:t>(a)</w:t>
      </w:r>
      <w:r w:rsidRPr="00884766">
        <w:tab/>
      </w:r>
      <w:r w:rsidRPr="000F2D34">
        <w:rPr>
          <w:lang w:val="en-US"/>
        </w:rPr>
        <w:t>Percentage of total of non-editorial amendment proposals adopted by WP.11</w:t>
      </w:r>
    </w:p>
    <w:p w:rsidR="00950751" w:rsidRPr="00884766" w:rsidRDefault="00950751" w:rsidP="00950751">
      <w:pPr>
        <w:spacing w:after="120"/>
        <w:ind w:left="1134" w:right="1134"/>
        <w:jc w:val="both"/>
      </w:pPr>
      <w:r>
        <w:t>7</w:t>
      </w:r>
      <w:r w:rsidRPr="00884766">
        <w:t>.</w:t>
      </w:r>
      <w:r w:rsidRPr="00884766">
        <w:tab/>
        <w:t xml:space="preserve">At its </w:t>
      </w:r>
      <w:r>
        <w:t>seventy-second</w:t>
      </w:r>
      <w:r w:rsidRPr="00884766">
        <w:t xml:space="preserve"> session in 201</w:t>
      </w:r>
      <w:r>
        <w:t>6</w:t>
      </w:r>
      <w:r w:rsidRPr="00884766">
        <w:t xml:space="preserve">, WP.11 adopted </w:t>
      </w:r>
      <w:r>
        <w:t>a total of 1 proposed amendment</w:t>
      </w:r>
      <w:r w:rsidRPr="00884766">
        <w:t xml:space="preserve"> to the </w:t>
      </w:r>
      <w:r>
        <w:t>ATP which appear in a</w:t>
      </w:r>
      <w:r w:rsidRPr="00884766">
        <w:t>nnex</w:t>
      </w:r>
      <w:r>
        <w:t>es</w:t>
      </w:r>
      <w:r w:rsidRPr="00884766">
        <w:t xml:space="preserve"> I</w:t>
      </w:r>
      <w:r>
        <w:t xml:space="preserve"> </w:t>
      </w:r>
      <w:r w:rsidRPr="00884766">
        <w:t>to the report of the session, ECE/TRANS/WP.11/2</w:t>
      </w:r>
      <w:r>
        <w:t>35</w:t>
      </w:r>
      <w:r w:rsidRPr="00884766">
        <w:t xml:space="preserve">. </w:t>
      </w:r>
      <w:r>
        <w:t xml:space="preserve">The amendment can be considered editorial. </w:t>
      </w:r>
      <w:r w:rsidRPr="00884766">
        <w:t xml:space="preserve">The number of </w:t>
      </w:r>
      <w:r>
        <w:t>non-editorial</w:t>
      </w:r>
      <w:r w:rsidRPr="00884766">
        <w:t xml:space="preserve"> amendments to be adopted at the s</w:t>
      </w:r>
      <w:r>
        <w:t xml:space="preserve">eventy-third </w:t>
      </w:r>
      <w:r w:rsidRPr="00884766">
        <w:t>session of WP.11 in 201</w:t>
      </w:r>
      <w:r>
        <w:t>7</w:t>
      </w:r>
      <w:r w:rsidRPr="00884766">
        <w:t xml:space="preserve"> will not be known until after the session (</w:t>
      </w:r>
      <w:r>
        <w:t xml:space="preserve">10-13 </w:t>
      </w:r>
      <w:r w:rsidRPr="00884766">
        <w:t>October 201</w:t>
      </w:r>
      <w:r>
        <w:t>7</w:t>
      </w:r>
      <w:r w:rsidRPr="00884766">
        <w:t xml:space="preserve">) </w:t>
      </w:r>
      <w:r>
        <w:t>but it is already possible to assume that the percentage of non-editorial amendments will not exceed the 60% target for 2016-2017</w:t>
      </w:r>
      <w:r w:rsidRPr="00884766">
        <w:t xml:space="preserve">. </w:t>
      </w:r>
      <w:r>
        <w:t xml:space="preserve">The WP.11 may wish to select a new indicator of achievement to replace "the percentage of non-editorial amendments </w:t>
      </w:r>
      <w:r w:rsidRPr="000F2D34">
        <w:rPr>
          <w:lang w:val="en-US"/>
        </w:rPr>
        <w:t>proposals adopted by WP.11</w:t>
      </w:r>
      <w:r>
        <w:rPr>
          <w:lang w:val="en-US"/>
        </w:rPr>
        <w:t xml:space="preserve">". </w:t>
      </w:r>
    </w:p>
    <w:p w:rsidR="00950751" w:rsidRPr="00884766" w:rsidRDefault="00950751" w:rsidP="00950751">
      <w:pPr>
        <w:pStyle w:val="H23G"/>
      </w:pPr>
      <w:r w:rsidRPr="00884766">
        <w:tab/>
        <w:t>(b)</w:t>
      </w:r>
      <w:r w:rsidRPr="00884766">
        <w:tab/>
        <w:t>Total number of Contract</w:t>
      </w:r>
      <w:r>
        <w:t>ing Parties to the ATP</w:t>
      </w:r>
    </w:p>
    <w:p w:rsidR="00950751" w:rsidRPr="00884766" w:rsidRDefault="00950751" w:rsidP="00950751">
      <w:pPr>
        <w:spacing w:after="120"/>
        <w:ind w:left="1134" w:right="1134"/>
        <w:jc w:val="both"/>
      </w:pPr>
      <w:r>
        <w:t>8</w:t>
      </w:r>
      <w:r w:rsidRPr="00884766">
        <w:t>.</w:t>
      </w:r>
      <w:r w:rsidRPr="00884766">
        <w:tab/>
        <w:t xml:space="preserve">At the time of writing, there are </w:t>
      </w:r>
      <w:r>
        <w:t>50</w:t>
      </w:r>
      <w:r w:rsidRPr="00884766">
        <w:t xml:space="preserve"> Contracting Parties to </w:t>
      </w:r>
      <w:r>
        <w:t xml:space="preserve">the ATP. </w:t>
      </w:r>
      <w:r w:rsidRPr="00884766">
        <w:t xml:space="preserve">The target of two new Contracting Parties to the ATP has therefore </w:t>
      </w:r>
      <w:r>
        <w:t xml:space="preserve">not </w:t>
      </w:r>
      <w:r w:rsidRPr="00884766">
        <w:t xml:space="preserve">been achieved </w:t>
      </w:r>
      <w:r>
        <w:t xml:space="preserve">so far </w:t>
      </w:r>
      <w:r w:rsidRPr="00884766">
        <w:t>in the biennium 201</w:t>
      </w:r>
      <w:r>
        <w:t>6</w:t>
      </w:r>
      <w:r w:rsidRPr="00884766">
        <w:t>-201</w:t>
      </w:r>
      <w:r>
        <w:t>7</w:t>
      </w:r>
      <w:r w:rsidRPr="00884766">
        <w:t>. The most recent Contracting Part</w:t>
      </w:r>
      <w:r>
        <w:t>y</w:t>
      </w:r>
      <w:r w:rsidRPr="00884766">
        <w:t xml:space="preserve"> </w:t>
      </w:r>
      <w:r>
        <w:t>is San Marino in May 2016</w:t>
      </w:r>
      <w:r w:rsidRPr="00884766">
        <w:t>. There is still potential for new Contracting Parties to the Agreement. Of the 56 UNECE member States, Armenia, Canada, Cyprus, Iceland, Israel, Liechtenstein, Malta, Switzerland and Turkmenistan are not yet ATP Contracting Parties. The ATP is also being promoted to other countries in the Mediterranean area</w:t>
      </w:r>
      <w:r>
        <w:t xml:space="preserve"> such as Algeria, Egypt, Israel, </w:t>
      </w:r>
      <w:r w:rsidRPr="00884766">
        <w:t>Jordan</w:t>
      </w:r>
      <w:r>
        <w:t xml:space="preserve"> and </w:t>
      </w:r>
      <w:r>
        <w:lastRenderedPageBreak/>
        <w:t>Lebanon</w:t>
      </w:r>
      <w:r w:rsidRPr="00884766">
        <w:t>. These countries are already parties to other UNECE legal instruments. It is recommended that this indicator of achievement be kept in 201</w:t>
      </w:r>
      <w:r>
        <w:t>8</w:t>
      </w:r>
      <w:r w:rsidRPr="00884766">
        <w:t>–201</w:t>
      </w:r>
      <w:r>
        <w:t>9</w:t>
      </w:r>
      <w:r w:rsidRPr="00884766">
        <w:t>.</w:t>
      </w:r>
    </w:p>
    <w:p w:rsidR="00950751" w:rsidRPr="00884766" w:rsidRDefault="00950751" w:rsidP="00950751">
      <w:pPr>
        <w:pStyle w:val="H23G"/>
      </w:pPr>
      <w:r w:rsidRPr="00884766">
        <w:tab/>
        <w:t>(c)</w:t>
      </w:r>
      <w:r w:rsidRPr="00884766">
        <w:tab/>
      </w:r>
      <w:r w:rsidRPr="00884766">
        <w:rPr>
          <w:lang w:val="en-US"/>
        </w:rPr>
        <w:t>Number of countries replying to the questionnaire on the implementation of the ATP</w:t>
      </w:r>
    </w:p>
    <w:p w:rsidR="00950751" w:rsidRDefault="00950751" w:rsidP="00950751">
      <w:pPr>
        <w:spacing w:after="120"/>
        <w:ind w:left="1134" w:right="1134"/>
        <w:jc w:val="both"/>
      </w:pPr>
      <w:r>
        <w:t>9</w:t>
      </w:r>
      <w:r w:rsidRPr="00884766">
        <w:t>.</w:t>
      </w:r>
      <w:r w:rsidRPr="00884766">
        <w:tab/>
        <w:t>In 201</w:t>
      </w:r>
      <w:r>
        <w:t>6</w:t>
      </w:r>
      <w:r w:rsidRPr="00884766">
        <w:t xml:space="preserve">, </w:t>
      </w:r>
      <w:r>
        <w:t>22</w:t>
      </w:r>
      <w:r w:rsidRPr="00884766">
        <w:t xml:space="preserve"> countries replied to the questionnaire on the implementation of the ATP. In </w:t>
      </w:r>
      <w:r>
        <w:t>2017</w:t>
      </w:r>
      <w:r w:rsidRPr="00884766">
        <w:t xml:space="preserve">, </w:t>
      </w:r>
      <w:r>
        <w:t>23</w:t>
      </w:r>
      <w:r w:rsidRPr="00884766">
        <w:t xml:space="preserve"> countries replied. The indicator of achievement of 2</w:t>
      </w:r>
      <w:r>
        <w:t>4</w:t>
      </w:r>
      <w:r w:rsidRPr="00884766">
        <w:t xml:space="preserve"> countries replying has therefore not been achieved. It is recommended that this indicator of achievement be kept in 201</w:t>
      </w:r>
      <w:r>
        <w:t>8</w:t>
      </w:r>
      <w:r w:rsidRPr="00884766">
        <w:t>–201</w:t>
      </w:r>
      <w:r>
        <w:t>9</w:t>
      </w:r>
      <w:r w:rsidRPr="00884766">
        <w:t>.</w:t>
      </w:r>
    </w:p>
    <w:p w:rsidR="00BE118E" w:rsidRPr="005363B7" w:rsidRDefault="00BE118E" w:rsidP="00BE118E">
      <w:pPr>
        <w:pStyle w:val="H1G"/>
        <w:rPr>
          <w:rFonts w:eastAsia="MS Mincho"/>
          <w:lang w:eastAsia="ja-JP"/>
        </w:rPr>
      </w:pPr>
      <w:r>
        <w:rPr>
          <w:rFonts w:eastAsia="MS Mincho"/>
          <w:lang w:eastAsia="ja-JP"/>
        </w:rPr>
        <w:tab/>
      </w:r>
      <w:r w:rsidRPr="005363B7">
        <w:rPr>
          <w:rFonts w:eastAsia="MS Mincho"/>
          <w:lang w:eastAsia="ja-JP"/>
        </w:rPr>
        <w:t>D.</w:t>
      </w:r>
      <w:r w:rsidRPr="005363B7">
        <w:rPr>
          <w:rFonts w:eastAsia="MS Mincho"/>
          <w:lang w:eastAsia="ja-JP"/>
        </w:rPr>
        <w:tab/>
        <w:t>Lessons learned/areas needing improvement</w:t>
      </w:r>
    </w:p>
    <w:p w:rsidR="00BE118E" w:rsidRPr="00A95799" w:rsidRDefault="00F07CDC" w:rsidP="00BE118E">
      <w:pPr>
        <w:pStyle w:val="SingleTxtG"/>
      </w:pPr>
      <w:r>
        <w:t>10</w:t>
      </w:r>
      <w:r w:rsidR="00BE118E" w:rsidRPr="005363B7">
        <w:t>.</w:t>
      </w:r>
      <w:r w:rsidR="00BE118E" w:rsidRPr="005363B7">
        <w:tab/>
        <w:t>The target number of replies to the questionnaire on the implementation of the ATP was met and it is therefore recommended that the target be increased. Some countries state that they are not able to provide the data required because of their administrative structures</w:t>
      </w:r>
      <w:r w:rsidR="00BE118E" w:rsidRPr="005363B7">
        <w:rPr>
          <w:rFonts w:eastAsia="MS Mincho"/>
          <w:lang w:eastAsia="ja-JP"/>
        </w:rPr>
        <w:t xml:space="preserve">. </w:t>
      </w:r>
      <w:r w:rsidR="00BE118E" w:rsidRPr="005363B7">
        <w:t>It is recommended that this indicator of achievement be kept in 2018–2019.</w:t>
      </w:r>
    </w:p>
    <w:p w:rsidR="00BE118E" w:rsidRDefault="00884766" w:rsidP="00BE118E">
      <w:pPr>
        <w:pStyle w:val="HChG"/>
        <w:rPr>
          <w:lang w:val="en-US"/>
        </w:rPr>
      </w:pPr>
      <w:r w:rsidRPr="00884766">
        <w:br w:type="page"/>
      </w:r>
      <w:r w:rsidR="00BE118E">
        <w:lastRenderedPageBreak/>
        <w:t>Annex I</w:t>
      </w:r>
    </w:p>
    <w:p w:rsidR="00884766" w:rsidRPr="00884766" w:rsidRDefault="00884766" w:rsidP="00A630DF">
      <w:pPr>
        <w:pStyle w:val="H1G"/>
      </w:pPr>
      <w:r w:rsidRPr="00884766">
        <w:tab/>
      </w:r>
      <w:r w:rsidRPr="00884766">
        <w:tab/>
      </w:r>
      <w:r>
        <w:t>Proposed evaluation for the 201</w:t>
      </w:r>
      <w:r w:rsidR="00241D51">
        <w:t>8</w:t>
      </w:r>
      <w:r w:rsidRPr="00884766">
        <w:t>-201</w:t>
      </w:r>
      <w:r w:rsidR="00241D51">
        <w:t>9</w:t>
      </w:r>
      <w:r w:rsidRPr="00884766">
        <w:t xml:space="preserve"> biennium</w:t>
      </w:r>
    </w:p>
    <w:p w:rsidR="00884766" w:rsidRPr="00884766" w:rsidRDefault="00884766" w:rsidP="00884766">
      <w:pPr>
        <w:spacing w:after="120"/>
        <w:ind w:left="1134" w:right="1134"/>
        <w:jc w:val="both"/>
      </w:pPr>
      <w:r w:rsidRPr="00884766">
        <w:t>9.</w:t>
      </w:r>
      <w:r w:rsidRPr="00884766">
        <w:tab/>
        <w:t>The WP.11 is invited to discuss, modify and adopt the propo</w:t>
      </w:r>
      <w:r>
        <w:t>sed biennial evaluation for 201</w:t>
      </w:r>
      <w:r w:rsidR="00241D51">
        <w:t>8</w:t>
      </w:r>
      <w:r w:rsidRPr="00884766">
        <w:t>-201</w:t>
      </w:r>
      <w:r w:rsidR="00241D51">
        <w:t>9</w:t>
      </w:r>
      <w:r w:rsidRPr="00884766">
        <w:t xml:space="preserve"> which appears below and which will be submitted to the </w:t>
      </w:r>
      <w:r w:rsidR="00145F63">
        <w:t>eightieth</w:t>
      </w:r>
      <w:r w:rsidRPr="00884766">
        <w:t xml:space="preserve"> session of the ITC in 201</w:t>
      </w:r>
      <w:r w:rsidR="00241D51">
        <w:t>8</w:t>
      </w:r>
      <w:r w:rsidRPr="00884766">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66"/>
        <w:gridCol w:w="3000"/>
        <w:gridCol w:w="3104"/>
      </w:tblGrid>
      <w:tr w:rsidR="00884766" w:rsidRPr="00884766" w:rsidTr="00394DFA">
        <w:trPr>
          <w:tblHeader/>
        </w:trPr>
        <w:tc>
          <w:tcPr>
            <w:tcW w:w="1266" w:type="dxa"/>
            <w:tcBorders>
              <w:top w:val="single" w:sz="4" w:space="0" w:color="auto"/>
              <w:bottom w:val="single" w:sz="12" w:space="0" w:color="auto"/>
            </w:tcBorders>
            <w:shd w:val="clear" w:color="auto" w:fill="auto"/>
            <w:vAlign w:val="bottom"/>
          </w:tcPr>
          <w:p w:rsidR="00884766" w:rsidRPr="00884766" w:rsidRDefault="00884766" w:rsidP="00884766">
            <w:pPr>
              <w:suppressAutoHyphens w:val="0"/>
              <w:spacing w:before="80" w:after="80" w:line="200" w:lineRule="exact"/>
              <w:ind w:right="113"/>
              <w:rPr>
                <w:i/>
                <w:sz w:val="16"/>
                <w:szCs w:val="24"/>
              </w:rPr>
            </w:pPr>
            <w:r w:rsidRPr="00884766">
              <w:rPr>
                <w:i/>
                <w:sz w:val="16"/>
              </w:rPr>
              <w:br w:type="page"/>
            </w:r>
            <w:r w:rsidRPr="00884766">
              <w:rPr>
                <w:i/>
                <w:sz w:val="16"/>
              </w:rPr>
              <w:br w:type="page"/>
            </w:r>
            <w:r w:rsidRPr="00884766">
              <w:rPr>
                <w:i/>
                <w:sz w:val="16"/>
              </w:rPr>
              <w:br w:type="page"/>
            </w:r>
            <w:r w:rsidRPr="00884766">
              <w:rPr>
                <w:i/>
                <w:sz w:val="16"/>
                <w:szCs w:val="24"/>
                <w:lang w:val="fr-CH"/>
              </w:rPr>
              <w:t>Cluster</w:t>
            </w:r>
          </w:p>
        </w:tc>
        <w:tc>
          <w:tcPr>
            <w:tcW w:w="3000" w:type="dxa"/>
            <w:tcBorders>
              <w:top w:val="single" w:sz="4" w:space="0" w:color="auto"/>
              <w:bottom w:val="single" w:sz="12" w:space="0" w:color="auto"/>
            </w:tcBorders>
            <w:shd w:val="clear" w:color="auto" w:fill="auto"/>
            <w:vAlign w:val="bottom"/>
          </w:tcPr>
          <w:p w:rsidR="00884766" w:rsidRPr="00884766" w:rsidRDefault="00884766" w:rsidP="00884766">
            <w:pPr>
              <w:suppressAutoHyphens w:val="0"/>
              <w:spacing w:before="80" w:after="80" w:line="200" w:lineRule="exact"/>
              <w:ind w:right="113"/>
              <w:rPr>
                <w:i/>
                <w:sz w:val="16"/>
                <w:szCs w:val="24"/>
              </w:rPr>
            </w:pPr>
            <w:r w:rsidRPr="00884766">
              <w:rPr>
                <w:i/>
                <w:sz w:val="16"/>
                <w:szCs w:val="24"/>
                <w:lang w:val="fr-CH"/>
              </w:rPr>
              <w:t>Expected accomplishments</w:t>
            </w:r>
          </w:p>
        </w:tc>
        <w:tc>
          <w:tcPr>
            <w:tcW w:w="3104" w:type="dxa"/>
            <w:tcBorders>
              <w:top w:val="single" w:sz="4" w:space="0" w:color="auto"/>
              <w:bottom w:val="single" w:sz="12" w:space="0" w:color="auto"/>
            </w:tcBorders>
            <w:shd w:val="clear" w:color="auto" w:fill="auto"/>
            <w:vAlign w:val="bottom"/>
          </w:tcPr>
          <w:p w:rsidR="00884766" w:rsidRPr="00884766" w:rsidRDefault="00884766" w:rsidP="00884766">
            <w:pPr>
              <w:suppressAutoHyphens w:val="0"/>
              <w:autoSpaceDE w:val="0"/>
              <w:autoSpaceDN w:val="0"/>
              <w:adjustRightInd w:val="0"/>
              <w:spacing w:before="80" w:after="80" w:line="200" w:lineRule="exact"/>
              <w:ind w:right="113"/>
              <w:rPr>
                <w:i/>
                <w:sz w:val="16"/>
                <w:szCs w:val="24"/>
              </w:rPr>
            </w:pPr>
            <w:r w:rsidRPr="00884766">
              <w:rPr>
                <w:i/>
                <w:sz w:val="16"/>
                <w:szCs w:val="24"/>
              </w:rPr>
              <w:t>Indicators of achievement</w:t>
            </w:r>
          </w:p>
        </w:tc>
      </w:tr>
      <w:tr w:rsidR="00884766" w:rsidRPr="00884766" w:rsidTr="00394DFA">
        <w:trPr>
          <w:trHeight w:val="473"/>
        </w:trPr>
        <w:tc>
          <w:tcPr>
            <w:tcW w:w="1266" w:type="dxa"/>
            <w:tcBorders>
              <w:top w:val="single" w:sz="12" w:space="0" w:color="auto"/>
            </w:tcBorders>
            <w:shd w:val="clear" w:color="auto" w:fill="auto"/>
          </w:tcPr>
          <w:p w:rsidR="00884766" w:rsidRPr="00884766" w:rsidRDefault="00884766" w:rsidP="00884766">
            <w:pPr>
              <w:suppressAutoHyphens w:val="0"/>
              <w:spacing w:before="40" w:after="120" w:line="220" w:lineRule="exact"/>
              <w:ind w:right="113"/>
            </w:pPr>
            <w:r w:rsidRPr="00884766">
              <w:rPr>
                <w:lang w:val="en-US"/>
              </w:rPr>
              <w:t xml:space="preserve">Transport </w:t>
            </w:r>
            <w:r w:rsidRPr="00884766">
              <w:rPr>
                <w:lang w:val="en-US"/>
              </w:rPr>
              <w:br/>
              <w:t>of perishable foodstuffs</w:t>
            </w:r>
          </w:p>
        </w:tc>
        <w:tc>
          <w:tcPr>
            <w:tcW w:w="3000" w:type="dxa"/>
            <w:tcBorders>
              <w:top w:val="single" w:sz="12" w:space="0" w:color="auto"/>
            </w:tcBorders>
            <w:shd w:val="clear" w:color="auto" w:fill="auto"/>
          </w:tcPr>
          <w:p w:rsidR="00884766" w:rsidRPr="00884766" w:rsidRDefault="00884766" w:rsidP="00884766">
            <w:pPr>
              <w:suppressAutoHyphens w:val="0"/>
              <w:spacing w:before="40" w:after="120" w:line="220" w:lineRule="exact"/>
              <w:ind w:right="113"/>
            </w:pPr>
            <w:r w:rsidRPr="00884766">
              <w:rPr>
                <w:lang w:val="en-US"/>
              </w:rPr>
              <w:t>Enhanced and updated international requirements for the transport of perishable foodstuffs</w:t>
            </w:r>
          </w:p>
        </w:tc>
        <w:tc>
          <w:tcPr>
            <w:tcW w:w="3104" w:type="dxa"/>
            <w:tcBorders>
              <w:top w:val="single" w:sz="12" w:space="0" w:color="auto"/>
            </w:tcBorders>
            <w:shd w:val="clear" w:color="auto" w:fill="auto"/>
          </w:tcPr>
          <w:p w:rsidR="00884766" w:rsidRPr="00241D51" w:rsidRDefault="00884766" w:rsidP="00884766">
            <w:pPr>
              <w:suppressAutoHyphens w:val="0"/>
              <w:spacing w:before="40" w:after="120" w:line="220" w:lineRule="exact"/>
              <w:ind w:right="113"/>
              <w:rPr>
                <w:lang w:val="en-US"/>
              </w:rPr>
            </w:pPr>
            <w:r w:rsidRPr="00884766">
              <w:rPr>
                <w:lang w:val="en-US"/>
              </w:rPr>
              <w:t>(a)</w:t>
            </w:r>
            <w:r w:rsidRPr="00884766">
              <w:rPr>
                <w:lang w:val="en-US"/>
              </w:rPr>
              <w:tab/>
            </w:r>
            <w:r w:rsidRPr="00241D51">
              <w:rPr>
                <w:lang w:val="en-US"/>
              </w:rPr>
              <w:t>Percentage of total of non-editorial amendment proposals adopted by WP.11</w:t>
            </w:r>
          </w:p>
          <w:p w:rsidR="00884766" w:rsidRPr="00884766" w:rsidRDefault="00884766" w:rsidP="00884766">
            <w:pPr>
              <w:suppressAutoHyphens w:val="0"/>
              <w:spacing w:before="40" w:after="40" w:line="220" w:lineRule="exact"/>
              <w:ind w:right="113"/>
              <w:rPr>
                <w:lang w:val="en-US"/>
              </w:rPr>
            </w:pPr>
            <w:r w:rsidRPr="00884766">
              <w:rPr>
                <w:lang w:val="en-US"/>
              </w:rPr>
              <w:t>Performance measures:</w:t>
            </w:r>
          </w:p>
          <w:p w:rsidR="00884766" w:rsidRPr="00884766" w:rsidRDefault="00884766" w:rsidP="00241D51">
            <w:pPr>
              <w:suppressAutoHyphens w:val="0"/>
              <w:spacing w:before="40" w:after="120" w:line="220" w:lineRule="exact"/>
              <w:ind w:right="113"/>
              <w:rPr>
                <w:lang w:val="en-US"/>
              </w:rPr>
            </w:pPr>
            <w:r w:rsidRPr="00884766">
              <w:rPr>
                <w:lang w:val="fr-CH"/>
              </w:rPr>
              <w:t>Estimate: 201</w:t>
            </w:r>
            <w:r w:rsidR="00241D51">
              <w:rPr>
                <w:lang w:val="fr-CH"/>
              </w:rPr>
              <w:t>6</w:t>
            </w:r>
            <w:r w:rsidRPr="00884766">
              <w:rPr>
                <w:lang w:val="fr-CH"/>
              </w:rPr>
              <w:t>-201</w:t>
            </w:r>
            <w:r w:rsidR="00241D51">
              <w:rPr>
                <w:lang w:val="fr-CH"/>
              </w:rPr>
              <w:t>7</w:t>
            </w:r>
            <w:r w:rsidR="001E3B0A">
              <w:rPr>
                <w:lang w:val="fr-CH"/>
              </w:rPr>
              <w:t xml:space="preserve">: </w:t>
            </w:r>
            <w:r w:rsidR="00241D51">
              <w:rPr>
                <w:lang w:val="fr-CH"/>
              </w:rPr>
              <w:t>6</w:t>
            </w:r>
            <w:r w:rsidR="001E3B0A">
              <w:rPr>
                <w:lang w:val="fr-CH"/>
              </w:rPr>
              <w:t>0</w:t>
            </w:r>
            <w:r w:rsidR="00DC13F8">
              <w:rPr>
                <w:lang w:val="fr-CH"/>
              </w:rPr>
              <w:t> </w:t>
            </w:r>
            <w:r w:rsidR="00C769F4">
              <w:rPr>
                <w:lang w:val="fr-CH"/>
              </w:rPr>
              <w:t>%</w:t>
            </w:r>
            <w:r w:rsidRPr="00884766">
              <w:rPr>
                <w:lang w:val="en-US"/>
              </w:rPr>
              <w:br/>
            </w:r>
            <w:r w:rsidRPr="00884766">
              <w:rPr>
                <w:lang w:val="fr-CH"/>
              </w:rPr>
              <w:t>Target: 201</w:t>
            </w:r>
            <w:r w:rsidR="00241D51">
              <w:rPr>
                <w:lang w:val="fr-CH"/>
              </w:rPr>
              <w:t>8</w:t>
            </w:r>
            <w:r w:rsidRPr="00884766">
              <w:rPr>
                <w:lang w:val="fr-CH"/>
              </w:rPr>
              <w:t>-201</w:t>
            </w:r>
            <w:r w:rsidR="00241D51">
              <w:rPr>
                <w:lang w:val="fr-CH"/>
              </w:rPr>
              <w:t>9</w:t>
            </w:r>
            <w:r w:rsidR="001E3B0A">
              <w:rPr>
                <w:lang w:val="fr-CH"/>
              </w:rPr>
              <w:t xml:space="preserve">: </w:t>
            </w:r>
            <w:r w:rsidR="00241D51">
              <w:rPr>
                <w:lang w:val="fr-CH"/>
              </w:rPr>
              <w:t>6</w:t>
            </w:r>
            <w:r w:rsidR="001E3B0A">
              <w:rPr>
                <w:lang w:val="fr-CH"/>
              </w:rPr>
              <w:t>0</w:t>
            </w:r>
            <w:r w:rsidR="00DC13F8">
              <w:rPr>
                <w:lang w:val="fr-CH"/>
              </w:rPr>
              <w:t> </w:t>
            </w:r>
            <w:r w:rsidR="00C769F4">
              <w:rPr>
                <w:lang w:val="fr-CH"/>
              </w:rPr>
              <w:t>%</w:t>
            </w:r>
          </w:p>
        </w:tc>
      </w:tr>
      <w:tr w:rsidR="00884766" w:rsidRPr="00884766" w:rsidTr="00394DFA">
        <w:trPr>
          <w:trHeight w:val="472"/>
        </w:trPr>
        <w:tc>
          <w:tcPr>
            <w:tcW w:w="1266" w:type="dxa"/>
            <w:shd w:val="clear" w:color="auto" w:fill="auto"/>
          </w:tcPr>
          <w:p w:rsidR="00884766" w:rsidRPr="00884766" w:rsidRDefault="00884766" w:rsidP="00884766">
            <w:pPr>
              <w:suppressAutoHyphens w:val="0"/>
              <w:spacing w:before="40" w:after="120" w:line="220" w:lineRule="exact"/>
              <w:ind w:right="113"/>
              <w:rPr>
                <w:lang w:val="en-US"/>
              </w:rPr>
            </w:pPr>
          </w:p>
        </w:tc>
        <w:tc>
          <w:tcPr>
            <w:tcW w:w="3000" w:type="dxa"/>
            <w:shd w:val="clear" w:color="auto" w:fill="auto"/>
          </w:tcPr>
          <w:p w:rsidR="00884766" w:rsidRPr="00884766" w:rsidRDefault="00884766" w:rsidP="00884766">
            <w:pPr>
              <w:suppressAutoHyphens w:val="0"/>
              <w:spacing w:before="40" w:after="120" w:line="220" w:lineRule="exact"/>
              <w:ind w:right="113"/>
              <w:rPr>
                <w:lang w:val="en-US"/>
              </w:rPr>
            </w:pPr>
          </w:p>
        </w:tc>
        <w:tc>
          <w:tcPr>
            <w:tcW w:w="3104" w:type="dxa"/>
            <w:shd w:val="clear" w:color="auto" w:fill="auto"/>
          </w:tcPr>
          <w:p w:rsidR="00884766" w:rsidRPr="00884766" w:rsidRDefault="00884766" w:rsidP="00884766">
            <w:pPr>
              <w:suppressAutoHyphens w:val="0"/>
              <w:spacing w:before="40" w:after="120" w:line="220" w:lineRule="exact"/>
              <w:ind w:right="113"/>
              <w:rPr>
                <w:lang w:val="en-US"/>
              </w:rPr>
            </w:pPr>
            <w:r w:rsidRPr="00884766">
              <w:rPr>
                <w:lang w:val="en-US"/>
              </w:rPr>
              <w:t>(b)</w:t>
            </w:r>
            <w:r w:rsidRPr="00884766">
              <w:rPr>
                <w:lang w:val="en-US"/>
              </w:rPr>
              <w:tab/>
              <w:t>Total number of Contract</w:t>
            </w:r>
            <w:r w:rsidR="002A1946">
              <w:rPr>
                <w:lang w:val="en-US"/>
              </w:rPr>
              <w:t>ing Parties to the ATP</w:t>
            </w:r>
          </w:p>
        </w:tc>
      </w:tr>
      <w:tr w:rsidR="00884766" w:rsidRPr="00884766" w:rsidTr="00394DFA">
        <w:trPr>
          <w:trHeight w:val="472"/>
        </w:trPr>
        <w:tc>
          <w:tcPr>
            <w:tcW w:w="1266" w:type="dxa"/>
            <w:shd w:val="clear" w:color="auto" w:fill="auto"/>
          </w:tcPr>
          <w:p w:rsidR="00884766" w:rsidRPr="00884766" w:rsidRDefault="00884766" w:rsidP="00884766">
            <w:pPr>
              <w:suppressAutoHyphens w:val="0"/>
              <w:spacing w:before="40" w:after="120" w:line="220" w:lineRule="exact"/>
              <w:ind w:right="113"/>
              <w:rPr>
                <w:lang w:val="en-US"/>
              </w:rPr>
            </w:pPr>
          </w:p>
        </w:tc>
        <w:tc>
          <w:tcPr>
            <w:tcW w:w="3000" w:type="dxa"/>
            <w:shd w:val="clear" w:color="auto" w:fill="auto"/>
          </w:tcPr>
          <w:p w:rsidR="00884766" w:rsidRPr="00884766" w:rsidRDefault="00884766" w:rsidP="00884766">
            <w:pPr>
              <w:suppressAutoHyphens w:val="0"/>
              <w:spacing w:before="40" w:after="120" w:line="220" w:lineRule="exact"/>
              <w:ind w:right="113"/>
              <w:rPr>
                <w:lang w:val="en-US"/>
              </w:rPr>
            </w:pPr>
          </w:p>
        </w:tc>
        <w:tc>
          <w:tcPr>
            <w:tcW w:w="3104" w:type="dxa"/>
            <w:shd w:val="clear" w:color="auto" w:fill="auto"/>
          </w:tcPr>
          <w:p w:rsidR="00884766" w:rsidRPr="00884766" w:rsidRDefault="00884766" w:rsidP="00884766">
            <w:pPr>
              <w:suppressAutoHyphens w:val="0"/>
              <w:spacing w:before="40" w:after="40" w:line="220" w:lineRule="exact"/>
              <w:ind w:right="113"/>
              <w:rPr>
                <w:lang w:val="fr-CH"/>
              </w:rPr>
            </w:pPr>
            <w:r w:rsidRPr="00884766">
              <w:rPr>
                <w:lang w:val="fr-CH"/>
              </w:rPr>
              <w:t>Performance measures:</w:t>
            </w:r>
          </w:p>
          <w:p w:rsidR="00884766" w:rsidRPr="00884766" w:rsidRDefault="00884766" w:rsidP="00241D51">
            <w:pPr>
              <w:suppressAutoHyphens w:val="0"/>
              <w:spacing w:before="40" w:after="120" w:line="220" w:lineRule="exact"/>
              <w:ind w:right="113"/>
              <w:rPr>
                <w:lang w:val="en-US"/>
              </w:rPr>
            </w:pPr>
            <w:r w:rsidRPr="00884766">
              <w:rPr>
                <w:lang w:val="fr-CH"/>
              </w:rPr>
              <w:t>Baseline: 201</w:t>
            </w:r>
            <w:r w:rsidR="00241D51">
              <w:rPr>
                <w:lang w:val="fr-CH"/>
              </w:rPr>
              <w:t>6</w:t>
            </w:r>
            <w:r w:rsidRPr="00884766">
              <w:rPr>
                <w:lang w:val="fr-CH"/>
              </w:rPr>
              <w:t>-201</w:t>
            </w:r>
            <w:r w:rsidR="00241D51">
              <w:rPr>
                <w:lang w:val="fr-CH"/>
              </w:rPr>
              <w:t>7</w:t>
            </w:r>
            <w:r>
              <w:rPr>
                <w:lang w:val="fr-CH"/>
              </w:rPr>
              <w:t xml:space="preserve">: </w:t>
            </w:r>
            <w:r w:rsidR="00241D51">
              <w:rPr>
                <w:lang w:val="fr-CH"/>
              </w:rPr>
              <w:t>50</w:t>
            </w:r>
            <w:r w:rsidRPr="00884766">
              <w:rPr>
                <w:lang w:val="fr-CH"/>
              </w:rPr>
              <w:br/>
              <w:t>Target: 201</w:t>
            </w:r>
            <w:r w:rsidR="00241D51">
              <w:rPr>
                <w:lang w:val="fr-CH"/>
              </w:rPr>
              <w:t>8</w:t>
            </w:r>
            <w:r w:rsidRPr="00884766">
              <w:rPr>
                <w:lang w:val="fr-CH"/>
              </w:rPr>
              <w:t>-201</w:t>
            </w:r>
            <w:r w:rsidR="00241D51">
              <w:rPr>
                <w:lang w:val="fr-CH"/>
              </w:rPr>
              <w:t>9</w:t>
            </w:r>
            <w:r w:rsidR="00C769F4">
              <w:rPr>
                <w:lang w:val="fr-CH"/>
              </w:rPr>
              <w:t>: 5</w:t>
            </w:r>
            <w:r w:rsidR="00241D51">
              <w:rPr>
                <w:lang w:val="fr-CH"/>
              </w:rPr>
              <w:t>2</w:t>
            </w:r>
          </w:p>
        </w:tc>
      </w:tr>
      <w:tr w:rsidR="00884766" w:rsidRPr="00884766" w:rsidTr="00394DFA">
        <w:trPr>
          <w:trHeight w:val="472"/>
        </w:trPr>
        <w:tc>
          <w:tcPr>
            <w:tcW w:w="1266" w:type="dxa"/>
            <w:shd w:val="clear" w:color="auto" w:fill="auto"/>
          </w:tcPr>
          <w:p w:rsidR="00884766" w:rsidRPr="00884766" w:rsidRDefault="00884766" w:rsidP="00884766">
            <w:pPr>
              <w:suppressAutoHyphens w:val="0"/>
              <w:spacing w:before="40" w:after="120" w:line="220" w:lineRule="exact"/>
              <w:ind w:right="113"/>
              <w:rPr>
                <w:lang w:val="en-US"/>
              </w:rPr>
            </w:pPr>
          </w:p>
        </w:tc>
        <w:tc>
          <w:tcPr>
            <w:tcW w:w="3000" w:type="dxa"/>
            <w:shd w:val="clear" w:color="auto" w:fill="auto"/>
          </w:tcPr>
          <w:p w:rsidR="00884766" w:rsidRPr="00884766" w:rsidRDefault="00884766" w:rsidP="00884766">
            <w:pPr>
              <w:suppressAutoHyphens w:val="0"/>
              <w:spacing w:before="40" w:after="120" w:line="220" w:lineRule="exact"/>
              <w:ind w:right="113"/>
              <w:rPr>
                <w:lang w:val="en-US"/>
              </w:rPr>
            </w:pPr>
          </w:p>
        </w:tc>
        <w:tc>
          <w:tcPr>
            <w:tcW w:w="3104" w:type="dxa"/>
            <w:shd w:val="clear" w:color="auto" w:fill="auto"/>
          </w:tcPr>
          <w:p w:rsidR="00884766" w:rsidRPr="00884766" w:rsidRDefault="00884766" w:rsidP="00884766">
            <w:pPr>
              <w:suppressAutoHyphens w:val="0"/>
              <w:spacing w:before="40" w:after="120" w:line="220" w:lineRule="exact"/>
              <w:ind w:right="113"/>
              <w:rPr>
                <w:lang w:val="en-US"/>
              </w:rPr>
            </w:pPr>
            <w:r w:rsidRPr="00884766">
              <w:rPr>
                <w:lang w:val="en-US"/>
              </w:rPr>
              <w:t>(c)</w:t>
            </w:r>
            <w:r w:rsidRPr="00884766">
              <w:rPr>
                <w:lang w:val="en-US"/>
              </w:rPr>
              <w:tab/>
              <w:t>Number of countries replying to the questionnaire on the implementation of the ATP</w:t>
            </w:r>
          </w:p>
        </w:tc>
      </w:tr>
      <w:tr w:rsidR="00884766" w:rsidRPr="00884766" w:rsidTr="00394DFA">
        <w:trPr>
          <w:trHeight w:val="472"/>
        </w:trPr>
        <w:tc>
          <w:tcPr>
            <w:tcW w:w="1266" w:type="dxa"/>
            <w:shd w:val="clear" w:color="auto" w:fill="auto"/>
          </w:tcPr>
          <w:p w:rsidR="00884766" w:rsidRPr="00884766" w:rsidRDefault="00884766" w:rsidP="00884766">
            <w:pPr>
              <w:suppressAutoHyphens w:val="0"/>
              <w:spacing w:before="40" w:after="120" w:line="220" w:lineRule="exact"/>
              <w:ind w:right="113"/>
              <w:rPr>
                <w:lang w:val="en-US"/>
              </w:rPr>
            </w:pPr>
          </w:p>
        </w:tc>
        <w:tc>
          <w:tcPr>
            <w:tcW w:w="3000" w:type="dxa"/>
            <w:shd w:val="clear" w:color="auto" w:fill="auto"/>
          </w:tcPr>
          <w:p w:rsidR="00884766" w:rsidRPr="00884766" w:rsidRDefault="00884766" w:rsidP="00884766">
            <w:pPr>
              <w:suppressAutoHyphens w:val="0"/>
              <w:spacing w:before="40" w:after="120" w:line="220" w:lineRule="exact"/>
              <w:ind w:right="113"/>
              <w:rPr>
                <w:lang w:val="en-US"/>
              </w:rPr>
            </w:pPr>
          </w:p>
        </w:tc>
        <w:tc>
          <w:tcPr>
            <w:tcW w:w="3104" w:type="dxa"/>
            <w:shd w:val="clear" w:color="auto" w:fill="auto"/>
          </w:tcPr>
          <w:p w:rsidR="00884766" w:rsidRPr="00884766" w:rsidRDefault="00884766" w:rsidP="00884766">
            <w:pPr>
              <w:suppressAutoHyphens w:val="0"/>
              <w:spacing w:before="40" w:after="40" w:line="220" w:lineRule="exact"/>
              <w:ind w:right="113"/>
              <w:rPr>
                <w:lang w:val="en-US"/>
              </w:rPr>
            </w:pPr>
            <w:r w:rsidRPr="00884766">
              <w:rPr>
                <w:lang w:val="en-US"/>
              </w:rPr>
              <w:t>Performance measures:</w:t>
            </w:r>
          </w:p>
          <w:p w:rsidR="00884766" w:rsidRPr="00884766" w:rsidRDefault="00884766" w:rsidP="00241D51">
            <w:pPr>
              <w:suppressAutoHyphens w:val="0"/>
              <w:spacing w:before="40" w:after="120" w:line="220" w:lineRule="exact"/>
              <w:ind w:right="113"/>
              <w:rPr>
                <w:lang w:val="en-US"/>
              </w:rPr>
            </w:pPr>
            <w:r>
              <w:rPr>
                <w:lang w:val="fr-CH"/>
              </w:rPr>
              <w:t>Baseline: 201</w:t>
            </w:r>
            <w:r w:rsidR="00241D51">
              <w:rPr>
                <w:lang w:val="fr-CH"/>
              </w:rPr>
              <w:t>6</w:t>
            </w:r>
            <w:r w:rsidRPr="00884766">
              <w:rPr>
                <w:lang w:val="fr-CH"/>
              </w:rPr>
              <w:t>-201</w:t>
            </w:r>
            <w:r w:rsidR="00241D51">
              <w:rPr>
                <w:lang w:val="fr-CH"/>
              </w:rPr>
              <w:t>7</w:t>
            </w:r>
            <w:r w:rsidR="00C769F4">
              <w:rPr>
                <w:lang w:val="fr-CH"/>
              </w:rPr>
              <w:t xml:space="preserve">: </w:t>
            </w:r>
            <w:r w:rsidR="00241D51">
              <w:rPr>
                <w:lang w:val="fr-CH"/>
              </w:rPr>
              <w:t>22</w:t>
            </w:r>
            <w:r w:rsidRPr="00884766">
              <w:rPr>
                <w:lang w:val="en-US"/>
              </w:rPr>
              <w:br/>
            </w:r>
            <w:r w:rsidRPr="00884766">
              <w:rPr>
                <w:lang w:val="fr-CH"/>
              </w:rPr>
              <w:t>Target: 201</w:t>
            </w:r>
            <w:r w:rsidR="00241D51">
              <w:rPr>
                <w:lang w:val="fr-CH"/>
              </w:rPr>
              <w:t>8</w:t>
            </w:r>
            <w:r w:rsidRPr="00884766">
              <w:rPr>
                <w:lang w:val="fr-CH"/>
              </w:rPr>
              <w:t>-201</w:t>
            </w:r>
            <w:r w:rsidR="00241D51">
              <w:rPr>
                <w:lang w:val="fr-CH"/>
              </w:rPr>
              <w:t>9</w:t>
            </w:r>
            <w:r w:rsidR="00C769F4">
              <w:rPr>
                <w:lang w:val="fr-CH"/>
              </w:rPr>
              <w:t>: 2</w:t>
            </w:r>
            <w:r w:rsidR="00241D51">
              <w:rPr>
                <w:lang w:val="fr-CH"/>
              </w:rPr>
              <w:t>4</w:t>
            </w:r>
          </w:p>
        </w:tc>
      </w:tr>
    </w:tbl>
    <w:p w:rsidR="00884766" w:rsidRDefault="00884766" w:rsidP="00CD1745">
      <w:pPr>
        <w:pStyle w:val="SingleTxtG"/>
      </w:pPr>
    </w:p>
    <w:p w:rsidR="00CD1745" w:rsidRDefault="00CD1745" w:rsidP="00CD1745">
      <w:pPr>
        <w:pStyle w:val="SingleTxtG"/>
        <w:sectPr w:rsidR="00CD1745" w:rsidSect="00A630D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837F1B" w:rsidRDefault="00A630DF" w:rsidP="00837F1B">
      <w:pPr>
        <w:pStyle w:val="HChG"/>
        <w:rPr>
          <w:lang w:val="en-US"/>
        </w:rPr>
      </w:pPr>
      <w:r>
        <w:rPr>
          <w:lang w:val="en-US"/>
        </w:rPr>
        <w:lastRenderedPageBreak/>
        <w:tab/>
      </w:r>
      <w:r w:rsidR="0083123F">
        <w:t>Annex</w:t>
      </w:r>
      <w:r w:rsidR="00BE118E">
        <w:t xml:space="preserve"> II</w:t>
      </w:r>
    </w:p>
    <w:p w:rsidR="009E75BD" w:rsidRPr="00FC6938" w:rsidRDefault="00837F1B" w:rsidP="00A630DF">
      <w:pPr>
        <w:pStyle w:val="HChG"/>
      </w:pPr>
      <w:r>
        <w:rPr>
          <w:lang w:val="en-US"/>
        </w:rPr>
        <w:tab/>
      </w:r>
      <w:r>
        <w:rPr>
          <w:lang w:val="en-US"/>
        </w:rPr>
        <w:tab/>
      </w:r>
      <w:r w:rsidR="009E75BD" w:rsidRPr="00FC6938">
        <w:rPr>
          <w:lang w:val="en-US"/>
        </w:rPr>
        <w:t>Outputs/</w:t>
      </w:r>
      <w:r w:rsidR="009E75BD" w:rsidRPr="00BF03EB">
        <w:t>activities</w:t>
      </w:r>
      <w:r w:rsidR="009E75BD" w:rsidRPr="00FC6938">
        <w:rPr>
          <w:lang w:val="en-US"/>
        </w:rPr>
        <w:t xml:space="preserve"> to be delivered in the </w:t>
      </w:r>
      <w:r w:rsidR="009E75BD" w:rsidRPr="005B3E19">
        <w:t>201</w:t>
      </w:r>
      <w:r w:rsidR="00FC64B8">
        <w:t>8</w:t>
      </w:r>
      <w:r w:rsidR="009E75BD" w:rsidRPr="005B3E19">
        <w:t>–201</w:t>
      </w:r>
      <w:r w:rsidR="00FC64B8">
        <w:t>9</w:t>
      </w:r>
      <w:r w:rsidR="009E75BD" w:rsidRPr="00FC6938">
        <w:t xml:space="preserve"> biennium</w:t>
      </w:r>
    </w:p>
    <w:p w:rsidR="009E75BD" w:rsidRDefault="009E75BD" w:rsidP="002B09A6">
      <w:pPr>
        <w:pStyle w:val="H23G"/>
      </w:pPr>
      <w:r>
        <w:tab/>
      </w:r>
      <w:r>
        <w:tab/>
      </w:r>
      <w:r w:rsidRPr="000518BE">
        <w:t>Subprogramme</w:t>
      </w:r>
      <w:r>
        <w:t>: 02 Transport</w:t>
      </w:r>
    </w:p>
    <w:p w:rsidR="0072633C" w:rsidRPr="00B532AC" w:rsidRDefault="0072633C" w:rsidP="0072633C">
      <w:pPr>
        <w:pStyle w:val="H23G"/>
        <w:rPr>
          <w:sz w:val="24"/>
        </w:rPr>
      </w:pPr>
      <w:r>
        <w:rPr>
          <w:sz w:val="24"/>
        </w:rPr>
        <w:tab/>
      </w:r>
      <w:r>
        <w:rPr>
          <w:sz w:val="24"/>
        </w:rPr>
        <w:tab/>
      </w:r>
      <w:r w:rsidRPr="00B532AC">
        <w:rPr>
          <w:sz w:val="24"/>
        </w:rPr>
        <w:t>Cluster 12</w:t>
      </w:r>
      <w:r w:rsidRPr="00B532AC">
        <w:rPr>
          <w:sz w:val="24"/>
        </w:rPr>
        <w:br/>
        <w:t>Transport of perishable foodstuffs</w:t>
      </w:r>
    </w:p>
    <w:tbl>
      <w:tblPr>
        <w:tblW w:w="7371" w:type="dxa"/>
        <w:tblInd w:w="1134"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4066"/>
        <w:gridCol w:w="3305"/>
      </w:tblGrid>
      <w:tr w:rsidR="0072633C" w:rsidRPr="00EE25C8" w:rsidTr="00811279">
        <w:tc>
          <w:tcPr>
            <w:tcW w:w="4066" w:type="dxa"/>
            <w:tcBorders>
              <w:bottom w:val="single" w:sz="12" w:space="0" w:color="auto"/>
            </w:tcBorders>
            <w:shd w:val="clear" w:color="auto" w:fill="auto"/>
          </w:tcPr>
          <w:p w:rsidR="0072633C" w:rsidRPr="00EE25C8" w:rsidRDefault="0072633C" w:rsidP="00811279">
            <w:pPr>
              <w:spacing w:before="80" w:after="80" w:line="200" w:lineRule="exact"/>
              <w:rPr>
                <w:i/>
                <w:iCs/>
                <w:sz w:val="16"/>
                <w:szCs w:val="16"/>
              </w:rPr>
            </w:pPr>
            <w:r w:rsidRPr="00EE25C8">
              <w:rPr>
                <w:i/>
                <w:iCs/>
                <w:sz w:val="16"/>
                <w:szCs w:val="16"/>
              </w:rPr>
              <w:t>Description of cluster (optional)</w:t>
            </w:r>
          </w:p>
        </w:tc>
        <w:tc>
          <w:tcPr>
            <w:tcW w:w="3305" w:type="dxa"/>
            <w:tcBorders>
              <w:bottom w:val="single" w:sz="12" w:space="0" w:color="auto"/>
            </w:tcBorders>
            <w:shd w:val="clear" w:color="auto" w:fill="auto"/>
          </w:tcPr>
          <w:p w:rsidR="0072633C" w:rsidRPr="00EE25C8" w:rsidRDefault="0072633C" w:rsidP="00811279">
            <w:pPr>
              <w:spacing w:before="80" w:after="80" w:line="200" w:lineRule="exact"/>
              <w:rPr>
                <w:i/>
                <w:iCs/>
                <w:sz w:val="16"/>
                <w:szCs w:val="16"/>
                <w:lang w:val="en-US"/>
              </w:rPr>
            </w:pPr>
            <w:r w:rsidRPr="00EE25C8">
              <w:rPr>
                <w:i/>
                <w:iCs/>
                <w:sz w:val="16"/>
                <w:szCs w:val="16"/>
                <w:lang w:val="en-US"/>
              </w:rPr>
              <w:t>Expected accomplishments from this cluster</w:t>
            </w:r>
          </w:p>
        </w:tc>
      </w:tr>
      <w:tr w:rsidR="0072633C" w:rsidRPr="00EE25C8" w:rsidTr="00811279">
        <w:tc>
          <w:tcPr>
            <w:tcW w:w="4066" w:type="dxa"/>
            <w:tcBorders>
              <w:top w:val="single" w:sz="12" w:space="0" w:color="auto"/>
              <w:bottom w:val="nil"/>
            </w:tcBorders>
            <w:shd w:val="clear" w:color="auto" w:fill="auto"/>
          </w:tcPr>
          <w:p w:rsidR="0072633C" w:rsidRPr="00EE25C8" w:rsidRDefault="0072633C" w:rsidP="00811279">
            <w:pPr>
              <w:spacing w:before="40" w:after="120"/>
              <w:rPr>
                <w:sz w:val="18"/>
                <w:szCs w:val="18"/>
              </w:rPr>
            </w:pPr>
            <w:r w:rsidRPr="00EE25C8">
              <w:rPr>
                <w:sz w:val="18"/>
                <w:szCs w:val="18"/>
              </w:rPr>
              <w:t>The main aims of the cluster are to:</w:t>
            </w:r>
          </w:p>
          <w:p w:rsidR="0072633C" w:rsidRPr="00EE25C8" w:rsidRDefault="0072633C" w:rsidP="00811279">
            <w:pPr>
              <w:spacing w:before="40" w:after="120"/>
              <w:rPr>
                <w:sz w:val="18"/>
                <w:szCs w:val="18"/>
              </w:rPr>
            </w:pPr>
            <w:r w:rsidRPr="00EE25C8">
              <w:rPr>
                <w:sz w:val="18"/>
                <w:szCs w:val="18"/>
              </w:rPr>
              <w:t>Initiate and pursue actions aimed at enhancing the preservation of the quality of perishable foodstuffs during their carriage, particularly in international transport;</w:t>
            </w:r>
          </w:p>
          <w:p w:rsidR="0072633C" w:rsidRPr="00EE25C8" w:rsidRDefault="0072633C" w:rsidP="00811279">
            <w:pPr>
              <w:spacing w:before="40" w:after="120"/>
              <w:rPr>
                <w:sz w:val="18"/>
                <w:szCs w:val="18"/>
                <w:lang w:val="nl-NL"/>
              </w:rPr>
            </w:pPr>
            <w:r w:rsidRPr="00EE25C8">
              <w:rPr>
                <w:sz w:val="18"/>
                <w:szCs w:val="18"/>
                <w:lang w:val="nl-NL"/>
              </w:rPr>
              <w:t>Promote the facilitation of international transport of perishable foodstuffs by harmonizing the relevant regulations and rules and the administrative procedures and documentation requirements to which this transport is subject;</w:t>
            </w:r>
          </w:p>
          <w:p w:rsidR="0072633C" w:rsidRPr="00EE25C8" w:rsidRDefault="0072633C" w:rsidP="00811279">
            <w:pPr>
              <w:spacing w:before="40" w:after="120"/>
              <w:rPr>
                <w:sz w:val="18"/>
                <w:szCs w:val="18"/>
              </w:rPr>
            </w:pPr>
            <w:r w:rsidRPr="00EE25C8">
              <w:rPr>
                <w:sz w:val="18"/>
                <w:szCs w:val="18"/>
              </w:rPr>
              <w:t xml:space="preserve">Develop and </w:t>
            </w:r>
            <w:r>
              <w:rPr>
                <w:sz w:val="18"/>
                <w:szCs w:val="18"/>
              </w:rPr>
              <w:t>update the Agreement on</w:t>
            </w:r>
            <w:r w:rsidRPr="00EE25C8">
              <w:rPr>
                <w:sz w:val="18"/>
                <w:szCs w:val="18"/>
              </w:rPr>
              <w:t xml:space="preserve"> the International Carriage of Perishable Foodstuffs and on the Special Equipment to be Used for such Carriage (ATP), concluded in </w:t>
            </w:r>
            <w:smartTag w:uri="urn:schemas-microsoft-com:office:smarttags" w:element="City">
              <w:smartTag w:uri="urn:schemas-microsoft-com:office:smarttags" w:element="place">
                <w:r w:rsidRPr="00EE25C8">
                  <w:rPr>
                    <w:sz w:val="18"/>
                    <w:szCs w:val="18"/>
                  </w:rPr>
                  <w:t>Geneva</w:t>
                </w:r>
              </w:smartTag>
            </w:smartTag>
            <w:r w:rsidRPr="00EE25C8">
              <w:rPr>
                <w:sz w:val="18"/>
                <w:szCs w:val="18"/>
              </w:rPr>
              <w:t xml:space="preserve"> in 1970;</w:t>
            </w:r>
          </w:p>
          <w:p w:rsidR="0072633C" w:rsidRPr="00EE25C8" w:rsidRDefault="0072633C" w:rsidP="00811279">
            <w:pPr>
              <w:spacing w:before="40" w:after="120"/>
              <w:rPr>
                <w:sz w:val="18"/>
                <w:szCs w:val="18"/>
              </w:rPr>
            </w:pPr>
            <w:r w:rsidRPr="00EE25C8">
              <w:rPr>
                <w:sz w:val="18"/>
                <w:szCs w:val="18"/>
              </w:rPr>
              <w:t xml:space="preserve">Ensure harmonization of the ATP with other relevant legal instruments </w:t>
            </w:r>
            <w:r w:rsidR="00C02520">
              <w:rPr>
                <w:sz w:val="18"/>
                <w:szCs w:val="18"/>
              </w:rPr>
              <w:t xml:space="preserve">and standards </w:t>
            </w:r>
            <w:r w:rsidRPr="00EE25C8">
              <w:rPr>
                <w:sz w:val="18"/>
                <w:szCs w:val="18"/>
              </w:rPr>
              <w:t>on the transport of perishable foodstuffs developed in other fora;</w:t>
            </w:r>
          </w:p>
        </w:tc>
        <w:tc>
          <w:tcPr>
            <w:tcW w:w="3305" w:type="dxa"/>
            <w:tcBorders>
              <w:top w:val="single" w:sz="12" w:space="0" w:color="auto"/>
              <w:bottom w:val="nil"/>
            </w:tcBorders>
            <w:shd w:val="clear" w:color="auto" w:fill="auto"/>
          </w:tcPr>
          <w:p w:rsidR="0072633C" w:rsidRPr="00EE25C8" w:rsidRDefault="0072633C" w:rsidP="00DC13F8">
            <w:pPr>
              <w:spacing w:before="40" w:after="120"/>
              <w:rPr>
                <w:sz w:val="18"/>
                <w:szCs w:val="18"/>
                <w:lang w:val="en-US"/>
              </w:rPr>
            </w:pPr>
            <w:r w:rsidRPr="00EE25C8">
              <w:rPr>
                <w:sz w:val="18"/>
                <w:szCs w:val="18"/>
              </w:rPr>
              <w:t>Enhanced and updated international requirements for the transport of perishable foodstuffs</w:t>
            </w:r>
            <w:r w:rsidRPr="00EE25C8">
              <w:rPr>
                <w:sz w:val="18"/>
                <w:szCs w:val="18"/>
                <w:lang w:val="en-US"/>
              </w:rPr>
              <w:t xml:space="preserve"> </w:t>
            </w:r>
          </w:p>
        </w:tc>
      </w:tr>
      <w:tr w:rsidR="0072633C" w:rsidRPr="00EE25C8" w:rsidTr="00811279">
        <w:tc>
          <w:tcPr>
            <w:tcW w:w="4066" w:type="dxa"/>
            <w:tcBorders>
              <w:top w:val="nil"/>
              <w:bottom w:val="nil"/>
            </w:tcBorders>
            <w:shd w:val="clear" w:color="auto" w:fill="auto"/>
          </w:tcPr>
          <w:p w:rsidR="0072633C" w:rsidRPr="00EE25C8" w:rsidRDefault="0072633C" w:rsidP="00811279">
            <w:pPr>
              <w:suppressAutoHyphens w:val="0"/>
              <w:spacing w:before="40" w:after="120" w:line="220" w:lineRule="exact"/>
              <w:ind w:right="113"/>
              <w:rPr>
                <w:sz w:val="18"/>
                <w:szCs w:val="18"/>
                <w:lang w:val="en-US"/>
              </w:rPr>
            </w:pPr>
            <w:r w:rsidRPr="00EE25C8">
              <w:rPr>
                <w:sz w:val="18"/>
                <w:szCs w:val="18"/>
                <w:lang w:val="en-US"/>
              </w:rPr>
              <w:t xml:space="preserve">Main actions by the </w:t>
            </w:r>
            <w:r w:rsidR="00C02520">
              <w:rPr>
                <w:sz w:val="18"/>
                <w:szCs w:val="18"/>
                <w:lang w:val="en-US"/>
              </w:rPr>
              <w:t xml:space="preserve">Sustainable </w:t>
            </w:r>
            <w:r w:rsidRPr="00EE25C8">
              <w:rPr>
                <w:sz w:val="18"/>
                <w:szCs w:val="18"/>
                <w:lang w:val="en-US"/>
              </w:rPr>
              <w:t>Transport Division:</w:t>
            </w:r>
          </w:p>
          <w:p w:rsidR="0072633C" w:rsidRPr="00EE25C8" w:rsidRDefault="0072633C" w:rsidP="00811279">
            <w:pPr>
              <w:suppressAutoHyphens w:val="0"/>
              <w:spacing w:after="120" w:line="220" w:lineRule="exact"/>
              <w:ind w:left="284" w:right="113" w:hanging="284"/>
              <w:rPr>
                <w:sz w:val="18"/>
                <w:szCs w:val="18"/>
                <w:lang w:val="en-US"/>
              </w:rPr>
            </w:pPr>
            <w:r w:rsidRPr="00EE25C8">
              <w:rPr>
                <w:sz w:val="18"/>
                <w:szCs w:val="18"/>
                <w:lang w:val="en-US"/>
              </w:rPr>
              <w:t>-</w:t>
            </w:r>
            <w:r w:rsidRPr="00EE25C8">
              <w:rPr>
                <w:sz w:val="18"/>
                <w:szCs w:val="18"/>
                <w:lang w:val="en-US"/>
              </w:rPr>
              <w:tab/>
              <w:t>Act as secretariat to the Working Party on the Transport of Perishable Foodstuffs (WP.11);</w:t>
            </w:r>
          </w:p>
          <w:p w:rsidR="0072633C" w:rsidRPr="00EE25C8" w:rsidRDefault="0072633C" w:rsidP="00811279">
            <w:pPr>
              <w:suppressAutoHyphens w:val="0"/>
              <w:spacing w:after="120" w:line="220" w:lineRule="exact"/>
              <w:ind w:left="284" w:right="113" w:hanging="284"/>
              <w:rPr>
                <w:sz w:val="18"/>
                <w:szCs w:val="18"/>
                <w:lang w:val="en-US"/>
              </w:rPr>
            </w:pPr>
            <w:r w:rsidRPr="00EE25C8">
              <w:rPr>
                <w:sz w:val="18"/>
                <w:szCs w:val="18"/>
                <w:lang w:val="en-US"/>
              </w:rPr>
              <w:t>-</w:t>
            </w:r>
            <w:r w:rsidRPr="00EE25C8">
              <w:rPr>
                <w:sz w:val="18"/>
                <w:szCs w:val="18"/>
                <w:lang w:val="en-US"/>
              </w:rPr>
              <w:tab/>
              <w:t xml:space="preserve">Issue updated publications of the ATP </w:t>
            </w:r>
            <w:r w:rsidR="00C02520">
              <w:rPr>
                <w:sz w:val="18"/>
                <w:szCs w:val="18"/>
                <w:lang w:val="en-US"/>
              </w:rPr>
              <w:t xml:space="preserve">(paper and internet) </w:t>
            </w:r>
            <w:r w:rsidRPr="00EE25C8">
              <w:rPr>
                <w:sz w:val="18"/>
                <w:szCs w:val="18"/>
                <w:lang w:val="en-US"/>
              </w:rPr>
              <w:t>and ATP Handbook</w:t>
            </w:r>
            <w:r w:rsidR="00C02520">
              <w:rPr>
                <w:sz w:val="18"/>
                <w:szCs w:val="18"/>
                <w:lang w:val="en-US"/>
              </w:rPr>
              <w:t xml:space="preserve"> (internet only)</w:t>
            </w:r>
            <w:r w:rsidRPr="00EE25C8">
              <w:rPr>
                <w:sz w:val="18"/>
                <w:szCs w:val="18"/>
                <w:lang w:val="en-US"/>
              </w:rPr>
              <w:t>;</w:t>
            </w:r>
          </w:p>
          <w:p w:rsidR="0072633C" w:rsidRPr="00EE25C8" w:rsidRDefault="0072633C" w:rsidP="00811279">
            <w:pPr>
              <w:suppressAutoHyphens w:val="0"/>
              <w:spacing w:after="120" w:line="220" w:lineRule="exact"/>
              <w:ind w:left="284" w:right="113" w:hanging="284"/>
              <w:rPr>
                <w:sz w:val="18"/>
                <w:szCs w:val="18"/>
                <w:lang w:val="en-US"/>
              </w:rPr>
            </w:pPr>
            <w:r w:rsidRPr="00EE25C8">
              <w:rPr>
                <w:sz w:val="18"/>
                <w:szCs w:val="18"/>
                <w:lang w:val="en-US"/>
              </w:rPr>
              <w:t>-</w:t>
            </w:r>
            <w:r w:rsidRPr="00EE25C8">
              <w:rPr>
                <w:sz w:val="18"/>
                <w:szCs w:val="18"/>
                <w:lang w:val="en-US"/>
              </w:rPr>
              <w:tab/>
              <w:t>Organize activities, including workshops, aimed at enhancing implementation of the ATP and promoting accession by other States;</w:t>
            </w:r>
          </w:p>
          <w:p w:rsidR="0072633C" w:rsidRPr="00EE25C8" w:rsidDel="00817D5E" w:rsidRDefault="0072633C" w:rsidP="00811279">
            <w:pPr>
              <w:suppressAutoHyphens w:val="0"/>
              <w:spacing w:after="120" w:line="220" w:lineRule="exact"/>
              <w:ind w:left="284" w:right="113" w:hanging="284"/>
              <w:rPr>
                <w:sz w:val="18"/>
                <w:szCs w:val="18"/>
                <w:lang w:val="en-US"/>
              </w:rPr>
            </w:pPr>
            <w:r w:rsidRPr="00EE25C8">
              <w:rPr>
                <w:sz w:val="18"/>
                <w:szCs w:val="18"/>
                <w:lang w:val="en-US"/>
              </w:rPr>
              <w:t>-</w:t>
            </w:r>
            <w:r w:rsidRPr="00EE25C8">
              <w:rPr>
                <w:sz w:val="18"/>
                <w:szCs w:val="18"/>
                <w:lang w:val="en-US"/>
              </w:rPr>
              <w:tab/>
              <w:t>Cooperate with Governments and other actors (intergovernmental and non-governmental organizations) in the field of refrigerated transport</w:t>
            </w:r>
          </w:p>
        </w:tc>
        <w:tc>
          <w:tcPr>
            <w:tcW w:w="3305" w:type="dxa"/>
            <w:tcBorders>
              <w:top w:val="nil"/>
              <w:bottom w:val="nil"/>
            </w:tcBorders>
            <w:shd w:val="clear" w:color="auto" w:fill="auto"/>
          </w:tcPr>
          <w:p w:rsidR="0072633C" w:rsidRPr="00EE25C8" w:rsidRDefault="0072633C" w:rsidP="00811279">
            <w:pPr>
              <w:spacing w:before="40" w:after="120"/>
              <w:rPr>
                <w:sz w:val="18"/>
                <w:szCs w:val="18"/>
                <w:highlight w:val="yellow"/>
              </w:rPr>
            </w:pPr>
          </w:p>
        </w:tc>
      </w:tr>
      <w:tr w:rsidR="0072633C" w:rsidRPr="00EE25C8" w:rsidTr="00811279">
        <w:tc>
          <w:tcPr>
            <w:tcW w:w="4066" w:type="dxa"/>
            <w:tcBorders>
              <w:top w:val="nil"/>
              <w:bottom w:val="single" w:sz="12" w:space="0" w:color="auto"/>
            </w:tcBorders>
            <w:shd w:val="clear" w:color="auto" w:fill="auto"/>
          </w:tcPr>
          <w:p w:rsidR="0072633C" w:rsidRPr="00EE25C8" w:rsidRDefault="0072633C" w:rsidP="00811279">
            <w:pPr>
              <w:suppressAutoHyphens w:val="0"/>
              <w:spacing w:before="40" w:after="120" w:line="220" w:lineRule="exact"/>
              <w:ind w:right="113"/>
              <w:rPr>
                <w:sz w:val="18"/>
                <w:szCs w:val="18"/>
                <w:lang w:val="en-US"/>
              </w:rPr>
            </w:pPr>
          </w:p>
        </w:tc>
        <w:tc>
          <w:tcPr>
            <w:tcW w:w="3305" w:type="dxa"/>
            <w:tcBorders>
              <w:top w:val="nil"/>
              <w:bottom w:val="single" w:sz="12" w:space="0" w:color="auto"/>
            </w:tcBorders>
            <w:shd w:val="clear" w:color="auto" w:fill="auto"/>
          </w:tcPr>
          <w:p w:rsidR="0072633C" w:rsidRPr="00EE25C8" w:rsidRDefault="0072633C" w:rsidP="00811279">
            <w:pPr>
              <w:spacing w:before="40" w:after="120"/>
              <w:rPr>
                <w:sz w:val="18"/>
                <w:szCs w:val="18"/>
                <w:highlight w:val="yellow"/>
              </w:rPr>
            </w:pPr>
          </w:p>
        </w:tc>
      </w:tr>
    </w:tbl>
    <w:p w:rsidR="0072633C" w:rsidRPr="00EC4E7D" w:rsidRDefault="0072633C" w:rsidP="0072633C">
      <w:pPr>
        <w:pStyle w:val="H23G"/>
      </w:pPr>
      <w:r w:rsidRPr="00EE25C8">
        <w:rPr>
          <w:b w:val="0"/>
        </w:rPr>
        <w:lastRenderedPageBreak/>
        <w:tab/>
      </w:r>
      <w:r w:rsidRPr="00EE25C8">
        <w:rPr>
          <w:b w:val="0"/>
        </w:rPr>
        <w:tab/>
      </w:r>
      <w:r w:rsidRPr="00EC4E7D">
        <w:t>Outputs/activities</w:t>
      </w:r>
    </w:p>
    <w:p w:rsidR="00241D51" w:rsidRPr="00916DC5" w:rsidRDefault="00921152" w:rsidP="00241D51">
      <w:pPr>
        <w:keepNext/>
        <w:keepLines/>
        <w:tabs>
          <w:tab w:val="right" w:pos="851"/>
        </w:tabs>
        <w:spacing w:before="240" w:after="120" w:line="240" w:lineRule="exact"/>
        <w:ind w:left="1134" w:right="1134" w:hanging="1134"/>
        <w:rPr>
          <w:i/>
        </w:rPr>
      </w:pPr>
      <w:r>
        <w:rPr>
          <w:i/>
        </w:rPr>
        <w:tab/>
      </w:r>
      <w:r w:rsidR="00241D51" w:rsidRPr="00916DC5">
        <w:rPr>
          <w:i/>
        </w:rPr>
        <w:t>(a)</w:t>
      </w:r>
      <w:r w:rsidR="00241D51" w:rsidRPr="00916DC5">
        <w:rPr>
          <w:i/>
        </w:rPr>
        <w:tab/>
        <w:t>Meetings and related parliamentary documentation</w:t>
      </w:r>
    </w:p>
    <w:p w:rsidR="00241D51" w:rsidRPr="00916DC5" w:rsidRDefault="00241D51" w:rsidP="00241D51">
      <w:pPr>
        <w:spacing w:after="120" w:line="240" w:lineRule="auto"/>
        <w:ind w:left="1689" w:right="1134" w:hanging="555"/>
        <w:jc w:val="both"/>
      </w:pPr>
      <w:r w:rsidRPr="00916DC5">
        <w:t>12.1</w:t>
      </w:r>
      <w:r w:rsidRPr="00916DC5">
        <w:tab/>
        <w:t xml:space="preserve">Working </w:t>
      </w:r>
      <w:r w:rsidRPr="00916DC5">
        <w:rPr>
          <w:szCs w:val="24"/>
        </w:rPr>
        <w:t>Party</w:t>
      </w:r>
      <w:r w:rsidRPr="00916DC5">
        <w:t xml:space="preserve"> on the Transport of Perishable Foodstuffs (WP.11): seventy-</w:t>
      </w:r>
      <w:r w:rsidR="00FC64B8">
        <w:t>fourth</w:t>
      </w:r>
      <w:r w:rsidRPr="00916DC5">
        <w:t xml:space="preserve"> session (</w:t>
      </w:r>
      <w:r w:rsidR="00FC64B8">
        <w:t>9</w:t>
      </w:r>
      <w:r w:rsidRPr="00916DC5">
        <w:t>-</w:t>
      </w:r>
      <w:r w:rsidR="00FC64B8">
        <w:t>12</w:t>
      </w:r>
      <w:r w:rsidRPr="00916DC5">
        <w:t xml:space="preserve"> October 201</w:t>
      </w:r>
      <w:r w:rsidR="00FC64B8">
        <w:t>8</w:t>
      </w:r>
      <w:r w:rsidRPr="00916DC5">
        <w:t>), seventy-</w:t>
      </w:r>
      <w:r w:rsidR="00FC64B8">
        <w:t>fifth</w:t>
      </w:r>
      <w:r w:rsidRPr="00916DC5">
        <w:t xml:space="preserve"> session (</w:t>
      </w:r>
      <w:r w:rsidR="00FC64B8">
        <w:t>dates to be determined in</w:t>
      </w:r>
      <w:r w:rsidR="0083123F">
        <w:t xml:space="preserve"> 201</w:t>
      </w:r>
      <w:r w:rsidR="0027656F">
        <w:t>8</w:t>
      </w:r>
      <w:r w:rsidRPr="00916DC5">
        <w:t>) (16 meetings).</w:t>
      </w:r>
    </w:p>
    <w:p w:rsidR="00241D51" w:rsidRPr="00916DC5" w:rsidRDefault="00241D51" w:rsidP="00241D51">
      <w:pPr>
        <w:spacing w:after="120"/>
        <w:ind w:left="1689" w:right="1134"/>
        <w:jc w:val="both"/>
      </w:pPr>
      <w:r w:rsidRPr="00916DC5">
        <w:t xml:space="preserve">Reports of the annual sessions of WP.11 (2); Series of documents concerning, </w:t>
      </w:r>
      <w:r w:rsidRPr="00916DC5">
        <w:rPr>
          <w:i/>
        </w:rPr>
        <w:t>inter alia</w:t>
      </w:r>
      <w:r w:rsidRPr="00916DC5">
        <w:t xml:space="preserve">, the following subjects: exchange of information on the implementation of the ATP; proposals of amendments to the ATP and its annexes; proposals for additions to the ATP Handbook; proposals on the possible extension of the scope of ATP; programme of work, biennial evaluation and work plan (2). </w:t>
      </w:r>
    </w:p>
    <w:p w:rsidR="00241D51" w:rsidRPr="00916DC5" w:rsidRDefault="00241D51" w:rsidP="00241D51">
      <w:pPr>
        <w:keepNext/>
        <w:keepLines/>
        <w:tabs>
          <w:tab w:val="right" w:pos="851"/>
        </w:tabs>
        <w:spacing w:before="240" w:after="120" w:line="240" w:lineRule="exact"/>
        <w:ind w:left="1134" w:right="1134" w:hanging="1134"/>
        <w:rPr>
          <w:i/>
          <w:iCs/>
        </w:rPr>
      </w:pPr>
      <w:r w:rsidRPr="00916DC5">
        <w:rPr>
          <w:i/>
        </w:rPr>
        <w:tab/>
        <w:t>(b)</w:t>
      </w:r>
      <w:r w:rsidRPr="00916DC5">
        <w:rPr>
          <w:i/>
        </w:rPr>
        <w:tab/>
        <w:t>Publications and other information material</w:t>
      </w:r>
    </w:p>
    <w:p w:rsidR="00241D51" w:rsidRPr="00916DC5" w:rsidRDefault="00241D51" w:rsidP="00241D51">
      <w:pPr>
        <w:spacing w:after="120" w:line="240" w:lineRule="auto"/>
        <w:ind w:left="1689" w:right="1134" w:hanging="555"/>
        <w:jc w:val="both"/>
      </w:pPr>
      <w:r w:rsidRPr="00916DC5">
        <w:t>12.2</w:t>
      </w:r>
      <w:r w:rsidRPr="00916DC5">
        <w:tab/>
        <w:t>201</w:t>
      </w:r>
      <w:r w:rsidR="00FC64B8">
        <w:t>8</w:t>
      </w:r>
      <w:r w:rsidRPr="00916DC5">
        <w:t>-</w:t>
      </w:r>
      <w:r w:rsidRPr="00916DC5">
        <w:rPr>
          <w:szCs w:val="24"/>
        </w:rPr>
        <w:t>201</w:t>
      </w:r>
      <w:r w:rsidR="00FC64B8">
        <w:rPr>
          <w:szCs w:val="24"/>
        </w:rPr>
        <w:t>9</w:t>
      </w:r>
      <w:r w:rsidRPr="00916DC5">
        <w:t xml:space="preserve"> issue of the publication of the ATP (1);</w:t>
      </w:r>
    </w:p>
    <w:p w:rsidR="00241D51" w:rsidRPr="00916DC5" w:rsidRDefault="00241D51" w:rsidP="00241D51">
      <w:pPr>
        <w:spacing w:after="120" w:line="240" w:lineRule="auto"/>
        <w:ind w:left="1689" w:right="1134" w:hanging="555"/>
        <w:jc w:val="both"/>
      </w:pPr>
      <w:r w:rsidRPr="00916DC5">
        <w:t>12.3</w:t>
      </w:r>
      <w:r w:rsidRPr="00916DC5">
        <w:tab/>
      </w:r>
      <w:r w:rsidRPr="00916DC5">
        <w:rPr>
          <w:szCs w:val="24"/>
        </w:rPr>
        <w:t>Updates</w:t>
      </w:r>
      <w:r w:rsidRPr="00916DC5">
        <w:t xml:space="preserve"> of the ATP Handbook on the Sustainable Transport Division website.</w:t>
      </w:r>
    </w:p>
    <w:p w:rsidR="00241D51" w:rsidRPr="00916DC5" w:rsidRDefault="00241D51" w:rsidP="00241D51">
      <w:pPr>
        <w:keepNext/>
        <w:keepLines/>
        <w:tabs>
          <w:tab w:val="right" w:pos="851"/>
        </w:tabs>
        <w:spacing w:before="240" w:after="120" w:line="240" w:lineRule="exact"/>
        <w:ind w:left="1134" w:right="1134" w:hanging="1134"/>
        <w:rPr>
          <w:i/>
        </w:rPr>
      </w:pPr>
      <w:r w:rsidRPr="00916DC5">
        <w:rPr>
          <w:i/>
        </w:rPr>
        <w:tab/>
        <w:t>(c)</w:t>
      </w:r>
      <w:r w:rsidRPr="00916DC5">
        <w:rPr>
          <w:i/>
        </w:rPr>
        <w:tab/>
        <w:t>Technical cooperation</w:t>
      </w:r>
    </w:p>
    <w:p w:rsidR="00241D51" w:rsidRPr="00916DC5" w:rsidRDefault="00241D51" w:rsidP="00241D51">
      <w:pPr>
        <w:spacing w:after="120" w:line="240" w:lineRule="auto"/>
        <w:ind w:left="1689" w:right="1134" w:hanging="555"/>
        <w:jc w:val="both"/>
      </w:pPr>
      <w:r w:rsidRPr="00916DC5">
        <w:t>12.4</w:t>
      </w:r>
      <w:r w:rsidRPr="00916DC5">
        <w:tab/>
        <w:t xml:space="preserve">Activities, including possible workshops, </w:t>
      </w:r>
      <w:r w:rsidRPr="00916DC5">
        <w:rPr>
          <w:szCs w:val="24"/>
        </w:rPr>
        <w:t>aimed</w:t>
      </w:r>
      <w:r w:rsidRPr="00916DC5">
        <w:t xml:space="preserve"> at enhancing implementation of the ATP, promoting accession by countries in and outside the UNECE region, and at reducing the environmental impact of refrigerated transport;</w:t>
      </w:r>
    </w:p>
    <w:p w:rsidR="001948F6" w:rsidRDefault="00241D51" w:rsidP="0083123F">
      <w:pPr>
        <w:spacing w:after="120" w:line="240" w:lineRule="auto"/>
        <w:ind w:left="1689" w:right="1134" w:hanging="555"/>
        <w:jc w:val="both"/>
      </w:pPr>
      <w:r w:rsidRPr="00916DC5">
        <w:t>12.5</w:t>
      </w:r>
      <w:r w:rsidRPr="00916DC5">
        <w:tab/>
        <w:t xml:space="preserve">Cooperation with other organizations working in the field of refrigerated transport including the </w:t>
      </w:r>
      <w:r w:rsidRPr="00916DC5">
        <w:rPr>
          <w:lang w:val="en-US"/>
        </w:rPr>
        <w:t xml:space="preserve">International Association of the </w:t>
      </w:r>
      <w:r w:rsidRPr="00916DC5">
        <w:rPr>
          <w:szCs w:val="24"/>
        </w:rPr>
        <w:t>Body</w:t>
      </w:r>
      <w:r w:rsidRPr="00916DC5">
        <w:rPr>
          <w:lang w:val="en-US"/>
        </w:rPr>
        <w:t xml:space="preserve"> and Trailer Building Industry, the </w:t>
      </w:r>
      <w:r w:rsidRPr="00916DC5">
        <w:t>International Institute of Refrigeration and Transfrigoroute International.</w:t>
      </w:r>
    </w:p>
    <w:p w:rsidR="00921152" w:rsidRPr="00916DC5" w:rsidRDefault="00921152" w:rsidP="00921152">
      <w:pPr>
        <w:spacing w:before="240"/>
        <w:ind w:left="1134" w:right="1134"/>
        <w:jc w:val="center"/>
        <w:rPr>
          <w:u w:val="single"/>
        </w:rPr>
      </w:pPr>
      <w:r w:rsidRPr="00916DC5">
        <w:rPr>
          <w:u w:val="single"/>
        </w:rPr>
        <w:tab/>
      </w:r>
      <w:r w:rsidRPr="00916DC5">
        <w:rPr>
          <w:u w:val="single"/>
        </w:rPr>
        <w:tab/>
      </w:r>
      <w:r w:rsidRPr="00916DC5">
        <w:rPr>
          <w:u w:val="single"/>
        </w:rPr>
        <w:tab/>
      </w:r>
    </w:p>
    <w:sectPr w:rsidR="00921152" w:rsidRPr="00916DC5" w:rsidSect="006A2922">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35D" w:rsidRDefault="00EB535D"/>
  </w:endnote>
  <w:endnote w:type="continuationSeparator" w:id="0">
    <w:p w:rsidR="00EB535D" w:rsidRDefault="00EB535D"/>
  </w:endnote>
  <w:endnote w:type="continuationNotice" w:id="1">
    <w:p w:rsidR="00EB535D" w:rsidRDefault="00EB5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35" w:rsidRPr="006A2922" w:rsidRDefault="00125035" w:rsidP="006A2922">
    <w:pPr>
      <w:pStyle w:val="Footer"/>
      <w:tabs>
        <w:tab w:val="right" w:pos="9638"/>
      </w:tabs>
      <w:rPr>
        <w:sz w:val="18"/>
      </w:rPr>
    </w:pPr>
    <w:r w:rsidRPr="006A2922">
      <w:rPr>
        <w:b/>
        <w:sz w:val="18"/>
      </w:rPr>
      <w:fldChar w:fldCharType="begin"/>
    </w:r>
    <w:r w:rsidRPr="006A2922">
      <w:rPr>
        <w:b/>
        <w:sz w:val="18"/>
      </w:rPr>
      <w:instrText xml:space="preserve"> PAGE  \* MERGEFORMAT </w:instrText>
    </w:r>
    <w:r w:rsidRPr="006A2922">
      <w:rPr>
        <w:b/>
        <w:sz w:val="18"/>
      </w:rPr>
      <w:fldChar w:fldCharType="separate"/>
    </w:r>
    <w:r w:rsidR="004F33E9">
      <w:rPr>
        <w:b/>
        <w:noProof/>
        <w:sz w:val="18"/>
      </w:rPr>
      <w:t>2</w:t>
    </w:r>
    <w:r w:rsidRPr="006A292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35" w:rsidRPr="006A2922" w:rsidRDefault="00125035" w:rsidP="006A2922">
    <w:pPr>
      <w:pStyle w:val="Footer"/>
      <w:tabs>
        <w:tab w:val="right" w:pos="9638"/>
      </w:tabs>
      <w:rPr>
        <w:b/>
        <w:sz w:val="18"/>
      </w:rPr>
    </w:pPr>
    <w:r>
      <w:tab/>
    </w:r>
    <w:r w:rsidRPr="006A2922">
      <w:rPr>
        <w:b/>
        <w:sz w:val="18"/>
      </w:rPr>
      <w:fldChar w:fldCharType="begin"/>
    </w:r>
    <w:r w:rsidRPr="006A2922">
      <w:rPr>
        <w:b/>
        <w:sz w:val="18"/>
      </w:rPr>
      <w:instrText xml:space="preserve"> PAGE  \* MERGEFORMAT </w:instrText>
    </w:r>
    <w:r w:rsidRPr="006A2922">
      <w:rPr>
        <w:b/>
        <w:sz w:val="18"/>
      </w:rPr>
      <w:fldChar w:fldCharType="separate"/>
    </w:r>
    <w:r w:rsidR="004F33E9">
      <w:rPr>
        <w:b/>
        <w:noProof/>
        <w:sz w:val="18"/>
      </w:rPr>
      <w:t>3</w:t>
    </w:r>
    <w:r w:rsidRPr="006A29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60" w:rsidRDefault="00ED0A4F" w:rsidP="00ED0A4F">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7936448</wp:posOffset>
          </wp:positionV>
          <wp:extent cx="638175" cy="638175"/>
          <wp:effectExtent l="0" t="0" r="9525" b="9525"/>
          <wp:wrapNone/>
          <wp:docPr id="2" name="Picture 1" descr="https://undocs.org/m2/QRCode.ashx?DS=ECE/TRANS/WP.11/2017/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8286750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ED0A4F" w:rsidRDefault="00ED0A4F" w:rsidP="00ED0A4F">
    <w:pPr>
      <w:pStyle w:val="Footer"/>
      <w:ind w:right="1134"/>
      <w:rPr>
        <w:sz w:val="20"/>
      </w:rPr>
    </w:pPr>
    <w:r>
      <w:rPr>
        <w:sz w:val="20"/>
      </w:rPr>
      <w:t>GE.17-12629(E)</w:t>
    </w:r>
  </w:p>
  <w:p w:rsidR="00ED0A4F" w:rsidRPr="00ED0A4F" w:rsidRDefault="00ED0A4F" w:rsidP="00ED0A4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35" w:rsidRPr="006A2922" w:rsidRDefault="00125035" w:rsidP="006A2922">
    <w:pPr>
      <w:pStyle w:val="Footer"/>
      <w:tabs>
        <w:tab w:val="right" w:pos="9638"/>
      </w:tabs>
      <w:rPr>
        <w:sz w:val="18"/>
      </w:rPr>
    </w:pPr>
    <w:r w:rsidRPr="006A2922">
      <w:rPr>
        <w:b/>
        <w:sz w:val="18"/>
      </w:rPr>
      <w:fldChar w:fldCharType="begin"/>
    </w:r>
    <w:r w:rsidRPr="006A2922">
      <w:rPr>
        <w:b/>
        <w:sz w:val="18"/>
      </w:rPr>
      <w:instrText xml:space="preserve"> PAGE  \* MERGEFORMAT </w:instrText>
    </w:r>
    <w:r w:rsidRPr="006A2922">
      <w:rPr>
        <w:b/>
        <w:sz w:val="18"/>
      </w:rPr>
      <w:fldChar w:fldCharType="separate"/>
    </w:r>
    <w:r w:rsidR="004F33E9">
      <w:rPr>
        <w:b/>
        <w:noProof/>
        <w:sz w:val="18"/>
      </w:rPr>
      <w:t>6</w:t>
    </w:r>
    <w:r w:rsidRPr="006A2922">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35" w:rsidRPr="006A2922" w:rsidRDefault="00125035" w:rsidP="006A2922">
    <w:pPr>
      <w:pStyle w:val="Footer"/>
      <w:tabs>
        <w:tab w:val="right" w:pos="9638"/>
      </w:tabs>
      <w:rPr>
        <w:b/>
        <w:sz w:val="18"/>
      </w:rPr>
    </w:pPr>
    <w:r>
      <w:tab/>
    </w:r>
    <w:r w:rsidRPr="006A2922">
      <w:rPr>
        <w:b/>
        <w:sz w:val="18"/>
      </w:rPr>
      <w:fldChar w:fldCharType="begin"/>
    </w:r>
    <w:r w:rsidRPr="006A2922">
      <w:rPr>
        <w:b/>
        <w:sz w:val="18"/>
      </w:rPr>
      <w:instrText xml:space="preserve"> PAGE  \* MERGEFORMAT </w:instrText>
    </w:r>
    <w:r w:rsidRPr="006A2922">
      <w:rPr>
        <w:b/>
        <w:sz w:val="18"/>
      </w:rPr>
      <w:fldChar w:fldCharType="separate"/>
    </w:r>
    <w:r w:rsidR="00950751">
      <w:rPr>
        <w:b/>
        <w:noProof/>
        <w:sz w:val="18"/>
      </w:rPr>
      <w:t>5</w:t>
    </w:r>
    <w:r w:rsidRPr="006A2922">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35" w:rsidRPr="00240AD4" w:rsidRDefault="00125035" w:rsidP="0017540A">
    <w:pPr>
      <w:pStyle w:val="Footer"/>
    </w:pPr>
    <w:r>
      <w:rPr>
        <w:rStyle w:val="PageNumber"/>
      </w:rPr>
      <w:fldChar w:fldCharType="begin"/>
    </w:r>
    <w:r>
      <w:rPr>
        <w:rStyle w:val="PageNumber"/>
      </w:rPr>
      <w:instrText xml:space="preserve"> PAGE </w:instrText>
    </w:r>
    <w:r>
      <w:rPr>
        <w:rStyle w:val="PageNumber"/>
      </w:rPr>
      <w:fldChar w:fldCharType="separate"/>
    </w:r>
    <w:r w:rsidR="004F33E9">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35D" w:rsidRPr="000B175B" w:rsidRDefault="00EB535D" w:rsidP="000B175B">
      <w:pPr>
        <w:tabs>
          <w:tab w:val="right" w:pos="2155"/>
        </w:tabs>
        <w:spacing w:after="80"/>
        <w:ind w:left="680"/>
        <w:rPr>
          <w:u w:val="single"/>
        </w:rPr>
      </w:pPr>
      <w:r>
        <w:rPr>
          <w:u w:val="single"/>
        </w:rPr>
        <w:tab/>
      </w:r>
    </w:p>
  </w:footnote>
  <w:footnote w:type="continuationSeparator" w:id="0">
    <w:p w:rsidR="00EB535D" w:rsidRPr="00FC68B7" w:rsidRDefault="00EB535D" w:rsidP="00FC68B7">
      <w:pPr>
        <w:tabs>
          <w:tab w:val="left" w:pos="2155"/>
        </w:tabs>
        <w:spacing w:after="80"/>
        <w:ind w:left="680"/>
        <w:rPr>
          <w:u w:val="single"/>
        </w:rPr>
      </w:pPr>
      <w:r>
        <w:rPr>
          <w:u w:val="single"/>
        </w:rPr>
        <w:tab/>
      </w:r>
    </w:p>
  </w:footnote>
  <w:footnote w:type="continuationNotice" w:id="1">
    <w:p w:rsidR="00EB535D" w:rsidRDefault="00EB53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35" w:rsidRPr="006A2922" w:rsidRDefault="00125035">
    <w:pPr>
      <w:pStyle w:val="Header"/>
    </w:pPr>
    <w:r>
      <w:t>ECE/TRANS/WP.11/201</w:t>
    </w:r>
    <w:r w:rsidR="007E28B2">
      <w:t>7</w:t>
    </w:r>
    <w:r w:rsidR="0017540A">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35" w:rsidRPr="006A2922" w:rsidRDefault="00125035" w:rsidP="006A2922">
    <w:pPr>
      <w:pStyle w:val="Header"/>
      <w:jc w:val="right"/>
    </w:pPr>
    <w:r>
      <w:t>ECE/TRANS/WP.11/201</w:t>
    </w:r>
    <w:r w:rsidR="007E28B2">
      <w:t>7</w:t>
    </w:r>
    <w:r w:rsidR="0017540A">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35" w:rsidRPr="006A2922" w:rsidRDefault="00F07CDC">
    <w:pPr>
      <w:pStyle w:val="Header"/>
    </w:pPr>
    <w:r>
      <w:t>ECE/TRANS/WP.11/2017</w:t>
    </w:r>
    <w:r w:rsidR="00C02520">
      <w:t>/3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35" w:rsidRPr="006A2922" w:rsidRDefault="00125035" w:rsidP="006A2922">
    <w:pPr>
      <w:pStyle w:val="Header"/>
      <w:jc w:val="right"/>
    </w:pPr>
    <w:r>
      <w:t>ECE/TRANS/WP.11/201</w:t>
    </w:r>
    <w:r w:rsidR="0083123F">
      <w:t>7</w:t>
    </w:r>
    <w:r w:rsidR="00C02520">
      <w:t>/3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35" w:rsidRDefault="003A2CD9" w:rsidP="00594160">
    <w:pPr>
      <w:pStyle w:val="Header"/>
      <w:jc w:val="right"/>
      <w:rPr>
        <w:lang w:val="fr-CH"/>
      </w:rPr>
    </w:pPr>
    <w:r>
      <w:rPr>
        <w:lang w:val="fr-CH"/>
      </w:rPr>
      <w:t>ECE/TRANS/WP.11/201</w:t>
    </w:r>
    <w:r w:rsidR="007E28B2">
      <w:rPr>
        <w:lang w:val="fr-CH"/>
      </w:rPr>
      <w:t>7</w:t>
    </w:r>
    <w:r w:rsidR="00C02520">
      <w:rPr>
        <w:lang w:val="fr-CH"/>
      </w:rPr>
      <w:t>/3</w:t>
    </w:r>
  </w:p>
  <w:p w:rsidR="00125035" w:rsidRPr="00CD1745" w:rsidRDefault="00125035" w:rsidP="00CD1745">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45"/>
    <w:rsid w:val="00023244"/>
    <w:rsid w:val="000412A2"/>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103AA"/>
    <w:rsid w:val="00114BA7"/>
    <w:rsid w:val="0011666B"/>
    <w:rsid w:val="00125035"/>
    <w:rsid w:val="00134379"/>
    <w:rsid w:val="00145F63"/>
    <w:rsid w:val="00165F3A"/>
    <w:rsid w:val="001730B9"/>
    <w:rsid w:val="0017540A"/>
    <w:rsid w:val="001948F6"/>
    <w:rsid w:val="001B4B04"/>
    <w:rsid w:val="001B6EC6"/>
    <w:rsid w:val="001C6663"/>
    <w:rsid w:val="001C7895"/>
    <w:rsid w:val="001D0C8C"/>
    <w:rsid w:val="001D1419"/>
    <w:rsid w:val="001D26DF"/>
    <w:rsid w:val="001D3A03"/>
    <w:rsid w:val="001E3B0A"/>
    <w:rsid w:val="001E7B67"/>
    <w:rsid w:val="001F0C27"/>
    <w:rsid w:val="001F30F7"/>
    <w:rsid w:val="00202DA8"/>
    <w:rsid w:val="00211E0B"/>
    <w:rsid w:val="00240AD4"/>
    <w:rsid w:val="00241D51"/>
    <w:rsid w:val="0024772E"/>
    <w:rsid w:val="00267F5F"/>
    <w:rsid w:val="0027656F"/>
    <w:rsid w:val="00286B4D"/>
    <w:rsid w:val="002A1946"/>
    <w:rsid w:val="002B09A6"/>
    <w:rsid w:val="002D4643"/>
    <w:rsid w:val="002E3C5A"/>
    <w:rsid w:val="002F175C"/>
    <w:rsid w:val="003004D9"/>
    <w:rsid w:val="00302E18"/>
    <w:rsid w:val="003229D8"/>
    <w:rsid w:val="00352709"/>
    <w:rsid w:val="003619B5"/>
    <w:rsid w:val="00364171"/>
    <w:rsid w:val="00364EA0"/>
    <w:rsid w:val="00365763"/>
    <w:rsid w:val="00371178"/>
    <w:rsid w:val="00392E47"/>
    <w:rsid w:val="003936F0"/>
    <w:rsid w:val="00394DFA"/>
    <w:rsid w:val="003A2CD9"/>
    <w:rsid w:val="003A6810"/>
    <w:rsid w:val="003C2CC4"/>
    <w:rsid w:val="003C4097"/>
    <w:rsid w:val="003D1847"/>
    <w:rsid w:val="003D4B23"/>
    <w:rsid w:val="003E130E"/>
    <w:rsid w:val="003E163F"/>
    <w:rsid w:val="003E4D01"/>
    <w:rsid w:val="003F6562"/>
    <w:rsid w:val="004007E2"/>
    <w:rsid w:val="00410C89"/>
    <w:rsid w:val="0041446B"/>
    <w:rsid w:val="00422E03"/>
    <w:rsid w:val="0042467B"/>
    <w:rsid w:val="00426B9B"/>
    <w:rsid w:val="004325CB"/>
    <w:rsid w:val="00442A83"/>
    <w:rsid w:val="0045495B"/>
    <w:rsid w:val="004561E5"/>
    <w:rsid w:val="004668BF"/>
    <w:rsid w:val="0048397A"/>
    <w:rsid w:val="00485CBB"/>
    <w:rsid w:val="004866B7"/>
    <w:rsid w:val="004B609C"/>
    <w:rsid w:val="004C2461"/>
    <w:rsid w:val="004C6E56"/>
    <w:rsid w:val="004C7462"/>
    <w:rsid w:val="004E77B2"/>
    <w:rsid w:val="004F33E9"/>
    <w:rsid w:val="00504B2D"/>
    <w:rsid w:val="0052136D"/>
    <w:rsid w:val="0052775E"/>
    <w:rsid w:val="005363B7"/>
    <w:rsid w:val="00537355"/>
    <w:rsid w:val="005420F2"/>
    <w:rsid w:val="005623DE"/>
    <w:rsid w:val="005628B6"/>
    <w:rsid w:val="00594160"/>
    <w:rsid w:val="005941EC"/>
    <w:rsid w:val="0059724D"/>
    <w:rsid w:val="005B3DB3"/>
    <w:rsid w:val="005B4E13"/>
    <w:rsid w:val="005B6B52"/>
    <w:rsid w:val="005C342F"/>
    <w:rsid w:val="005F1D1D"/>
    <w:rsid w:val="005F317F"/>
    <w:rsid w:val="005F7B75"/>
    <w:rsid w:val="006001EE"/>
    <w:rsid w:val="00600219"/>
    <w:rsid w:val="00605042"/>
    <w:rsid w:val="00611FC4"/>
    <w:rsid w:val="006176FB"/>
    <w:rsid w:val="00620BB8"/>
    <w:rsid w:val="00640B26"/>
    <w:rsid w:val="00652D0A"/>
    <w:rsid w:val="00662BB6"/>
    <w:rsid w:val="006667F5"/>
    <w:rsid w:val="00676606"/>
    <w:rsid w:val="00684C21"/>
    <w:rsid w:val="006A2530"/>
    <w:rsid w:val="006A2922"/>
    <w:rsid w:val="006C1857"/>
    <w:rsid w:val="006C3589"/>
    <w:rsid w:val="006D37AF"/>
    <w:rsid w:val="006D51D0"/>
    <w:rsid w:val="006D5FB9"/>
    <w:rsid w:val="006E0F77"/>
    <w:rsid w:val="006E564B"/>
    <w:rsid w:val="006E7191"/>
    <w:rsid w:val="00703577"/>
    <w:rsid w:val="007048FD"/>
    <w:rsid w:val="00705894"/>
    <w:rsid w:val="0072632A"/>
    <w:rsid w:val="0072633C"/>
    <w:rsid w:val="00726728"/>
    <w:rsid w:val="007327D5"/>
    <w:rsid w:val="0075266C"/>
    <w:rsid w:val="00756C80"/>
    <w:rsid w:val="007629C8"/>
    <w:rsid w:val="0077047D"/>
    <w:rsid w:val="007B6BA5"/>
    <w:rsid w:val="007C3390"/>
    <w:rsid w:val="007C4F4B"/>
    <w:rsid w:val="007E01E9"/>
    <w:rsid w:val="007E28B2"/>
    <w:rsid w:val="007E29E9"/>
    <w:rsid w:val="007E38E5"/>
    <w:rsid w:val="007E63F3"/>
    <w:rsid w:val="007F6611"/>
    <w:rsid w:val="00806489"/>
    <w:rsid w:val="00811279"/>
    <w:rsid w:val="00811920"/>
    <w:rsid w:val="00815AD0"/>
    <w:rsid w:val="008242D7"/>
    <w:rsid w:val="008257B1"/>
    <w:rsid w:val="0083123F"/>
    <w:rsid w:val="00832334"/>
    <w:rsid w:val="00837F1B"/>
    <w:rsid w:val="00843767"/>
    <w:rsid w:val="008566A2"/>
    <w:rsid w:val="008679D9"/>
    <w:rsid w:val="00884766"/>
    <w:rsid w:val="008878DE"/>
    <w:rsid w:val="00897011"/>
    <w:rsid w:val="008979B1"/>
    <w:rsid w:val="008A6B25"/>
    <w:rsid w:val="008A6C4F"/>
    <w:rsid w:val="008B2335"/>
    <w:rsid w:val="008B2E1F"/>
    <w:rsid w:val="008E0678"/>
    <w:rsid w:val="008E7CE6"/>
    <w:rsid w:val="008F31D2"/>
    <w:rsid w:val="00917FDE"/>
    <w:rsid w:val="00921152"/>
    <w:rsid w:val="009223CA"/>
    <w:rsid w:val="00940F93"/>
    <w:rsid w:val="00950751"/>
    <w:rsid w:val="009760F3"/>
    <w:rsid w:val="00976CFB"/>
    <w:rsid w:val="009A0830"/>
    <w:rsid w:val="009A0E8D"/>
    <w:rsid w:val="009A5DEA"/>
    <w:rsid w:val="009B26E7"/>
    <w:rsid w:val="009E75BD"/>
    <w:rsid w:val="009F58BE"/>
    <w:rsid w:val="00A00697"/>
    <w:rsid w:val="00A00A3F"/>
    <w:rsid w:val="00A01489"/>
    <w:rsid w:val="00A109C9"/>
    <w:rsid w:val="00A10BA5"/>
    <w:rsid w:val="00A1778E"/>
    <w:rsid w:val="00A3026E"/>
    <w:rsid w:val="00A338F1"/>
    <w:rsid w:val="00A35BE0"/>
    <w:rsid w:val="00A525ED"/>
    <w:rsid w:val="00A52F65"/>
    <w:rsid w:val="00A6129C"/>
    <w:rsid w:val="00A630DF"/>
    <w:rsid w:val="00A72F22"/>
    <w:rsid w:val="00A7360F"/>
    <w:rsid w:val="00A748A6"/>
    <w:rsid w:val="00A769F4"/>
    <w:rsid w:val="00A776B4"/>
    <w:rsid w:val="00A94361"/>
    <w:rsid w:val="00AA293C"/>
    <w:rsid w:val="00AA6A81"/>
    <w:rsid w:val="00AC19CC"/>
    <w:rsid w:val="00AE5C2B"/>
    <w:rsid w:val="00B30179"/>
    <w:rsid w:val="00B421C1"/>
    <w:rsid w:val="00B55C71"/>
    <w:rsid w:val="00B56E4A"/>
    <w:rsid w:val="00B56E9C"/>
    <w:rsid w:val="00B64B1F"/>
    <w:rsid w:val="00B6553F"/>
    <w:rsid w:val="00B77D05"/>
    <w:rsid w:val="00B81206"/>
    <w:rsid w:val="00B81E12"/>
    <w:rsid w:val="00B94DAC"/>
    <w:rsid w:val="00BB2A15"/>
    <w:rsid w:val="00BC3FA0"/>
    <w:rsid w:val="00BC74E9"/>
    <w:rsid w:val="00BE118E"/>
    <w:rsid w:val="00BF68A8"/>
    <w:rsid w:val="00C02520"/>
    <w:rsid w:val="00C11A03"/>
    <w:rsid w:val="00C22C0C"/>
    <w:rsid w:val="00C26E3A"/>
    <w:rsid w:val="00C4527F"/>
    <w:rsid w:val="00C453C8"/>
    <w:rsid w:val="00C463DD"/>
    <w:rsid w:val="00C4724C"/>
    <w:rsid w:val="00C629A0"/>
    <w:rsid w:val="00C64629"/>
    <w:rsid w:val="00C745C3"/>
    <w:rsid w:val="00C769F4"/>
    <w:rsid w:val="00C96DF2"/>
    <w:rsid w:val="00CB3E03"/>
    <w:rsid w:val="00CC4C61"/>
    <w:rsid w:val="00CD1745"/>
    <w:rsid w:val="00CD4AA6"/>
    <w:rsid w:val="00CE4A8F"/>
    <w:rsid w:val="00CE540B"/>
    <w:rsid w:val="00CE7014"/>
    <w:rsid w:val="00CF1610"/>
    <w:rsid w:val="00CF5C3F"/>
    <w:rsid w:val="00D2031B"/>
    <w:rsid w:val="00D248B6"/>
    <w:rsid w:val="00D25FE2"/>
    <w:rsid w:val="00D2762A"/>
    <w:rsid w:val="00D31A66"/>
    <w:rsid w:val="00D43252"/>
    <w:rsid w:val="00D47EEA"/>
    <w:rsid w:val="00D6654C"/>
    <w:rsid w:val="00D773DF"/>
    <w:rsid w:val="00D95303"/>
    <w:rsid w:val="00D978C6"/>
    <w:rsid w:val="00DA3C1C"/>
    <w:rsid w:val="00DC13F8"/>
    <w:rsid w:val="00DC6138"/>
    <w:rsid w:val="00DD3C36"/>
    <w:rsid w:val="00DF0DC7"/>
    <w:rsid w:val="00DF31A2"/>
    <w:rsid w:val="00E046DF"/>
    <w:rsid w:val="00E06C56"/>
    <w:rsid w:val="00E25068"/>
    <w:rsid w:val="00E27346"/>
    <w:rsid w:val="00E71BC8"/>
    <w:rsid w:val="00E7260F"/>
    <w:rsid w:val="00E73F5D"/>
    <w:rsid w:val="00E77E4E"/>
    <w:rsid w:val="00E92CFC"/>
    <w:rsid w:val="00E96630"/>
    <w:rsid w:val="00EB535D"/>
    <w:rsid w:val="00ED0A4F"/>
    <w:rsid w:val="00ED7A2A"/>
    <w:rsid w:val="00EF1D7F"/>
    <w:rsid w:val="00F03E89"/>
    <w:rsid w:val="00F07CDC"/>
    <w:rsid w:val="00F234EC"/>
    <w:rsid w:val="00F31E5F"/>
    <w:rsid w:val="00F40FA3"/>
    <w:rsid w:val="00F6100A"/>
    <w:rsid w:val="00F824CD"/>
    <w:rsid w:val="00F93781"/>
    <w:rsid w:val="00FA3508"/>
    <w:rsid w:val="00FA7D6D"/>
    <w:rsid w:val="00FB613B"/>
    <w:rsid w:val="00FC64B8"/>
    <w:rsid w:val="00FC68B7"/>
    <w:rsid w:val="00FD3F98"/>
    <w:rsid w:val="00FE106A"/>
    <w:rsid w:val="00FE2FEF"/>
    <w:rsid w:val="00FE7A10"/>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9457"/>
    <o:shapelayout v:ext="edit">
      <o:idmap v:ext="edit" data="1"/>
    </o:shapelayout>
  </w:shapeDefaults>
  <w:decimalSymbol w:val="."/>
  <w:listSeparator w:val=","/>
  <w15:docId w15:val="{E976A01F-4EDE-436C-9ED5-FB8B498D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ParaNo">
    <w:name w:val="ParaNo."/>
    <w:basedOn w:val="Normal"/>
    <w:rsid w:val="00CD1745"/>
    <w:pPr>
      <w:numPr>
        <w:numId w:val="16"/>
      </w:numPr>
      <w:tabs>
        <w:tab w:val="clear" w:pos="360"/>
        <w:tab w:val="left" w:pos="737"/>
      </w:tabs>
      <w:suppressAutoHyphens w:val="0"/>
      <w:spacing w:after="240" w:line="240" w:lineRule="auto"/>
    </w:pPr>
    <w:rPr>
      <w:sz w:val="24"/>
      <w:lang w:val="fr-CH"/>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har">
    <w:name w:val="_ Single Txt_G Char"/>
    <w:link w:val="SingleTxtG"/>
    <w:rsid w:val="0072633C"/>
    <w:rPr>
      <w:lang w:eastAsia="en-US"/>
    </w:rPr>
  </w:style>
  <w:style w:type="character" w:customStyle="1" w:styleId="H23GChar">
    <w:name w:val="_ H_2/3_G Char"/>
    <w:link w:val="H23G"/>
    <w:rsid w:val="0072633C"/>
    <w:rPr>
      <w:b/>
      <w:lang w:eastAsia="en-US"/>
    </w:rPr>
  </w:style>
  <w:style w:type="character" w:customStyle="1" w:styleId="HChGChar">
    <w:name w:val="_ H _Ch_G Char"/>
    <w:link w:val="HChG"/>
    <w:rsid w:val="001948F6"/>
    <w:rPr>
      <w:b/>
      <w:sz w:val="28"/>
      <w:lang w:eastAsia="en-US"/>
    </w:rPr>
  </w:style>
  <w:style w:type="character" w:customStyle="1" w:styleId="H1GChar">
    <w:name w:val="_ H_1_G Char"/>
    <w:link w:val="H1G"/>
    <w:locked/>
    <w:rsid w:val="00BE118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B1C2-706C-4AE8-9428-996E8082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Template>
  <TotalTime>1</TotalTime>
  <Pages>6</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1712629</vt:lpstr>
    </vt:vector>
  </TitlesOfParts>
  <Company>CSD</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1712629</dc:title>
  <dc:subject>ECE/TRANS/WP.11/2017/3</dc:subject>
  <dc:creator>Collet</dc:creator>
  <cp:keywords/>
  <dc:description/>
  <cp:lastModifiedBy>Marie-Claude Collet</cp:lastModifiedBy>
  <cp:revision>2</cp:revision>
  <cp:lastPrinted>2017-07-25T14:44:00Z</cp:lastPrinted>
  <dcterms:created xsi:type="dcterms:W3CDTF">2017-08-18T06:07:00Z</dcterms:created>
  <dcterms:modified xsi:type="dcterms:W3CDTF">2017-08-18T06:07:00Z</dcterms:modified>
</cp:coreProperties>
</file>