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B0CE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B0CE1" w:rsidP="005B0CE1">
            <w:pPr>
              <w:jc w:val="right"/>
            </w:pPr>
            <w:r w:rsidRPr="005B0CE1">
              <w:rPr>
                <w:sz w:val="40"/>
              </w:rPr>
              <w:t>ECE</w:t>
            </w:r>
            <w:r>
              <w:t>/TRANS/WP.29/2017/106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B0CE1" w:rsidP="00C97039">
            <w:pPr>
              <w:spacing w:before="240"/>
            </w:pPr>
            <w:r>
              <w:t>Distr. générale</w:t>
            </w:r>
          </w:p>
          <w:p w:rsidR="005B0CE1" w:rsidRDefault="005B0CE1" w:rsidP="005B0CE1">
            <w:pPr>
              <w:spacing w:line="240" w:lineRule="exact"/>
            </w:pPr>
            <w:r>
              <w:t>11 avril 2017</w:t>
            </w:r>
          </w:p>
          <w:p w:rsidR="005B0CE1" w:rsidRDefault="005B0CE1" w:rsidP="005B0CE1">
            <w:pPr>
              <w:spacing w:line="240" w:lineRule="exact"/>
            </w:pPr>
            <w:r>
              <w:t>Français</w:t>
            </w:r>
          </w:p>
          <w:p w:rsidR="005B0CE1" w:rsidRPr="00DB58B5" w:rsidRDefault="005B0CE1" w:rsidP="005B0CE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B0CE1" w:rsidRDefault="005B0CE1" w:rsidP="005B0CE1">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B0CE1" w:rsidRPr="00C72F89" w:rsidRDefault="005B0CE1" w:rsidP="005B0CE1">
      <w:pPr>
        <w:spacing w:before="120"/>
        <w:rPr>
          <w:b/>
        </w:rPr>
      </w:pPr>
      <w:r w:rsidRPr="00C72F89">
        <w:rPr>
          <w:b/>
        </w:rPr>
        <w:t>172</w:t>
      </w:r>
      <w:r w:rsidRPr="00C72F89">
        <w:rPr>
          <w:b/>
          <w:vertAlign w:val="superscript"/>
        </w:rPr>
        <w:t>e</w:t>
      </w:r>
      <w:r w:rsidRPr="00C72F89">
        <w:rPr>
          <w:b/>
        </w:rPr>
        <w:t> session</w:t>
      </w:r>
    </w:p>
    <w:p w:rsidR="005B0CE1" w:rsidRDefault="005B0CE1" w:rsidP="00AF0CB5">
      <w:pPr>
        <w:spacing w:line="240" w:lineRule="exact"/>
      </w:pPr>
      <w:r>
        <w:t xml:space="preserve">Genève, </w:t>
      </w:r>
      <w:r w:rsidRPr="005B0CE1">
        <w:t>20-23 juin 2017</w:t>
      </w:r>
    </w:p>
    <w:p w:rsidR="005B0CE1" w:rsidRDefault="005B0CE1" w:rsidP="00AF0CB5">
      <w:pPr>
        <w:spacing w:line="240" w:lineRule="exact"/>
      </w:pPr>
      <w:r>
        <w:t xml:space="preserve">Point </w:t>
      </w:r>
      <w:r w:rsidRPr="005B0CE1">
        <w:t>4.10.16 de l’ordre du jour provisoire</w:t>
      </w:r>
    </w:p>
    <w:p w:rsidR="005B0CE1" w:rsidRPr="005B0CE1" w:rsidRDefault="005B0CE1" w:rsidP="005B0CE1">
      <w:pPr>
        <w:rPr>
          <w:b/>
        </w:rPr>
      </w:pPr>
      <w:r>
        <w:rPr>
          <w:b/>
        </w:rPr>
        <w:t>Accord de 1958 :</w:t>
      </w:r>
      <w:r w:rsidRPr="005B0CE1">
        <w:rPr>
          <w:b/>
        </w:rPr>
        <w:t xml:space="preserve"> Examen de projets d’amendements</w:t>
      </w:r>
    </w:p>
    <w:p w:rsidR="00F9573C" w:rsidRDefault="005B0CE1" w:rsidP="005B0CE1">
      <w:pPr>
        <w:rPr>
          <w:b/>
        </w:rPr>
      </w:pPr>
      <w:r w:rsidRPr="005B0CE1">
        <w:rPr>
          <w:b/>
        </w:rPr>
        <w:t>à des Règlements existants, présentés par le GRE</w:t>
      </w:r>
    </w:p>
    <w:p w:rsidR="005B0CE1" w:rsidRPr="005B0CE1" w:rsidRDefault="005B0CE1" w:rsidP="005B0CE1">
      <w:pPr>
        <w:pStyle w:val="HChG"/>
      </w:pPr>
      <w:r>
        <w:tab/>
      </w:r>
      <w:r>
        <w:tab/>
        <w:t>Proposition de complément 11 à la série </w:t>
      </w:r>
      <w:r w:rsidRPr="005B0CE1">
        <w:t xml:space="preserve">05 d’amendements au Règlement n° 48 (Installation des dispositifs d’éclairage </w:t>
      </w:r>
      <w:r>
        <w:br/>
      </w:r>
      <w:r w:rsidRPr="005B0CE1">
        <w:t xml:space="preserve">et de signalisation lumineuse) </w:t>
      </w:r>
    </w:p>
    <w:p w:rsidR="005B0CE1" w:rsidRPr="005B0CE1" w:rsidRDefault="005B0CE1" w:rsidP="005B0CE1">
      <w:pPr>
        <w:pStyle w:val="H1G"/>
      </w:pPr>
      <w:r>
        <w:tab/>
      </w:r>
      <w:r>
        <w:tab/>
      </w:r>
      <w:r w:rsidRPr="005B0CE1">
        <w:t xml:space="preserve">Communication du Groupe de travail de l’éclairage </w:t>
      </w:r>
      <w:r>
        <w:br/>
      </w:r>
      <w:r w:rsidRPr="005B0CE1">
        <w:t>et de la signalisation lumineuse</w:t>
      </w:r>
      <w:r w:rsidRPr="005B0CE1">
        <w:rPr>
          <w:rStyle w:val="FootnoteReference"/>
          <w:b w:val="0"/>
          <w:sz w:val="20"/>
          <w:vertAlign w:val="baseline"/>
        </w:rPr>
        <w:footnoteReference w:customMarkFollows="1" w:id="2"/>
        <w:t>*</w:t>
      </w:r>
    </w:p>
    <w:p w:rsidR="005B0CE1" w:rsidRPr="005B0CE1" w:rsidRDefault="005B0CE1" w:rsidP="005B0CE1">
      <w:pPr>
        <w:pStyle w:val="SingleTxtG"/>
        <w:ind w:firstLine="567"/>
      </w:pPr>
      <w:r w:rsidRPr="005B0CE1">
        <w:t>Le texte reproduit ci-après, adopté par le Groupe de travail de l’éclairage et de la signalisation lumineuse (GRE) à sa soixante-dix-septième session (ECE/TRANS/WP.29/</w:t>
      </w:r>
      <w:r>
        <w:br/>
      </w:r>
      <w:r w:rsidRPr="005B0CE1">
        <w:t>GRE/77), est fondé sur l’</w:t>
      </w:r>
      <w:r>
        <w:t>annexe </w:t>
      </w:r>
      <w:r w:rsidRPr="005B0CE1">
        <w:t>III du document ECE/TRANS/WP.29/GRE/77. Il est soumis au Forum mondial de l’harmonisation des Règlements concernant les véhicules (WP.29) et au Comité d’administration (AC.1) pour examen à leurs sessions de juin 2017.</w:t>
      </w:r>
    </w:p>
    <w:p w:rsidR="005B0CE1" w:rsidRPr="005B0CE1" w:rsidRDefault="005B0CE1" w:rsidP="005B0CE1">
      <w:pPr>
        <w:pStyle w:val="HChG"/>
      </w:pPr>
      <w:r w:rsidRPr="005B0CE1">
        <w:br w:type="page"/>
      </w:r>
      <w:r>
        <w:lastRenderedPageBreak/>
        <w:tab/>
      </w:r>
      <w:r>
        <w:tab/>
        <w:t>Complément 11 à la série </w:t>
      </w:r>
      <w:r w:rsidRPr="005B0CE1">
        <w:t xml:space="preserve">05 d’amendements au Règlement </w:t>
      </w:r>
      <w:r w:rsidRPr="002D76F4">
        <w:rPr>
          <w:rFonts w:eastAsia="MS Mincho"/>
          <w:szCs w:val="22"/>
        </w:rPr>
        <w:t>n</w:t>
      </w:r>
      <w:r w:rsidRPr="002D76F4">
        <w:rPr>
          <w:rFonts w:eastAsia="MS Mincho"/>
          <w:szCs w:val="22"/>
          <w:vertAlign w:val="superscript"/>
        </w:rPr>
        <w:t>o</w:t>
      </w:r>
      <w:r w:rsidRPr="005B0CE1">
        <w:t xml:space="preserve"> 48 (Installation des dispositifs d’éclairage </w:t>
      </w:r>
      <w:r>
        <w:br/>
      </w:r>
      <w:r w:rsidRPr="005B0CE1">
        <w:t xml:space="preserve">et de signalisation lumineuse) </w:t>
      </w:r>
    </w:p>
    <w:p w:rsidR="005B0CE1" w:rsidRPr="005B0CE1" w:rsidRDefault="005B0CE1" w:rsidP="005B0CE1">
      <w:pPr>
        <w:pStyle w:val="SingleTxtG"/>
        <w:keepNext/>
        <w:keepLines/>
      </w:pPr>
      <w:r>
        <w:rPr>
          <w:i/>
        </w:rPr>
        <w:t>Paragraphe </w:t>
      </w:r>
      <w:r w:rsidRPr="005B0CE1">
        <w:rPr>
          <w:i/>
        </w:rPr>
        <w:t>6.5.7</w:t>
      </w:r>
      <w:r w:rsidRPr="005B0CE1">
        <w:t>,</w:t>
      </w:r>
      <w:r w:rsidRPr="005B0CE1">
        <w:rPr>
          <w:i/>
        </w:rPr>
        <w:t xml:space="preserve"> </w:t>
      </w:r>
      <w:r w:rsidRPr="005B0CE1">
        <w:t xml:space="preserve"> modifier comme suit</w:t>
      </w:r>
      <w:r>
        <w:t> :</w:t>
      </w:r>
    </w:p>
    <w:p w:rsidR="005B0CE1" w:rsidRPr="005B0CE1" w:rsidRDefault="005B0CE1" w:rsidP="005B0CE1">
      <w:pPr>
        <w:pStyle w:val="SingleTxtG"/>
        <w:keepNext/>
        <w:keepLines/>
      </w:pPr>
      <w:r>
        <w:t>« </w:t>
      </w:r>
      <w:r w:rsidRPr="005B0CE1">
        <w:t xml:space="preserve">6.5.7 </w:t>
      </w:r>
      <w:r w:rsidRPr="005B0CE1">
        <w:tab/>
        <w:t>Branchement électrique</w:t>
      </w:r>
    </w:p>
    <w:p w:rsidR="005B0CE1" w:rsidRPr="005B0CE1" w:rsidRDefault="005B0CE1" w:rsidP="005B0CE1">
      <w:pPr>
        <w:pStyle w:val="SingleTxtG"/>
        <w:ind w:left="2268"/>
      </w:pPr>
      <w:r w:rsidRPr="005B0CE1">
        <w:t>L’allumage des feux indicateurs de direction est indépendant de celui des autres feux. Tous les indicateurs de direction situés sur un même côté du véhicule sont allumés et éteints par la même commande et doivent clignoter de façon synchrone.</w:t>
      </w:r>
    </w:p>
    <w:p w:rsidR="005B0CE1" w:rsidRPr="005B0CE1" w:rsidRDefault="005B0CE1" w:rsidP="005B0CE1">
      <w:pPr>
        <w:pStyle w:val="SingleTxtG"/>
        <w:ind w:left="2268"/>
      </w:pPr>
      <w:r w:rsidRPr="005B0CE1">
        <w:t>Sur les véhicules des catégories M</w:t>
      </w:r>
      <w:r w:rsidRPr="005B0CE1">
        <w:rPr>
          <w:vertAlign w:val="subscript"/>
        </w:rPr>
        <w:t>1</w:t>
      </w:r>
      <w:r w:rsidRPr="005B0CE1">
        <w:t xml:space="preserve"> et N</w:t>
      </w:r>
      <w:r w:rsidRPr="005B0CE1">
        <w:rPr>
          <w:vertAlign w:val="subscript"/>
        </w:rPr>
        <w:t>1</w:t>
      </w:r>
      <w:r w:rsidRPr="005B0CE1">
        <w:t xml:space="preserve"> de moins de 6 m de long présentant une configuration conforme au paragraphe 6.5.5.2 ci-dessus, les feux de position latéraux orange, lorsqu’ils existent, doivent aussi clignoter à la même fréquence (en phase) que les feux indicateurs de direction.</w:t>
      </w:r>
    </w:p>
    <w:p w:rsidR="005B0CE1" w:rsidRPr="005B0CE1" w:rsidRDefault="005B0CE1" w:rsidP="005B0CE1">
      <w:pPr>
        <w:pStyle w:val="SingleTxtG"/>
        <w:ind w:left="2268"/>
        <w:rPr>
          <w:bCs/>
        </w:rPr>
      </w:pPr>
      <w:r w:rsidRPr="005B0CE1">
        <w:t>Les indicateurs de direction dotés de différents modes de fonctionnement (statique ou séquentiel) ne doivent pas passer d’un mode à l’autre une fois activés.</w:t>
      </w:r>
    </w:p>
    <w:p w:rsidR="005B0CE1" w:rsidRPr="005B0CE1" w:rsidRDefault="005B0CE1" w:rsidP="005B0CE1">
      <w:pPr>
        <w:pStyle w:val="SingleTxtG"/>
        <w:ind w:left="2268"/>
        <w:rPr>
          <w:bCs/>
        </w:rPr>
      </w:pPr>
      <w:r w:rsidRPr="005B0CE1">
        <w:t>Lorsque deux feux facultatifs (des catégories 2a ou 2b) sont montés sur des véhicules des catégories M</w:t>
      </w:r>
      <w:r w:rsidRPr="005B0CE1">
        <w:rPr>
          <w:bCs/>
          <w:vertAlign w:val="subscript"/>
        </w:rPr>
        <w:t>2</w:t>
      </w:r>
      <w:r w:rsidRPr="005B0CE1">
        <w:t>, M</w:t>
      </w:r>
      <w:r w:rsidRPr="005B0CE1">
        <w:rPr>
          <w:bCs/>
          <w:vertAlign w:val="subscript"/>
        </w:rPr>
        <w:t>3</w:t>
      </w:r>
      <w:r w:rsidRPr="005B0CE1">
        <w:t>, N</w:t>
      </w:r>
      <w:r w:rsidRPr="005B0CE1">
        <w:rPr>
          <w:bCs/>
          <w:vertAlign w:val="subscript"/>
        </w:rPr>
        <w:t>2</w:t>
      </w:r>
      <w:r w:rsidRPr="005B0CE1">
        <w:t xml:space="preserve"> ou N</w:t>
      </w:r>
      <w:r w:rsidRPr="005B0CE1">
        <w:rPr>
          <w:bCs/>
          <w:vertAlign w:val="subscript"/>
        </w:rPr>
        <w:t>3</w:t>
      </w:r>
      <w:r w:rsidRPr="005B0CE1">
        <w:t>, ils doivent fonctionner dans le même mode que les autres feux indicateurs de direction arrière qui sont obligatoires (des catégories 2a ou 2b), à savoir statique ou séquentiel</w:t>
      </w:r>
      <w:r>
        <w:t>. »</w:t>
      </w:r>
    </w:p>
    <w:p w:rsidR="005B0CE1" w:rsidRPr="005B0CE1" w:rsidRDefault="005B0CE1" w:rsidP="005B0CE1">
      <w:pPr>
        <w:pStyle w:val="SingleTxtG"/>
        <w:keepNext/>
        <w:keepLines/>
        <w:rPr>
          <w:bCs/>
        </w:rPr>
      </w:pPr>
      <w:r w:rsidRPr="005B0CE1">
        <w:rPr>
          <w:bCs/>
          <w:i/>
        </w:rPr>
        <w:t>Paragraphe 6.6.1</w:t>
      </w:r>
      <w:r w:rsidRPr="005B0CE1">
        <w:t>,</w:t>
      </w:r>
      <w:r w:rsidRPr="005B0CE1">
        <w:rPr>
          <w:bCs/>
          <w:i/>
        </w:rPr>
        <w:t xml:space="preserve"> </w:t>
      </w:r>
      <w:r w:rsidRPr="005B0CE1">
        <w:t xml:space="preserve"> modifier comme suit</w:t>
      </w:r>
      <w:r>
        <w:t> :</w:t>
      </w:r>
    </w:p>
    <w:p w:rsidR="005B0CE1" w:rsidRPr="005B0CE1" w:rsidRDefault="005B0CE1" w:rsidP="005B0CE1">
      <w:pPr>
        <w:pStyle w:val="SingleTxtG"/>
        <w:keepNext/>
        <w:keepLines/>
        <w:rPr>
          <w:bCs/>
        </w:rPr>
      </w:pPr>
      <w:r>
        <w:t>« </w:t>
      </w:r>
      <w:r w:rsidRPr="005B0CE1">
        <w:t>6.6.1</w:t>
      </w:r>
      <w:r w:rsidRPr="005B0CE1">
        <w:tab/>
      </w:r>
      <w:r>
        <w:tab/>
      </w:r>
      <w:r w:rsidRPr="005B0CE1">
        <w:t>Présence</w:t>
      </w:r>
    </w:p>
    <w:p w:rsidR="005B0CE1" w:rsidRPr="005B0CE1" w:rsidRDefault="005B0CE1" w:rsidP="005B0CE1">
      <w:pPr>
        <w:pStyle w:val="SingleTxtG"/>
        <w:keepNext/>
        <w:keepLines/>
        <w:ind w:left="2268"/>
        <w:rPr>
          <w:bCs/>
        </w:rPr>
      </w:pPr>
      <w:r w:rsidRPr="005B0CE1">
        <w:t>Obligatoire.</w:t>
      </w:r>
    </w:p>
    <w:p w:rsidR="005B0CE1" w:rsidRPr="005B0CE1" w:rsidRDefault="005B0CE1" w:rsidP="005B0CE1">
      <w:pPr>
        <w:pStyle w:val="SingleTxtG"/>
        <w:ind w:left="2268"/>
        <w:rPr>
          <w:bCs/>
        </w:rPr>
      </w:pPr>
      <w:r w:rsidRPr="005B0CE1">
        <w:t>Signal obtenu par fonctionnement simultané des feux indicateurs de direction conformes aux prescription</w:t>
      </w:r>
      <w:r>
        <w:t>s du paragraphe </w:t>
      </w:r>
      <w:r w:rsidRPr="005B0CE1">
        <w:t>6.5 ci-dessus.</w:t>
      </w:r>
    </w:p>
    <w:p w:rsidR="005B0CE1" w:rsidRPr="005B0CE1" w:rsidRDefault="005B0CE1" w:rsidP="005B0CE1">
      <w:pPr>
        <w:pStyle w:val="SingleTxtG"/>
        <w:ind w:left="2268"/>
        <w:rPr>
          <w:bCs/>
        </w:rPr>
      </w:pPr>
      <w:r w:rsidRPr="005B0CE1">
        <w:t>Tous les indicateurs de dire</w:t>
      </w:r>
      <w:r>
        <w:t>ction de la catégorie 1 (1, 1a, </w:t>
      </w:r>
      <w:r w:rsidRPr="005B0CE1">
        <w:t xml:space="preserve">1b) qui sont activés simultanément doivent fonctionner dans un seul et même mode, à savoir statique ou séquentiel. </w:t>
      </w:r>
    </w:p>
    <w:p w:rsidR="005B0CE1" w:rsidRPr="005B0CE1" w:rsidRDefault="005B0CE1" w:rsidP="005B0CE1">
      <w:pPr>
        <w:pStyle w:val="SingleTxtG"/>
        <w:ind w:left="2268"/>
        <w:rPr>
          <w:bCs/>
        </w:rPr>
      </w:pPr>
      <w:r w:rsidRPr="005B0CE1">
        <w:t>Tous les indicateurs de direction de la catégorie 2 (2a, 2b) qui sont activés simultanément doivent fonctionner dans un seul et même mode, à savoir statique ou séquentiel</w:t>
      </w:r>
      <w:r>
        <w:t>.»</w:t>
      </w:r>
    </w:p>
    <w:p w:rsidR="005B0CE1" w:rsidRPr="005B0CE1" w:rsidRDefault="005B0CE1" w:rsidP="005B0CE1">
      <w:pPr>
        <w:pStyle w:val="SingleTxtG"/>
        <w:spacing w:before="240" w:after="0"/>
        <w:jc w:val="center"/>
        <w:rPr>
          <w:u w:val="single"/>
        </w:rPr>
      </w:pPr>
      <w:r>
        <w:rPr>
          <w:u w:val="single"/>
        </w:rPr>
        <w:tab/>
      </w:r>
      <w:r>
        <w:rPr>
          <w:u w:val="single"/>
        </w:rPr>
        <w:tab/>
      </w:r>
      <w:r>
        <w:rPr>
          <w:u w:val="single"/>
        </w:rPr>
        <w:tab/>
      </w:r>
    </w:p>
    <w:sectPr w:rsidR="005B0CE1" w:rsidRPr="005B0CE1" w:rsidSect="005B0CE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6F" w:rsidRDefault="0054596F" w:rsidP="00F95C08">
      <w:pPr>
        <w:spacing w:line="240" w:lineRule="auto"/>
      </w:pPr>
    </w:p>
  </w:endnote>
  <w:endnote w:type="continuationSeparator" w:id="0">
    <w:p w:rsidR="0054596F" w:rsidRPr="00AC3823" w:rsidRDefault="0054596F" w:rsidP="00AC3823">
      <w:pPr>
        <w:pStyle w:val="Footer"/>
      </w:pPr>
    </w:p>
  </w:endnote>
  <w:endnote w:type="continuationNotice" w:id="1">
    <w:p w:rsidR="0054596F" w:rsidRDefault="00545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1" w:rsidRPr="005B0CE1" w:rsidRDefault="005B0CE1" w:rsidP="005B0CE1">
    <w:pPr>
      <w:pStyle w:val="Footer"/>
      <w:tabs>
        <w:tab w:val="right" w:pos="9638"/>
      </w:tabs>
    </w:pPr>
    <w:r w:rsidRPr="005B0CE1">
      <w:rPr>
        <w:b/>
        <w:sz w:val="18"/>
      </w:rPr>
      <w:fldChar w:fldCharType="begin"/>
    </w:r>
    <w:r w:rsidRPr="005B0CE1">
      <w:rPr>
        <w:b/>
        <w:sz w:val="18"/>
      </w:rPr>
      <w:instrText xml:space="preserve"> PAGE  \* MERGEFORMAT </w:instrText>
    </w:r>
    <w:r w:rsidRPr="005B0CE1">
      <w:rPr>
        <w:b/>
        <w:sz w:val="18"/>
      </w:rPr>
      <w:fldChar w:fldCharType="separate"/>
    </w:r>
    <w:r w:rsidR="00D92EDD">
      <w:rPr>
        <w:b/>
        <w:noProof/>
        <w:sz w:val="18"/>
      </w:rPr>
      <w:t>2</w:t>
    </w:r>
    <w:r w:rsidRPr="005B0CE1">
      <w:rPr>
        <w:b/>
        <w:sz w:val="18"/>
      </w:rPr>
      <w:fldChar w:fldCharType="end"/>
    </w:r>
    <w:r>
      <w:rPr>
        <w:b/>
        <w:sz w:val="18"/>
      </w:rPr>
      <w:tab/>
    </w:r>
    <w:r>
      <w:t>GE.17-05890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1" w:rsidRPr="005B0CE1" w:rsidRDefault="005B0CE1" w:rsidP="005B0CE1">
    <w:pPr>
      <w:pStyle w:val="Footer"/>
      <w:tabs>
        <w:tab w:val="right" w:pos="9638"/>
      </w:tabs>
      <w:rPr>
        <w:b/>
        <w:sz w:val="18"/>
      </w:rPr>
    </w:pPr>
    <w:r>
      <w:t>GE.17-05890</w:t>
    </w:r>
    <w:r>
      <w:tab/>
    </w:r>
    <w:r w:rsidRPr="005B0CE1">
      <w:rPr>
        <w:b/>
        <w:sz w:val="18"/>
      </w:rPr>
      <w:fldChar w:fldCharType="begin"/>
    </w:r>
    <w:r w:rsidRPr="005B0CE1">
      <w:rPr>
        <w:b/>
        <w:sz w:val="18"/>
      </w:rPr>
      <w:instrText xml:space="preserve"> PAGE  \* MERGEFORMAT </w:instrText>
    </w:r>
    <w:r w:rsidRPr="005B0CE1">
      <w:rPr>
        <w:b/>
        <w:sz w:val="18"/>
      </w:rPr>
      <w:fldChar w:fldCharType="separate"/>
    </w:r>
    <w:r>
      <w:rPr>
        <w:b/>
        <w:noProof/>
        <w:sz w:val="18"/>
      </w:rPr>
      <w:t>3</w:t>
    </w:r>
    <w:r w:rsidRPr="005B0C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5B0CE1" w:rsidRDefault="005B0CE1" w:rsidP="005B0CE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6FAC5C6" wp14:editId="7D820C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17-05890  (F)    080517    090517</w:t>
    </w:r>
    <w:r>
      <w:rPr>
        <w:sz w:val="20"/>
      </w:rPr>
      <w:br/>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sidRPr="005B0CE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6F" w:rsidRPr="00AC3823" w:rsidRDefault="0054596F" w:rsidP="00AC3823">
      <w:pPr>
        <w:pStyle w:val="Footer"/>
        <w:tabs>
          <w:tab w:val="right" w:pos="2155"/>
        </w:tabs>
        <w:spacing w:after="80" w:line="240" w:lineRule="atLeast"/>
        <w:ind w:left="680"/>
        <w:rPr>
          <w:u w:val="single"/>
        </w:rPr>
      </w:pPr>
      <w:r>
        <w:rPr>
          <w:u w:val="single"/>
        </w:rPr>
        <w:tab/>
      </w:r>
    </w:p>
  </w:footnote>
  <w:footnote w:type="continuationSeparator" w:id="0">
    <w:p w:rsidR="0054596F" w:rsidRPr="00AC3823" w:rsidRDefault="0054596F" w:rsidP="00AC3823">
      <w:pPr>
        <w:pStyle w:val="Footer"/>
        <w:tabs>
          <w:tab w:val="right" w:pos="2155"/>
        </w:tabs>
        <w:spacing w:after="80" w:line="240" w:lineRule="atLeast"/>
        <w:ind w:left="680"/>
        <w:rPr>
          <w:u w:val="single"/>
        </w:rPr>
      </w:pPr>
      <w:r>
        <w:rPr>
          <w:u w:val="single"/>
        </w:rPr>
        <w:tab/>
      </w:r>
    </w:p>
  </w:footnote>
  <w:footnote w:type="continuationNotice" w:id="1">
    <w:p w:rsidR="0054596F" w:rsidRPr="00AC3823" w:rsidRDefault="0054596F">
      <w:pPr>
        <w:spacing w:line="240" w:lineRule="auto"/>
        <w:rPr>
          <w:sz w:val="2"/>
          <w:szCs w:val="2"/>
        </w:rPr>
      </w:pPr>
    </w:p>
  </w:footnote>
  <w:footnote w:id="2">
    <w:p w:rsidR="005B0CE1" w:rsidRPr="00706101" w:rsidRDefault="005B0CE1" w:rsidP="005B0CE1">
      <w:pPr>
        <w:pStyle w:val="FootnoteText"/>
      </w:pPr>
      <w:r>
        <w:tab/>
      </w:r>
      <w:r>
        <w:rPr>
          <w:sz w:val="20"/>
        </w:rPr>
        <w:t>*</w:t>
      </w:r>
      <w:r>
        <w:rPr>
          <w:sz w:val="20"/>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1" w:rsidRPr="005B0CE1" w:rsidRDefault="00D92EDD">
    <w:pPr>
      <w:pStyle w:val="Header"/>
    </w:pPr>
    <w:r>
      <w:fldChar w:fldCharType="begin"/>
    </w:r>
    <w:r>
      <w:instrText xml:space="preserve"> TITLE  \* MERGEFORMAT </w:instrText>
    </w:r>
    <w:r>
      <w:fldChar w:fldCharType="separate"/>
    </w:r>
    <w:r w:rsidR="005B0CE1">
      <w:t>ECE/TRANS/WP.29/2017/106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E1" w:rsidRPr="005B0CE1" w:rsidRDefault="00D92EDD" w:rsidP="005B0CE1">
    <w:pPr>
      <w:pStyle w:val="Header"/>
      <w:jc w:val="right"/>
    </w:pPr>
    <w:r>
      <w:fldChar w:fldCharType="begin"/>
    </w:r>
    <w:r>
      <w:instrText xml:space="preserve"> TITLE  \* MERGEFORMAT </w:instrText>
    </w:r>
    <w:r>
      <w:fldChar w:fldCharType="separate"/>
    </w:r>
    <w:r w:rsidR="005B0CE1">
      <w:t>ECE/TRANS/WP.29/2017/106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6F"/>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B121E"/>
    <w:rsid w:val="004E468C"/>
    <w:rsid w:val="0054596F"/>
    <w:rsid w:val="005505B7"/>
    <w:rsid w:val="00573BE5"/>
    <w:rsid w:val="00586ED3"/>
    <w:rsid w:val="00596AA9"/>
    <w:rsid w:val="005B0CE1"/>
    <w:rsid w:val="006F39A5"/>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72F89"/>
    <w:rsid w:val="00C97039"/>
    <w:rsid w:val="00D3439C"/>
    <w:rsid w:val="00D92EDD"/>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ECE/TRANS/WP.29/2017/106</vt:lpstr>
      <vt:lpstr>ECE/TRANS/WP.29/2017/106</vt:lpstr>
    </vt:vector>
  </TitlesOfParts>
  <Company>DCM</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ECE/TRANS/WP.29/2017/106</dc:title>
  <dc:creator>Bourion</dc:creator>
  <cp:lastModifiedBy>Benedicte Boudol</cp:lastModifiedBy>
  <cp:revision>2</cp:revision>
  <cp:lastPrinted>2017-05-09T07:46:00Z</cp:lastPrinted>
  <dcterms:created xsi:type="dcterms:W3CDTF">2017-05-10T08:26:00Z</dcterms:created>
  <dcterms:modified xsi:type="dcterms:W3CDTF">2017-05-10T08:26:00Z</dcterms:modified>
</cp:coreProperties>
</file>