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C97BC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C97BC1" w:rsidP="00C97BC1">
            <w:pPr>
              <w:jc w:val="right"/>
            </w:pPr>
            <w:r w:rsidRPr="00C97BC1">
              <w:rPr>
                <w:sz w:val="40"/>
              </w:rPr>
              <w:t>ECE</w:t>
            </w:r>
            <w:r>
              <w:t>/TRANS/WP.29/2017/110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C97BC1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C97BC1" w:rsidRDefault="00C97BC1" w:rsidP="00C97BC1">
            <w:pPr>
              <w:spacing w:line="240" w:lineRule="exact"/>
            </w:pPr>
            <w:r>
              <w:t>18 août 2017</w:t>
            </w:r>
          </w:p>
          <w:p w:rsidR="00C97BC1" w:rsidRDefault="00C97BC1" w:rsidP="00C97BC1">
            <w:pPr>
              <w:spacing w:line="240" w:lineRule="exact"/>
            </w:pPr>
            <w:r>
              <w:t>Français</w:t>
            </w:r>
          </w:p>
          <w:p w:rsidR="00C97BC1" w:rsidRPr="00DB58B5" w:rsidRDefault="00C97BC1" w:rsidP="00C97BC1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C97BC1" w:rsidRDefault="00C97BC1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C97BC1" w:rsidRDefault="00C97BC1" w:rsidP="00AF0CB5">
      <w:pPr>
        <w:spacing w:before="120" w:line="240" w:lineRule="exact"/>
        <w:rPr>
          <w:b/>
        </w:rPr>
      </w:pPr>
      <w:r>
        <w:rPr>
          <w:b/>
        </w:rPr>
        <w:t>173</w:t>
      </w:r>
      <w:r w:rsidRPr="00C97BC1">
        <w:rPr>
          <w:b/>
          <w:vertAlign w:val="superscript"/>
        </w:rPr>
        <w:t>e</w:t>
      </w:r>
      <w:r>
        <w:rPr>
          <w:b/>
        </w:rPr>
        <w:t> session</w:t>
      </w:r>
    </w:p>
    <w:p w:rsidR="00C97BC1" w:rsidRDefault="00C97BC1" w:rsidP="00AF0CB5">
      <w:pPr>
        <w:spacing w:line="240" w:lineRule="exact"/>
      </w:pPr>
      <w:r>
        <w:t xml:space="preserve">Genève, </w:t>
      </w:r>
      <w:r w:rsidRPr="00C97BC1">
        <w:rPr>
          <w:lang w:val="fr-FR"/>
        </w:rPr>
        <w:t>14-17 novembre 2017</w:t>
      </w:r>
    </w:p>
    <w:p w:rsidR="00C97BC1" w:rsidRDefault="00C97BC1" w:rsidP="00AF0CB5">
      <w:pPr>
        <w:spacing w:line="240" w:lineRule="exact"/>
      </w:pPr>
      <w:r>
        <w:t xml:space="preserve">Point </w:t>
      </w:r>
      <w:r w:rsidRPr="00C97BC1">
        <w:rPr>
          <w:lang w:val="fr-FR"/>
        </w:rPr>
        <w:t>4.6.1 de l’ordre du jour provisoire</w:t>
      </w:r>
    </w:p>
    <w:p w:rsidR="00F9573C" w:rsidRDefault="00C97BC1" w:rsidP="00AF0CB5">
      <w:pPr>
        <w:rPr>
          <w:b/>
          <w:lang w:val="fr-FR"/>
        </w:rPr>
      </w:pPr>
      <w:r w:rsidRPr="00C97BC1">
        <w:rPr>
          <w:b/>
          <w:lang w:val="fr-FR"/>
        </w:rPr>
        <w:t>A</w:t>
      </w:r>
      <w:r>
        <w:rPr>
          <w:b/>
          <w:lang w:val="fr-FR"/>
        </w:rPr>
        <w:t>ccord de 1958 :</w:t>
      </w:r>
      <w:r w:rsidRPr="00C97BC1">
        <w:rPr>
          <w:b/>
        </w:rPr>
        <w:br/>
      </w:r>
      <w:r w:rsidRPr="00C97BC1">
        <w:rPr>
          <w:b/>
          <w:lang w:val="fr-FR"/>
        </w:rPr>
        <w:t xml:space="preserve">Examen de projets d’amendements à des Règlements </w:t>
      </w:r>
      <w:r>
        <w:rPr>
          <w:b/>
          <w:lang w:val="fr-FR"/>
        </w:rPr>
        <w:br/>
      </w:r>
      <w:r w:rsidRPr="00C97BC1">
        <w:rPr>
          <w:b/>
          <w:lang w:val="fr-FR"/>
        </w:rPr>
        <w:t>existants, soumis par le GRE</w:t>
      </w:r>
    </w:p>
    <w:p w:rsidR="00C97BC1" w:rsidRPr="00C97BC1" w:rsidRDefault="00C97BC1" w:rsidP="00C97BC1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 de complément 10 à la série </w:t>
      </w:r>
      <w:r w:rsidRPr="00C97BC1">
        <w:rPr>
          <w:lang w:val="fr-FR"/>
        </w:rPr>
        <w:t xml:space="preserve">06 d’amendements au Règlement </w:t>
      </w:r>
      <w:r w:rsidRPr="00C97BC1">
        <w:rPr>
          <w:rFonts w:eastAsia="MS Mincho"/>
          <w:szCs w:val="22"/>
          <w:lang w:val="fr-FR"/>
        </w:rPr>
        <w:t>n</w:t>
      </w:r>
      <w:r w:rsidRPr="00C97BC1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C97BC1">
        <w:rPr>
          <w:lang w:val="fr-FR"/>
        </w:rPr>
        <w:t xml:space="preserve">48 (Installation des dispositifs </w:t>
      </w:r>
      <w:r>
        <w:rPr>
          <w:lang w:val="fr-FR"/>
        </w:rPr>
        <w:br/>
      </w:r>
      <w:r w:rsidRPr="00C97BC1">
        <w:rPr>
          <w:lang w:val="fr-FR"/>
        </w:rPr>
        <w:t xml:space="preserve">d’éclairage et de signalisation lumineuse) </w:t>
      </w:r>
    </w:p>
    <w:p w:rsidR="00C97BC1" w:rsidRPr="00C97BC1" w:rsidRDefault="00C97BC1" w:rsidP="00C97BC1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Pr="00C97BC1">
        <w:rPr>
          <w:lang w:val="fr-FR"/>
        </w:rPr>
        <w:t xml:space="preserve">Communication du Groupe de travail de l’éclairage </w:t>
      </w:r>
      <w:r>
        <w:rPr>
          <w:lang w:val="fr-FR"/>
        </w:rPr>
        <w:br/>
      </w:r>
      <w:r w:rsidRPr="00C97BC1">
        <w:rPr>
          <w:lang w:val="fr-FR"/>
        </w:rPr>
        <w:t>et de la signalisation lumineuse</w:t>
      </w:r>
      <w:r w:rsidRPr="00C97BC1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97BC1" w:rsidRPr="00C97BC1" w:rsidRDefault="00C97BC1" w:rsidP="00C97BC1">
      <w:pPr>
        <w:pStyle w:val="SingleTxtG"/>
        <w:ind w:firstLine="567"/>
      </w:pPr>
      <w:r w:rsidRPr="00C97BC1">
        <w:rPr>
          <w:lang w:val="fr-FR"/>
        </w:rPr>
        <w:t>Le texte reproduit ci-après, adopté par le Groupe de travail de l’éclairage et de la signalisation lumineuse (GRE) à sa soixante-dix-septième sessio</w:t>
      </w:r>
      <w:r>
        <w:rPr>
          <w:lang w:val="fr-FR"/>
        </w:rPr>
        <w:t>n (ECE/TRANS/WP.29/GRE/77, par. </w:t>
      </w:r>
      <w:r w:rsidRPr="00C97BC1">
        <w:rPr>
          <w:lang w:val="fr-FR"/>
        </w:rPr>
        <w:t>19), est fondé sur l’annexe II du rapport. Il est soumis au Forum mondial de l’harmonisation des Règlements concernant les véhicules (WP.29) et au Comité d’administration (AC.1) pour examen à leurs sessions de novembre 2017.</w:t>
      </w:r>
    </w:p>
    <w:p w:rsidR="00C97BC1" w:rsidRPr="00C97BC1" w:rsidRDefault="00C97BC1" w:rsidP="00C97BC1">
      <w:pPr>
        <w:pStyle w:val="HChG"/>
        <w:rPr>
          <w:lang w:val="fr-FR"/>
        </w:rPr>
      </w:pPr>
      <w:r w:rsidRPr="00C97BC1">
        <w:br w:type="page"/>
      </w:r>
      <w:r>
        <w:lastRenderedPageBreak/>
        <w:tab/>
      </w:r>
      <w:r>
        <w:tab/>
      </w:r>
      <w:r>
        <w:rPr>
          <w:lang w:val="fr-FR"/>
        </w:rPr>
        <w:t>Proposition de complément </w:t>
      </w:r>
      <w:r w:rsidRPr="00C97BC1">
        <w:rPr>
          <w:lang w:val="fr-FR"/>
        </w:rPr>
        <w:t xml:space="preserve">10 à la série 06 d’amendements au Règlement </w:t>
      </w:r>
      <w:r w:rsidRPr="00C97BC1">
        <w:rPr>
          <w:rFonts w:eastAsia="MS Mincho"/>
          <w:szCs w:val="22"/>
          <w:lang w:val="fr-FR"/>
        </w:rPr>
        <w:t>n</w:t>
      </w:r>
      <w:r w:rsidRPr="00C97BC1">
        <w:rPr>
          <w:rFonts w:eastAsia="MS Mincho"/>
          <w:szCs w:val="22"/>
          <w:vertAlign w:val="superscript"/>
          <w:lang w:val="fr-FR"/>
        </w:rPr>
        <w:t>o</w:t>
      </w:r>
      <w:r w:rsidRPr="00C97BC1">
        <w:rPr>
          <w:lang w:val="fr-FR"/>
        </w:rPr>
        <w:t xml:space="preserve"> 48 (Installation des dispositifs </w:t>
      </w:r>
      <w:r>
        <w:rPr>
          <w:lang w:val="fr-FR"/>
        </w:rPr>
        <w:br/>
      </w:r>
      <w:r w:rsidRPr="00C97BC1">
        <w:rPr>
          <w:lang w:val="fr-FR"/>
        </w:rPr>
        <w:t>d’éclairage et de signalisation lumineuse)</w:t>
      </w:r>
    </w:p>
    <w:p w:rsidR="00C97BC1" w:rsidRPr="00C97BC1" w:rsidRDefault="00C97BC1" w:rsidP="00C97BC1">
      <w:pPr>
        <w:pStyle w:val="SingleTxtG"/>
      </w:pPr>
      <w:r w:rsidRPr="00C97BC1">
        <w:rPr>
          <w:i/>
          <w:iCs/>
          <w:lang w:val="fr-FR"/>
        </w:rPr>
        <w:t>Paragraphe 5.11.1.3</w:t>
      </w:r>
      <w:r w:rsidRPr="00C97BC1">
        <w:rPr>
          <w:lang w:val="fr-FR"/>
        </w:rPr>
        <w:t>, supprimer.</w:t>
      </w:r>
    </w:p>
    <w:p w:rsidR="00C97BC1" w:rsidRPr="00C97BC1" w:rsidRDefault="00C97BC1" w:rsidP="00C97BC1">
      <w:pPr>
        <w:pStyle w:val="SingleTxtG"/>
      </w:pPr>
      <w:r w:rsidRPr="00C97BC1">
        <w:rPr>
          <w:i/>
          <w:iCs/>
          <w:lang w:val="fr-FR"/>
        </w:rPr>
        <w:t>Paragraphe 6.2.7.6</w:t>
      </w:r>
      <w:r w:rsidRPr="00C97BC1">
        <w:rPr>
          <w:lang w:val="fr-FR"/>
        </w:rPr>
        <w:t>, supprimer.</w:t>
      </w:r>
    </w:p>
    <w:p w:rsidR="00C97BC1" w:rsidRPr="00C97BC1" w:rsidRDefault="00C97BC1" w:rsidP="00C97BC1">
      <w:pPr>
        <w:pStyle w:val="SingleTxtG"/>
        <w:keepNext/>
        <w:keepLines/>
      </w:pPr>
      <w:r w:rsidRPr="00C97BC1">
        <w:rPr>
          <w:i/>
          <w:iCs/>
          <w:lang w:val="fr-FR"/>
        </w:rPr>
        <w:t>Le paragraphe</w:t>
      </w:r>
      <w:r>
        <w:rPr>
          <w:i/>
          <w:iCs/>
          <w:lang w:val="fr-FR"/>
        </w:rPr>
        <w:t> </w:t>
      </w:r>
      <w:r w:rsidRPr="00C97BC1">
        <w:rPr>
          <w:i/>
          <w:iCs/>
          <w:lang w:val="fr-FR"/>
        </w:rPr>
        <w:t>6.2.7.6.1</w:t>
      </w:r>
      <w:r w:rsidRPr="00C97BC1">
        <w:rPr>
          <w:lang w:val="fr-FR"/>
        </w:rPr>
        <w:t xml:space="preserve"> devient le paragraphe 6.2.7.6 et il est </w:t>
      </w:r>
      <w:r>
        <w:rPr>
          <w:lang w:val="fr-FR"/>
        </w:rPr>
        <w:t>modifié comme suit :</w:t>
      </w:r>
    </w:p>
    <w:p w:rsidR="00C97BC1" w:rsidRPr="00C97BC1" w:rsidRDefault="00C97BC1" w:rsidP="00C97BC1">
      <w:pPr>
        <w:pStyle w:val="SingleTxtG"/>
        <w:ind w:left="2268" w:hanging="1134"/>
      </w:pPr>
      <w:r>
        <w:rPr>
          <w:lang w:val="fr-FR"/>
        </w:rPr>
        <w:t>« </w:t>
      </w:r>
      <w:r w:rsidRPr="00C97BC1">
        <w:rPr>
          <w:lang w:val="fr-FR"/>
        </w:rPr>
        <w:t>6.2.7.6</w:t>
      </w:r>
      <w:r w:rsidRPr="00C97BC1">
        <w:rPr>
          <w:lang w:val="fr-FR"/>
        </w:rPr>
        <w:tab/>
        <w:t xml:space="preserve">Les feux de croisement doivent s’allumer et s’éteindre automatiquement en fonction de la luminosité ambiante (par exemple la nuit, dans les tunnels, etc.) conformément aux </w:t>
      </w:r>
      <w:r>
        <w:rPr>
          <w:lang w:val="fr-FR"/>
        </w:rPr>
        <w:t>prescriptions de l’annexe </w:t>
      </w:r>
      <w:r w:rsidRPr="00C97BC1">
        <w:rPr>
          <w:lang w:val="fr-FR"/>
        </w:rPr>
        <w:t>13.</w:t>
      </w:r>
      <w:r>
        <w:rPr>
          <w:lang w:val="fr-FR"/>
        </w:rPr>
        <w:t> »</w:t>
      </w:r>
    </w:p>
    <w:p w:rsidR="00C97BC1" w:rsidRPr="00C97BC1" w:rsidRDefault="00C97BC1" w:rsidP="00C97BC1">
      <w:pPr>
        <w:pStyle w:val="SingleTxtG"/>
        <w:rPr>
          <w:bCs/>
        </w:rPr>
      </w:pPr>
      <w:r w:rsidRPr="00C97BC1">
        <w:rPr>
          <w:i/>
          <w:iCs/>
          <w:lang w:val="fr-FR"/>
        </w:rPr>
        <w:t>Paragraphe 6.2.7.6.2 et paragraphe 6.2.7.6.3 et ses alinéas</w:t>
      </w:r>
      <w:r w:rsidRPr="00C97BC1">
        <w:rPr>
          <w:lang w:val="fr-FR"/>
        </w:rPr>
        <w:t xml:space="preserve">, supprimer. </w:t>
      </w:r>
    </w:p>
    <w:p w:rsidR="00C97BC1" w:rsidRPr="00C97BC1" w:rsidRDefault="00C97BC1" w:rsidP="00C97BC1">
      <w:pPr>
        <w:pStyle w:val="SingleTxtG"/>
        <w:keepNext/>
        <w:keepLines/>
      </w:pPr>
      <w:r w:rsidRPr="00C97BC1">
        <w:rPr>
          <w:i/>
          <w:iCs/>
          <w:lang w:val="fr-FR"/>
        </w:rPr>
        <w:t>Paragraphe 6.9.8</w:t>
      </w:r>
      <w:r>
        <w:rPr>
          <w:lang w:val="fr-FR"/>
        </w:rPr>
        <w:t>, lire :</w:t>
      </w:r>
    </w:p>
    <w:p w:rsidR="00C97BC1" w:rsidRPr="00C97BC1" w:rsidRDefault="00C97BC1" w:rsidP="00C97BC1">
      <w:pPr>
        <w:pStyle w:val="SingleTxtG"/>
        <w:ind w:left="2268" w:hanging="1134"/>
        <w:rPr>
          <w:iCs/>
        </w:rPr>
      </w:pPr>
      <w:r>
        <w:rPr>
          <w:lang w:val="fr-FR"/>
        </w:rPr>
        <w:t>« </w:t>
      </w:r>
      <w:r w:rsidRPr="00C97BC1">
        <w:rPr>
          <w:lang w:val="fr-FR"/>
        </w:rPr>
        <w:t xml:space="preserve">6.9.8 </w:t>
      </w:r>
      <w:r w:rsidRPr="00C97BC1">
        <w:rPr>
          <w:lang w:val="fr-FR"/>
        </w:rPr>
        <w:tab/>
        <w:t>Témoin</w:t>
      </w:r>
    </w:p>
    <w:p w:rsidR="00C97BC1" w:rsidRPr="00C97BC1" w:rsidRDefault="00C97BC1" w:rsidP="00C97BC1">
      <w:pPr>
        <w:pStyle w:val="SingleTxtG"/>
        <w:ind w:left="2268" w:hanging="1134"/>
        <w:rPr>
          <w:lang w:val="fr-FR"/>
        </w:rPr>
      </w:pPr>
      <w:r>
        <w:rPr>
          <w:lang w:val="fr-FR"/>
        </w:rPr>
        <w:tab/>
      </w:r>
      <w:r w:rsidRPr="00C97BC1">
        <w:rPr>
          <w:lang w:val="fr-FR"/>
        </w:rPr>
        <w:t>Témoin d’enclenchement obligatoire.</w:t>
      </w:r>
    </w:p>
    <w:p w:rsidR="00C97BC1" w:rsidRPr="00C97BC1" w:rsidRDefault="00C97BC1" w:rsidP="00C97BC1">
      <w:pPr>
        <w:pStyle w:val="SingleTxtG"/>
        <w:ind w:left="2268"/>
      </w:pPr>
      <w:r w:rsidRPr="00C97BC1">
        <w:rPr>
          <w:lang w:val="fr-FR"/>
        </w:rPr>
        <w:t xml:space="preserve">Ce témoin ne doit pas être clignotant. Il n’est pas exigé si le dispositif d’éclairage du tableau de bord ne peut être allumé que simultanément avec les feux de position avant. </w:t>
      </w:r>
    </w:p>
    <w:p w:rsidR="00C97BC1" w:rsidRPr="00C97BC1" w:rsidRDefault="00C97BC1" w:rsidP="00C97BC1">
      <w:pPr>
        <w:pStyle w:val="SingleTxtG"/>
        <w:ind w:left="2268"/>
      </w:pPr>
      <w:r w:rsidRPr="00C97BC1">
        <w:rPr>
          <w:lang w:val="fr-FR"/>
        </w:rPr>
        <w:t>Toutefois un témoin de défaut de fonctionnement est obligatoire s’il est prescrit par le Règl</w:t>
      </w:r>
      <w:r>
        <w:rPr>
          <w:lang w:val="fr-FR"/>
        </w:rPr>
        <w:t>ement applicable au dispositif. »</w:t>
      </w:r>
    </w:p>
    <w:p w:rsidR="00C97BC1" w:rsidRPr="00C97BC1" w:rsidRDefault="00C97BC1" w:rsidP="00C97BC1">
      <w:pPr>
        <w:pStyle w:val="SingleTxtG"/>
        <w:keepNext/>
        <w:keepLines/>
      </w:pPr>
      <w:r w:rsidRPr="00C97BC1">
        <w:rPr>
          <w:i/>
          <w:iCs/>
          <w:lang w:val="fr-FR"/>
        </w:rPr>
        <w:t>Paragraphe 6.10.8</w:t>
      </w:r>
      <w:r>
        <w:rPr>
          <w:lang w:val="fr-FR"/>
        </w:rPr>
        <w:t>, lire :</w:t>
      </w:r>
    </w:p>
    <w:p w:rsidR="00C97BC1" w:rsidRPr="00C97BC1" w:rsidRDefault="00C97BC1" w:rsidP="00C97BC1">
      <w:pPr>
        <w:pStyle w:val="SingleTxtG"/>
        <w:ind w:left="2268" w:hanging="1134"/>
        <w:rPr>
          <w:iCs/>
        </w:rPr>
      </w:pPr>
      <w:r>
        <w:rPr>
          <w:lang w:val="fr-FR"/>
        </w:rPr>
        <w:t>« </w:t>
      </w:r>
      <w:r w:rsidRPr="00C97BC1">
        <w:rPr>
          <w:lang w:val="fr-FR"/>
        </w:rPr>
        <w:t xml:space="preserve">6.10.8 </w:t>
      </w:r>
      <w:r w:rsidRPr="00C97BC1">
        <w:rPr>
          <w:lang w:val="fr-FR"/>
        </w:rPr>
        <w:tab/>
        <w:t>Témoin</w:t>
      </w:r>
    </w:p>
    <w:p w:rsidR="00C97BC1" w:rsidRPr="00C97BC1" w:rsidRDefault="00C97BC1" w:rsidP="00C97BC1">
      <w:pPr>
        <w:pStyle w:val="SingleTxtG"/>
        <w:ind w:left="2268"/>
      </w:pPr>
      <w:r w:rsidRPr="00C97BC1">
        <w:rPr>
          <w:lang w:val="fr-FR"/>
        </w:rPr>
        <w:t>Témoin d’enclenchement obligatoire. Il doit être confondu avec celui des feux de position avant.</w:t>
      </w:r>
    </w:p>
    <w:p w:rsidR="00C97BC1" w:rsidRPr="00C97BC1" w:rsidRDefault="00C97BC1" w:rsidP="00C97BC1">
      <w:pPr>
        <w:pStyle w:val="SingleTxtG"/>
        <w:ind w:left="2268"/>
      </w:pPr>
      <w:r w:rsidRPr="00C97BC1">
        <w:rPr>
          <w:lang w:val="fr-FR"/>
        </w:rPr>
        <w:t>Toutefois un témoin de défaut de fonctionnement est obligatoire s’il est prescrit par le Règl</w:t>
      </w:r>
      <w:r>
        <w:rPr>
          <w:lang w:val="fr-FR"/>
        </w:rPr>
        <w:t>ement applicable au dispositif. »</w:t>
      </w:r>
    </w:p>
    <w:p w:rsidR="00C97BC1" w:rsidRPr="00C97BC1" w:rsidRDefault="00C97BC1" w:rsidP="00C97BC1">
      <w:pPr>
        <w:pStyle w:val="SingleTxtG"/>
      </w:pPr>
      <w:r w:rsidRPr="00C97BC1">
        <w:rPr>
          <w:i/>
          <w:iCs/>
          <w:lang w:val="fr-FR"/>
        </w:rPr>
        <w:t>Paragraphe</w:t>
      </w:r>
      <w:r>
        <w:rPr>
          <w:i/>
          <w:iCs/>
          <w:lang w:val="fr-FR"/>
        </w:rPr>
        <w:t> 6.19.8, note </w:t>
      </w:r>
      <w:r w:rsidRPr="00C97BC1">
        <w:rPr>
          <w:i/>
          <w:iCs/>
          <w:lang w:val="fr-FR"/>
        </w:rPr>
        <w:t>14</w:t>
      </w:r>
      <w:r w:rsidRPr="00C97BC1">
        <w:rPr>
          <w:lang w:val="fr-FR"/>
        </w:rPr>
        <w:t xml:space="preserve">, supprimer. </w:t>
      </w:r>
    </w:p>
    <w:p w:rsidR="00C97BC1" w:rsidRPr="00C97BC1" w:rsidRDefault="00C97BC1" w:rsidP="00C97BC1">
      <w:pPr>
        <w:pStyle w:val="SingleTxtG"/>
        <w:keepNext/>
        <w:keepLines/>
      </w:pPr>
      <w:r w:rsidRPr="00C97BC1">
        <w:rPr>
          <w:i/>
          <w:iCs/>
          <w:lang w:val="fr-FR"/>
        </w:rPr>
        <w:t>Paragraphe</w:t>
      </w:r>
      <w:r>
        <w:rPr>
          <w:i/>
          <w:iCs/>
          <w:lang w:val="fr-FR"/>
        </w:rPr>
        <w:t> </w:t>
      </w:r>
      <w:r w:rsidRPr="00C97BC1">
        <w:rPr>
          <w:i/>
          <w:iCs/>
          <w:lang w:val="fr-FR"/>
        </w:rPr>
        <w:t>6.19.7.4</w:t>
      </w:r>
      <w:r>
        <w:rPr>
          <w:lang w:val="fr-FR"/>
        </w:rPr>
        <w:t>, modifier comme suit :</w:t>
      </w:r>
    </w:p>
    <w:p w:rsidR="00C97BC1" w:rsidRPr="00C97BC1" w:rsidRDefault="00C97BC1" w:rsidP="00C97BC1">
      <w:pPr>
        <w:pStyle w:val="SingleTxtG"/>
        <w:ind w:left="2268" w:hanging="1134"/>
      </w:pPr>
      <w:r>
        <w:rPr>
          <w:lang w:val="fr-FR"/>
        </w:rPr>
        <w:t>« </w:t>
      </w:r>
      <w:r w:rsidRPr="00C97BC1">
        <w:rPr>
          <w:lang w:val="fr-FR"/>
        </w:rPr>
        <w:t>6.19.7.4</w:t>
      </w:r>
      <w:r w:rsidRPr="00C97BC1">
        <w:rPr>
          <w:lang w:val="fr-FR"/>
        </w:rPr>
        <w:tab/>
        <w:t>Les feux mentionnés au paragraphe 5.11 peuvent s’allumer lorsque les feux de c</w:t>
      </w:r>
      <w:r>
        <w:rPr>
          <w:lang w:val="fr-FR"/>
        </w:rPr>
        <w:t>irculation diurne sont allumés. »</w:t>
      </w:r>
    </w:p>
    <w:p w:rsidR="00C97BC1" w:rsidRPr="00C97BC1" w:rsidRDefault="00C97BC1" w:rsidP="00C97BC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97BC1" w:rsidRPr="00C97BC1" w:rsidSect="00C97BC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3FF" w:rsidRDefault="00CF43FF" w:rsidP="00F95C08">
      <w:pPr>
        <w:spacing w:line="240" w:lineRule="auto"/>
      </w:pPr>
    </w:p>
  </w:endnote>
  <w:endnote w:type="continuationSeparator" w:id="0">
    <w:p w:rsidR="00CF43FF" w:rsidRPr="00AC3823" w:rsidRDefault="00CF43FF" w:rsidP="00AC3823">
      <w:pPr>
        <w:pStyle w:val="Footer"/>
      </w:pPr>
    </w:p>
  </w:endnote>
  <w:endnote w:type="continuationNotice" w:id="1">
    <w:p w:rsidR="00CF43FF" w:rsidRDefault="00CF43F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BC1" w:rsidRPr="00C97BC1" w:rsidRDefault="00C97BC1" w:rsidP="00C97BC1">
    <w:pPr>
      <w:pStyle w:val="Footer"/>
      <w:tabs>
        <w:tab w:val="right" w:pos="9638"/>
      </w:tabs>
    </w:pPr>
    <w:r w:rsidRPr="00C97BC1">
      <w:rPr>
        <w:b/>
        <w:sz w:val="18"/>
      </w:rPr>
      <w:fldChar w:fldCharType="begin"/>
    </w:r>
    <w:r w:rsidRPr="00C97BC1">
      <w:rPr>
        <w:b/>
        <w:sz w:val="18"/>
      </w:rPr>
      <w:instrText xml:space="preserve"> PAGE  \* MERGEFORMAT </w:instrText>
    </w:r>
    <w:r w:rsidRPr="00C97BC1">
      <w:rPr>
        <w:b/>
        <w:sz w:val="18"/>
      </w:rPr>
      <w:fldChar w:fldCharType="separate"/>
    </w:r>
    <w:r w:rsidR="00561168">
      <w:rPr>
        <w:b/>
        <w:noProof/>
        <w:sz w:val="18"/>
      </w:rPr>
      <w:t>2</w:t>
    </w:r>
    <w:r w:rsidRPr="00C97BC1">
      <w:rPr>
        <w:b/>
        <w:sz w:val="18"/>
      </w:rPr>
      <w:fldChar w:fldCharType="end"/>
    </w:r>
    <w:r>
      <w:rPr>
        <w:b/>
        <w:sz w:val="18"/>
      </w:rPr>
      <w:tab/>
    </w:r>
    <w:r>
      <w:t>GE.17-14245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BC1" w:rsidRPr="00C97BC1" w:rsidRDefault="00C97BC1" w:rsidP="00C97BC1">
    <w:pPr>
      <w:pStyle w:val="Footer"/>
      <w:tabs>
        <w:tab w:val="right" w:pos="9638"/>
      </w:tabs>
      <w:rPr>
        <w:b/>
        <w:sz w:val="18"/>
      </w:rPr>
    </w:pPr>
    <w:r>
      <w:t>GE.17-14245</w:t>
    </w:r>
    <w:r>
      <w:tab/>
    </w:r>
    <w:r w:rsidRPr="00C97BC1">
      <w:rPr>
        <w:b/>
        <w:sz w:val="18"/>
      </w:rPr>
      <w:fldChar w:fldCharType="begin"/>
    </w:r>
    <w:r w:rsidRPr="00C97BC1">
      <w:rPr>
        <w:b/>
        <w:sz w:val="18"/>
      </w:rPr>
      <w:instrText xml:space="preserve"> PAGE  \* MERGEFORMAT </w:instrText>
    </w:r>
    <w:r w:rsidRPr="00C97BC1">
      <w:rPr>
        <w:b/>
        <w:sz w:val="18"/>
      </w:rPr>
      <w:fldChar w:fldCharType="separate"/>
    </w:r>
    <w:r w:rsidR="006C3782">
      <w:rPr>
        <w:b/>
        <w:noProof/>
        <w:sz w:val="18"/>
      </w:rPr>
      <w:t>2</w:t>
    </w:r>
    <w:r w:rsidRPr="00C97BC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C97BC1" w:rsidRDefault="00C97BC1" w:rsidP="00C97BC1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17-14245  (F)    210917    260917</w:t>
    </w:r>
    <w:r>
      <w:rPr>
        <w:sz w:val="20"/>
      </w:rPr>
      <w:br/>
    </w:r>
    <w:r w:rsidRPr="00C97BC1">
      <w:rPr>
        <w:rFonts w:ascii="C39T30Lfz" w:hAnsi="C39T30Lfz"/>
        <w:sz w:val="56"/>
      </w:rPr>
      <w:t></w:t>
    </w:r>
    <w:r w:rsidRPr="00C97BC1">
      <w:rPr>
        <w:rFonts w:ascii="C39T30Lfz" w:hAnsi="C39T30Lfz"/>
        <w:sz w:val="56"/>
      </w:rPr>
      <w:t></w:t>
    </w:r>
    <w:r w:rsidRPr="00C97BC1">
      <w:rPr>
        <w:rFonts w:ascii="C39T30Lfz" w:hAnsi="C39T30Lfz"/>
        <w:sz w:val="56"/>
      </w:rPr>
      <w:t></w:t>
    </w:r>
    <w:r w:rsidRPr="00C97BC1">
      <w:rPr>
        <w:rFonts w:ascii="C39T30Lfz" w:hAnsi="C39T30Lfz"/>
        <w:sz w:val="56"/>
      </w:rPr>
      <w:t></w:t>
    </w:r>
    <w:r w:rsidRPr="00C97BC1">
      <w:rPr>
        <w:rFonts w:ascii="C39T30Lfz" w:hAnsi="C39T30Lfz"/>
        <w:sz w:val="56"/>
      </w:rPr>
      <w:t></w:t>
    </w:r>
    <w:r w:rsidRPr="00C97BC1">
      <w:rPr>
        <w:rFonts w:ascii="C39T30Lfz" w:hAnsi="C39T30Lfz"/>
        <w:sz w:val="56"/>
      </w:rPr>
      <w:t></w:t>
    </w:r>
    <w:r w:rsidRPr="00C97BC1">
      <w:rPr>
        <w:rFonts w:ascii="C39T30Lfz" w:hAnsi="C39T30Lfz"/>
        <w:sz w:val="56"/>
      </w:rPr>
      <w:t></w:t>
    </w:r>
    <w:r w:rsidRPr="00C97BC1">
      <w:rPr>
        <w:rFonts w:ascii="C39T30Lfz" w:hAnsi="C39T30Lfz"/>
        <w:sz w:val="56"/>
      </w:rPr>
      <w:t></w:t>
    </w:r>
    <w:r w:rsidRPr="00C97BC1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7/11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11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3FF" w:rsidRPr="00AC3823" w:rsidRDefault="00CF43F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F43FF" w:rsidRPr="00AC3823" w:rsidRDefault="00CF43F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F43FF" w:rsidRPr="00AC3823" w:rsidRDefault="00CF43FF">
      <w:pPr>
        <w:spacing w:line="240" w:lineRule="auto"/>
        <w:rPr>
          <w:sz w:val="2"/>
          <w:szCs w:val="2"/>
        </w:rPr>
      </w:pPr>
    </w:p>
  </w:footnote>
  <w:footnote w:id="2">
    <w:p w:rsidR="00C97BC1" w:rsidRPr="00706101" w:rsidRDefault="00C97BC1" w:rsidP="00C97BC1">
      <w:pPr>
        <w:pStyle w:val="FootnoteText"/>
      </w:pPr>
      <w:r>
        <w:rPr>
          <w:lang w:val="fr-FR"/>
        </w:rPr>
        <w:tab/>
        <w:t>*</w:t>
      </w:r>
      <w:r>
        <w:rPr>
          <w:lang w:val="fr-FR"/>
        </w:rPr>
        <w:tab/>
        <w:t>Conformément au programme de travail du Comité des transports intérieurs pour la période 2016</w:t>
      </w:r>
      <w:r>
        <w:rPr>
          <w:lang w:val="fr-FR"/>
        </w:rPr>
        <w:noBreakHyphen/>
        <w:t xml:space="preserve">2017 (ECE/TRANS/254, par. 159, et ECE/TRANS/2016/28/Add.1, module 3.1), le Forum mondial a pour mission d’élaborer, d’harmoniser et de mettre à jour les Règlements en vue d’améliorer les caractéristiques fonctionnelles des véhicules. Le présent document est soumis en vertu de ce mandat.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BC1" w:rsidRPr="00C97BC1" w:rsidRDefault="0056116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BC1" w:rsidRPr="00C97BC1" w:rsidRDefault="00561168" w:rsidP="00C97BC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FF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4E50"/>
    <w:rsid w:val="00446FE5"/>
    <w:rsid w:val="00452396"/>
    <w:rsid w:val="004837D8"/>
    <w:rsid w:val="004E468C"/>
    <w:rsid w:val="005018E0"/>
    <w:rsid w:val="005505B7"/>
    <w:rsid w:val="00561168"/>
    <w:rsid w:val="00573BE5"/>
    <w:rsid w:val="00586ED3"/>
    <w:rsid w:val="00596AA9"/>
    <w:rsid w:val="006C3782"/>
    <w:rsid w:val="0071601D"/>
    <w:rsid w:val="007A62E6"/>
    <w:rsid w:val="007F20FA"/>
    <w:rsid w:val="0080684C"/>
    <w:rsid w:val="00871C75"/>
    <w:rsid w:val="008776DC"/>
    <w:rsid w:val="008C4E17"/>
    <w:rsid w:val="009446C0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97039"/>
    <w:rsid w:val="00C97BC1"/>
    <w:rsid w:val="00CF43FF"/>
    <w:rsid w:val="00CF57DA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53A4E81-2884-406A-AB84-544AEE5C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ECE/TRANS/WP.29/2017/110</vt:lpstr>
      <vt:lpstr>ECE/TRANS/WP.29/2017/110</vt:lpstr>
    </vt:vector>
  </TitlesOfParts>
  <Company>DCM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ECE/TRANS/WP.29/2017/110</dc:title>
  <dc:subject/>
  <dc:creator>Edith BOURION</dc:creator>
  <cp:keywords/>
  <cp:lastModifiedBy>Marie-Claude Collet</cp:lastModifiedBy>
  <cp:revision>3</cp:revision>
  <cp:lastPrinted>2017-09-26T12:40:00Z</cp:lastPrinted>
  <dcterms:created xsi:type="dcterms:W3CDTF">2017-09-26T12:40:00Z</dcterms:created>
  <dcterms:modified xsi:type="dcterms:W3CDTF">2017-09-26T12:40:00Z</dcterms:modified>
</cp:coreProperties>
</file>