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20B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20BB8" w:rsidP="00120BB8">
            <w:pPr>
              <w:jc w:val="right"/>
            </w:pPr>
            <w:r w:rsidRPr="00120BB8">
              <w:rPr>
                <w:sz w:val="40"/>
              </w:rPr>
              <w:t>ECE</w:t>
            </w:r>
            <w:r>
              <w:t>/TRANS/WP.29/AC.3/47</w:t>
            </w:r>
          </w:p>
        </w:tc>
      </w:tr>
      <w:tr w:rsidR="002D5AAC" w:rsidRPr="00120BB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20B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20BB8" w:rsidRDefault="00120BB8" w:rsidP="00120B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120BB8" w:rsidRDefault="00120BB8" w:rsidP="00120B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20BB8" w:rsidRPr="008D53B6" w:rsidRDefault="00120BB8" w:rsidP="00120B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2135B" w:rsidRPr="00AB3605" w:rsidRDefault="00F2135B" w:rsidP="00AB3605">
      <w:pPr>
        <w:spacing w:before="120"/>
        <w:rPr>
          <w:sz w:val="28"/>
          <w:szCs w:val="28"/>
        </w:rPr>
      </w:pPr>
      <w:r w:rsidRPr="00AB3605">
        <w:rPr>
          <w:sz w:val="28"/>
          <w:szCs w:val="28"/>
        </w:rPr>
        <w:t>Комитет по внутреннему транспорту</w:t>
      </w:r>
    </w:p>
    <w:p w:rsidR="00F2135B" w:rsidRPr="00AB3605" w:rsidRDefault="00F2135B" w:rsidP="00AB3605">
      <w:pPr>
        <w:spacing w:before="120"/>
        <w:rPr>
          <w:b/>
          <w:bCs/>
          <w:sz w:val="24"/>
          <w:szCs w:val="24"/>
        </w:rPr>
      </w:pPr>
      <w:r w:rsidRPr="00AB360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AB3605" w:rsidRPr="00AB3605">
        <w:rPr>
          <w:b/>
          <w:bCs/>
          <w:sz w:val="24"/>
          <w:szCs w:val="24"/>
        </w:rPr>
        <w:br/>
      </w:r>
      <w:r w:rsidRPr="00AB3605">
        <w:rPr>
          <w:b/>
          <w:bCs/>
          <w:sz w:val="24"/>
          <w:szCs w:val="24"/>
        </w:rPr>
        <w:t>в области транспортных средств</w:t>
      </w:r>
    </w:p>
    <w:p w:rsidR="00F2135B" w:rsidRPr="00AB3605" w:rsidRDefault="00F2135B" w:rsidP="00AB3605">
      <w:pPr>
        <w:spacing w:before="120"/>
        <w:rPr>
          <w:b/>
          <w:bCs/>
        </w:rPr>
      </w:pPr>
      <w:r w:rsidRPr="00AB3605">
        <w:rPr>
          <w:b/>
          <w:bCs/>
        </w:rPr>
        <w:t>172-я сессия</w:t>
      </w:r>
    </w:p>
    <w:p w:rsidR="00F2135B" w:rsidRPr="00AB3605" w:rsidRDefault="00AE5567" w:rsidP="00AB3605">
      <w:r>
        <w:t>Женева, 20</w:t>
      </w:r>
      <w:r>
        <w:rPr>
          <w:lang w:val="en-US"/>
        </w:rPr>
        <w:t>–</w:t>
      </w:r>
      <w:r w:rsidR="00F2135B" w:rsidRPr="00AB3605">
        <w:t>23 июня 2017 года</w:t>
      </w:r>
    </w:p>
    <w:p w:rsidR="00F2135B" w:rsidRPr="00AB3605" w:rsidRDefault="00F2135B" w:rsidP="00AB3605">
      <w:r w:rsidRPr="00AB3605">
        <w:t>Пункт 19.2 предварительной повестки дня</w:t>
      </w:r>
    </w:p>
    <w:p w:rsidR="00F2135B" w:rsidRPr="00AB3605" w:rsidRDefault="00F2135B" w:rsidP="00AB3605">
      <w:pPr>
        <w:rPr>
          <w:b/>
          <w:bCs/>
        </w:rPr>
      </w:pPr>
      <w:r w:rsidRPr="00AB3605">
        <w:rPr>
          <w:b/>
          <w:bCs/>
        </w:rPr>
        <w:t xml:space="preserve">Ход разработки новых глобальных технических </w:t>
      </w:r>
      <w:r w:rsidR="00AB3605" w:rsidRPr="00AB3605">
        <w:rPr>
          <w:b/>
          <w:bCs/>
        </w:rPr>
        <w:br/>
      </w:r>
      <w:r w:rsidRPr="00AB3605">
        <w:rPr>
          <w:b/>
          <w:bCs/>
        </w:rPr>
        <w:t xml:space="preserve">правил и поправок к введенным глобальным </w:t>
      </w:r>
      <w:r w:rsidR="00AB3605" w:rsidRPr="00AB3605">
        <w:rPr>
          <w:b/>
          <w:bCs/>
        </w:rPr>
        <w:br/>
      </w:r>
      <w:r w:rsidRPr="00AB3605">
        <w:rPr>
          <w:b/>
          <w:bCs/>
        </w:rPr>
        <w:t xml:space="preserve">техническим правилам: Глобальные технические </w:t>
      </w:r>
      <w:r w:rsidR="00AB3605" w:rsidRPr="00AB3605">
        <w:rPr>
          <w:b/>
          <w:bCs/>
        </w:rPr>
        <w:br/>
      </w:r>
      <w:r w:rsidRPr="00AB3605">
        <w:rPr>
          <w:b/>
          <w:bCs/>
        </w:rPr>
        <w:t>правила № 3 (торможение мотоциклов)</w:t>
      </w:r>
    </w:p>
    <w:p w:rsidR="00F2135B" w:rsidRPr="00F2135B" w:rsidRDefault="00F2135B" w:rsidP="00AB3605">
      <w:pPr>
        <w:pStyle w:val="HChGR"/>
      </w:pPr>
      <w:r w:rsidRPr="00F2135B">
        <w:tab/>
      </w:r>
      <w:r w:rsidRPr="00F2135B">
        <w:tab/>
        <w:t>Разрешение на разработку поправки 3 к Глобальным техническим правилам № 3 (торможение мотоциклов)</w:t>
      </w:r>
    </w:p>
    <w:p w:rsidR="00F2135B" w:rsidRPr="00F2135B" w:rsidRDefault="00F2135B" w:rsidP="00AB3605">
      <w:pPr>
        <w:pStyle w:val="H1GR"/>
      </w:pPr>
      <w:r w:rsidRPr="00F2135B">
        <w:tab/>
      </w:r>
      <w:r w:rsidRPr="00F2135B">
        <w:tab/>
        <w:t>Передано представителем Италии</w:t>
      </w:r>
      <w:r w:rsidRPr="007F4433">
        <w:rPr>
          <w:b w:val="0"/>
          <w:bCs/>
          <w:sz w:val="20"/>
        </w:rPr>
        <w:footnoteReference w:customMarkFollows="1" w:id="1"/>
        <w:t>*</w:t>
      </w:r>
    </w:p>
    <w:p w:rsidR="00F2135B" w:rsidRPr="00F2135B" w:rsidRDefault="00AB3605" w:rsidP="007F4433">
      <w:pPr>
        <w:pStyle w:val="SingleTxtGR"/>
      </w:pPr>
      <w:r>
        <w:rPr>
          <w:lang w:val="en-US"/>
        </w:rPr>
        <w:tab/>
      </w:r>
      <w:r w:rsidR="00F2135B" w:rsidRPr="00F2135B">
        <w:t>Воспроизведенный ниже текст (в основу которого положен документ ECE/TRANS/WP.29/2017/51) был передан представителем Италии с целью ко</w:t>
      </w:r>
      <w:r w:rsidR="00F2135B" w:rsidRPr="00F2135B">
        <w:t>р</w:t>
      </w:r>
      <w:r w:rsidR="00F2135B" w:rsidRPr="00F2135B">
        <w:t>ректировки формулировок Глобальных технических правил (ГТП) № 3 с учетом технического прогресса за счет положений, которые касаются, среди прочего: обеспечения устойчивости антиблокировочных тормозных систем (АБС) к во</w:t>
      </w:r>
      <w:r w:rsidR="00F2135B" w:rsidRPr="00F2135B">
        <w:t>з</w:t>
      </w:r>
      <w:r w:rsidR="00F2135B" w:rsidRPr="00F2135B">
        <w:t>действию электромагнитных помех; включения требований, предъявляемых к эффективности АБС т</w:t>
      </w:r>
      <w:r w:rsidR="007F4433">
        <w:t>ранспортных средств категории 3</w:t>
      </w:r>
      <w:r w:rsidR="007F4433" w:rsidRPr="007F4433">
        <w:t>-</w:t>
      </w:r>
      <w:r w:rsidR="00F2135B" w:rsidRPr="00F2135B">
        <w:t>5 (трехколесные тран</w:t>
      </w:r>
      <w:r w:rsidR="00F2135B" w:rsidRPr="00F2135B">
        <w:t>с</w:t>
      </w:r>
      <w:r w:rsidR="00F2135B" w:rsidRPr="00F2135B">
        <w:t>портные средства); обеспечения единообразных требований, предъявляемых к такому оборудованию, как электронная система сигнализации торможения и о</w:t>
      </w:r>
      <w:r w:rsidR="00F2135B" w:rsidRPr="00F2135B">
        <w:t>р</w:t>
      </w:r>
      <w:r w:rsidR="00F2135B" w:rsidRPr="00F2135B">
        <w:t>ган управления для дезактивации АБС, если таковой предусмотрен. Настоящая поправка направлена на согласование ГТП с недавними поправками, внесенн</w:t>
      </w:r>
      <w:r w:rsidR="00F2135B" w:rsidRPr="00F2135B">
        <w:t>ы</w:t>
      </w:r>
      <w:r w:rsidR="00F2135B" w:rsidRPr="00F2135B">
        <w:t>ми в Правила № 78 ООН. Этот текст был утвержден Всемирным форумом для согласования правил в области транспортных средств (WP.29) и Исполнител</w:t>
      </w:r>
      <w:r w:rsidR="00F2135B" w:rsidRPr="00F2135B">
        <w:t>ь</w:t>
      </w:r>
      <w:r w:rsidR="00F2135B" w:rsidRPr="00F2135B">
        <w:t>ным комитетом Соглашения 1998 года (АС.3) в марте 2017 года. Это разреш</w:t>
      </w:r>
      <w:r w:rsidR="00F2135B" w:rsidRPr="00F2135B">
        <w:t>е</w:t>
      </w:r>
      <w:r w:rsidR="00F2135B" w:rsidRPr="00F2135B">
        <w:t>ние передается Рабочей группе по вопросам торможения и ходовой части (GRRF). В соответствии с положениями пунктов 6.3.4.2, 6.3.7 и 6.4 Соглашения 1998 года настоящий документ прилагается к любым новым и/или измененным глобальным техническим правилам после их принятия.</w:t>
      </w:r>
    </w:p>
    <w:p w:rsidR="00F2135B" w:rsidRPr="00F2135B" w:rsidRDefault="00F2135B" w:rsidP="00253DF4">
      <w:pPr>
        <w:pStyle w:val="HChGR"/>
      </w:pPr>
      <w:r w:rsidRPr="00F2135B">
        <w:br w:type="page"/>
      </w:r>
      <w:r w:rsidR="00253DF4" w:rsidRPr="00253DF4">
        <w:lastRenderedPageBreak/>
        <w:tab/>
      </w:r>
      <w:r w:rsidR="00253DF4" w:rsidRPr="00253DF4">
        <w:tab/>
      </w:r>
      <w:r w:rsidRPr="00F2135B">
        <w:t>Разрешение на разработку поправки 3 к Глобальным техническим правилам № 3 (торможение мотоциклов)</w:t>
      </w:r>
    </w:p>
    <w:p w:rsidR="00F2135B" w:rsidRPr="00F2135B" w:rsidRDefault="00F2135B" w:rsidP="00253DF4">
      <w:pPr>
        <w:pStyle w:val="HChGR"/>
      </w:pPr>
      <w:r w:rsidRPr="00F2135B">
        <w:tab/>
        <w:t>I.</w:t>
      </w:r>
      <w:r w:rsidRPr="00F2135B">
        <w:tab/>
        <w:t>Цель</w:t>
      </w:r>
    </w:p>
    <w:p w:rsidR="00F2135B" w:rsidRPr="00F2135B" w:rsidRDefault="00F2135B" w:rsidP="00F2135B">
      <w:pPr>
        <w:pStyle w:val="SingleTxtGR"/>
      </w:pPr>
      <w:r w:rsidRPr="00F2135B">
        <w:t>1.</w:t>
      </w:r>
      <w:r w:rsidRPr="00F2135B">
        <w:tab/>
      </w:r>
      <w:proofErr w:type="gramStart"/>
      <w:r w:rsidRPr="00F2135B">
        <w:t>Цель настоящего предложения состоит в разработке (в рамках Соглаш</w:t>
      </w:r>
      <w:r w:rsidRPr="00F2135B">
        <w:t>е</w:t>
      </w:r>
      <w:r w:rsidRPr="00F2135B">
        <w:t>ния 1998 года) поправки к Глобальным техническим правилам (ГТП) № 3, к</w:t>
      </w:r>
      <w:r w:rsidRPr="00F2135B">
        <w:t>а</w:t>
      </w:r>
      <w:r w:rsidRPr="00F2135B">
        <w:t>сающимся торможения мотоциклов, для корректировки текста этих ГТП с уч</w:t>
      </w:r>
      <w:r w:rsidRPr="00F2135B">
        <w:t>е</w:t>
      </w:r>
      <w:r w:rsidRPr="00F2135B">
        <w:t>том технического прогресса за счет положений, которые касаются: устойчив</w:t>
      </w:r>
      <w:r w:rsidRPr="00F2135B">
        <w:t>о</w:t>
      </w:r>
      <w:r w:rsidRPr="00F2135B">
        <w:t>сти систем АБС к воздействию электромагнитных помех; включения требов</w:t>
      </w:r>
      <w:r w:rsidRPr="00F2135B">
        <w:t>а</w:t>
      </w:r>
      <w:r w:rsidRPr="00F2135B">
        <w:t>ний, предъявляемых к эффективности АБС транспортных средств категории 3-5 (трехколесные транспортные средства);</w:t>
      </w:r>
      <w:proofErr w:type="gramEnd"/>
      <w:r w:rsidRPr="00F2135B">
        <w:t xml:space="preserve"> обеспечения единообразных требов</w:t>
      </w:r>
      <w:r w:rsidRPr="00F2135B">
        <w:t>а</w:t>
      </w:r>
      <w:r w:rsidRPr="00F2135B">
        <w:t>ний, предъявляемых к такому оборудованию, как электронная система сигнал</w:t>
      </w:r>
      <w:r w:rsidRPr="00F2135B">
        <w:t>и</w:t>
      </w:r>
      <w:r w:rsidRPr="00F2135B">
        <w:t>зации торможения и орган управления для дезактивации АБС, если таковой предусмотрен. Настоящая поправка направлена на согласование ГТП с неда</w:t>
      </w:r>
      <w:r w:rsidRPr="00F2135B">
        <w:t>в</w:t>
      </w:r>
      <w:r w:rsidRPr="00F2135B">
        <w:t>ними поправками, внесенными в Правила № 78 ООН. Этот текст передается на рассмотрение Всемирному форуму для согласования правил в области тран</w:t>
      </w:r>
      <w:r w:rsidRPr="00F2135B">
        <w:t>с</w:t>
      </w:r>
      <w:r w:rsidRPr="00F2135B">
        <w:t>портных средств (WP.29) и Исполнительному комитету Соглашения 1998 года (АС.3).</w:t>
      </w:r>
    </w:p>
    <w:p w:rsidR="00F2135B" w:rsidRPr="00F2135B" w:rsidRDefault="00F2135B" w:rsidP="00253DF4">
      <w:pPr>
        <w:pStyle w:val="HChGR"/>
      </w:pPr>
      <w:r w:rsidRPr="00F2135B">
        <w:tab/>
        <w:t>II.</w:t>
      </w:r>
      <w:r w:rsidRPr="00F2135B">
        <w:tab/>
        <w:t>Справочная информация</w:t>
      </w:r>
    </w:p>
    <w:p w:rsidR="00F2135B" w:rsidRPr="00F2135B" w:rsidRDefault="00F2135B" w:rsidP="00F2135B">
      <w:pPr>
        <w:pStyle w:val="SingleTxtGR"/>
      </w:pPr>
      <w:r w:rsidRPr="00F2135B">
        <w:t>2.</w:t>
      </w:r>
      <w:r w:rsidRPr="00F2135B">
        <w:tab/>
        <w:t>Одной из главных целей ГТП № 3 является снижение уровня травматизма и смертности в результате дорожно-транспортных происшествий с участием мотоциклов путем улучшения тормозных характеристик мотоциклов в качестве одного из способов повышения безопасности дорожного движения.</w:t>
      </w:r>
    </w:p>
    <w:p w:rsidR="00F2135B" w:rsidRPr="00F2135B" w:rsidRDefault="00F2135B" w:rsidP="007F4433">
      <w:pPr>
        <w:pStyle w:val="SingleTxtGR"/>
      </w:pPr>
      <w:r w:rsidRPr="00F2135B">
        <w:t xml:space="preserve">3. </w:t>
      </w:r>
      <w:r w:rsidRPr="00F2135B">
        <w:tab/>
        <w:t>Первоочередная цель настоящего предложения состоит в согласовании ГТП с положениями дополнения 3 к поправкам серии 03 к Правилам № 78 ООН, утвержденными на 169-й сессии WP.29 в июне месяце (ECE/TRANS/ WP.29/2016/56 с поправками, содержащимися в документе WP.29-169-03). К</w:t>
      </w:r>
      <w:r w:rsidR="007F4433">
        <w:rPr>
          <w:lang w:val="en-US"/>
        </w:rPr>
        <w:t> </w:t>
      </w:r>
      <w:r w:rsidRPr="00F2135B">
        <w:t xml:space="preserve">числу основных технических вопросов, включая их обоснование для целей обновления Глобальных технических правил, относятся: </w:t>
      </w:r>
    </w:p>
    <w:p w:rsidR="00F2135B" w:rsidRPr="00F2135B" w:rsidRDefault="00253DF4" w:rsidP="007F4433">
      <w:pPr>
        <w:pStyle w:val="SingleTxtGR"/>
      </w:pPr>
      <w:r w:rsidRPr="007F4433">
        <w:tab/>
      </w:r>
      <w:r w:rsidR="00F2135B" w:rsidRPr="00F2135B">
        <w:t>a)</w:t>
      </w:r>
      <w:r w:rsidR="00F2135B" w:rsidRPr="00F2135B">
        <w:tab/>
        <w:t>включение требований в отношении электромагнитной совмест</w:t>
      </w:r>
      <w:r w:rsidR="00F2135B" w:rsidRPr="00F2135B">
        <w:t>и</w:t>
      </w:r>
      <w:r w:rsidR="00F2135B" w:rsidRPr="00F2135B">
        <w:t xml:space="preserve">мости (ЭМС) системы АБС. Ввиду увеличения числа и повышения сложности электронных тормозных устройств </w:t>
      </w:r>
      <w:proofErr w:type="gramStart"/>
      <w:r w:rsidR="00F2135B" w:rsidRPr="00F2135B">
        <w:t>важное значение</w:t>
      </w:r>
      <w:proofErr w:type="gramEnd"/>
      <w:r w:rsidR="00F2135B" w:rsidRPr="00F2135B">
        <w:t xml:space="preserve"> для обеспечения того, чт</w:t>
      </w:r>
      <w:r w:rsidR="00F2135B" w:rsidRPr="00F2135B">
        <w:t>о</w:t>
      </w:r>
      <w:r w:rsidR="00F2135B" w:rsidRPr="00F2135B">
        <w:t>бы электромагнитные возмущения не сказывались на эффективности тормож</w:t>
      </w:r>
      <w:r w:rsidR="00F2135B" w:rsidRPr="00F2135B">
        <w:t>е</w:t>
      </w:r>
      <w:r w:rsidR="00F2135B" w:rsidRPr="00F2135B">
        <w:t>ния, приобретает проверка на предмет устойчивости к воздействию электр</w:t>
      </w:r>
      <w:r w:rsidR="00F2135B" w:rsidRPr="00F2135B">
        <w:t>о</w:t>
      </w:r>
      <w:r w:rsidR="00F2135B" w:rsidRPr="00F2135B">
        <w:t>магнитных помех. Соответствующие положения фигурируют в приложении 4 к докладу о работе восьмидесятой сессии Рабочей группы по вопросам тормож</w:t>
      </w:r>
      <w:r w:rsidR="00F2135B" w:rsidRPr="00F2135B">
        <w:t>е</w:t>
      </w:r>
      <w:r w:rsidR="00F2135B" w:rsidRPr="00F2135B">
        <w:t>ния и ходовой части (GRRF). При переносе этих положений в Соглашение 1998</w:t>
      </w:r>
      <w:r w:rsidR="007F4433">
        <w:rPr>
          <w:lang w:val="en-US"/>
        </w:rPr>
        <w:t> </w:t>
      </w:r>
      <w:r w:rsidR="00F2135B" w:rsidRPr="00F2135B">
        <w:t xml:space="preserve">года должна быть учтена специфика </w:t>
      </w:r>
      <w:proofErr w:type="spellStart"/>
      <w:r w:rsidR="00F2135B" w:rsidRPr="00F2135B">
        <w:t>самосертификации</w:t>
      </w:r>
      <w:proofErr w:type="spellEnd"/>
      <w:r w:rsidR="00F2135B" w:rsidRPr="00F2135B">
        <w:t xml:space="preserve">; </w:t>
      </w:r>
    </w:p>
    <w:p w:rsidR="00F2135B" w:rsidRPr="00F2135B" w:rsidRDefault="00253DF4" w:rsidP="00F2135B">
      <w:pPr>
        <w:pStyle w:val="SingleTxtGR"/>
      </w:pPr>
      <w:r w:rsidRPr="007F4433">
        <w:tab/>
      </w:r>
      <w:r w:rsidR="00F2135B" w:rsidRPr="00F2135B">
        <w:t>b)</w:t>
      </w:r>
      <w:r w:rsidR="00F2135B" w:rsidRPr="00F2135B">
        <w:tab/>
        <w:t xml:space="preserve">применение к </w:t>
      </w:r>
      <w:proofErr w:type="spellStart"/>
      <w:r w:rsidR="00F2135B" w:rsidRPr="00F2135B">
        <w:t>трициклам</w:t>
      </w:r>
      <w:proofErr w:type="spellEnd"/>
      <w:r w:rsidR="00F2135B" w:rsidRPr="00F2135B">
        <w:t xml:space="preserve"> (транспортные средства категории 3-5)</w:t>
      </w:r>
      <w:r w:rsidR="00F2135B" w:rsidRPr="007F4433">
        <w:rPr>
          <w:rStyle w:val="FootnoteReference"/>
        </w:rPr>
        <w:footnoteReference w:id="2"/>
      </w:r>
      <w:r w:rsidR="00F2135B" w:rsidRPr="00F2135B">
        <w:t xml:space="preserve"> действующих требований, предъявляемых на основании документа ECE/TRANS/WP.29/GRRF/2015/42 к антиблокировочной тормозной системе (АБС) механических двухколесных транспортных средств (МДТС). Если бы т</w:t>
      </w:r>
      <w:r w:rsidR="00F2135B" w:rsidRPr="00F2135B">
        <w:t>а</w:t>
      </w:r>
      <w:r w:rsidR="00F2135B" w:rsidRPr="00F2135B">
        <w:t>кие транспортные средства оснащались системой АБС, то – в отсутствие п</w:t>
      </w:r>
      <w:r w:rsidR="00F2135B" w:rsidRPr="00F2135B">
        <w:t>о</w:t>
      </w:r>
      <w:r w:rsidR="00F2135B" w:rsidRPr="00F2135B">
        <w:t>правки – никаких конкретных требований в отношении эффективности торм</w:t>
      </w:r>
      <w:r w:rsidR="00F2135B" w:rsidRPr="00F2135B">
        <w:t>о</w:t>
      </w:r>
      <w:r w:rsidR="00F2135B" w:rsidRPr="00F2135B">
        <w:t>жения с использованием АБС не предъявлялось бы. Расширение области пр</w:t>
      </w:r>
      <w:r w:rsidR="00F2135B" w:rsidRPr="00F2135B">
        <w:t>и</w:t>
      </w:r>
      <w:r w:rsidR="00F2135B" w:rsidRPr="00F2135B">
        <w:t>менения требований, касающихся АБС, на транспортные средства категорий L</w:t>
      </w:r>
      <w:r w:rsidR="00F2135B" w:rsidRPr="004168A8">
        <w:rPr>
          <w:vertAlign w:val="subscript"/>
        </w:rPr>
        <w:t>6</w:t>
      </w:r>
      <w:r w:rsidR="00F2135B" w:rsidRPr="00F2135B">
        <w:t xml:space="preserve"> </w:t>
      </w:r>
      <w:r w:rsidR="00F2135B" w:rsidRPr="00F2135B">
        <w:lastRenderedPageBreak/>
        <w:t>и L</w:t>
      </w:r>
      <w:r w:rsidR="00F2135B" w:rsidRPr="004168A8">
        <w:rPr>
          <w:vertAlign w:val="subscript"/>
        </w:rPr>
        <w:t>7</w:t>
      </w:r>
      <w:r w:rsidR="00F2135B" w:rsidRPr="007F4433">
        <w:rPr>
          <w:rStyle w:val="FootnoteReference"/>
        </w:rPr>
        <w:footnoteReference w:id="3"/>
      </w:r>
      <w:r w:rsidR="00F2135B" w:rsidRPr="00F2135B">
        <w:t xml:space="preserve"> не должно распространяться на ГТП ввиду отсутствия в (СпР.1) Соглаш</w:t>
      </w:r>
      <w:r w:rsidR="00F2135B" w:rsidRPr="00F2135B">
        <w:t>е</w:t>
      </w:r>
      <w:r w:rsidR="00F2135B" w:rsidRPr="00F2135B">
        <w:t xml:space="preserve">нии 1998 года определений транспортных средств данного типа; </w:t>
      </w:r>
    </w:p>
    <w:p w:rsidR="00F2135B" w:rsidRPr="00F2135B" w:rsidRDefault="00253DF4" w:rsidP="00F2135B">
      <w:pPr>
        <w:pStyle w:val="SingleTxtGR"/>
      </w:pPr>
      <w:r>
        <w:rPr>
          <w:lang w:val="en-US"/>
        </w:rPr>
        <w:tab/>
      </w:r>
      <w:r w:rsidR="00F2135B" w:rsidRPr="00F2135B">
        <w:t>c)</w:t>
      </w:r>
      <w:r w:rsidR="00F2135B" w:rsidRPr="00F2135B">
        <w:tab/>
        <w:t>введение требования об установке на мотоциклах сигнала экстре</w:t>
      </w:r>
      <w:r w:rsidR="00F2135B" w:rsidRPr="00F2135B">
        <w:t>н</w:t>
      </w:r>
      <w:r w:rsidR="00F2135B" w:rsidRPr="00F2135B">
        <w:t>ного торможения – на основании ECE/TRANS/WP.29/2016/56 с поправками, с</w:t>
      </w:r>
      <w:r w:rsidR="00F2135B" w:rsidRPr="00F2135B">
        <w:t>о</w:t>
      </w:r>
      <w:r w:rsidR="00F2135B" w:rsidRPr="00F2135B">
        <w:t>держащимися в документе WP.29-169-03. Соответствующая поправка к Прав</w:t>
      </w:r>
      <w:r w:rsidR="00F2135B" w:rsidRPr="00F2135B">
        <w:t>и</w:t>
      </w:r>
      <w:r w:rsidR="00F2135B" w:rsidRPr="00F2135B">
        <w:t>лам № 53 ООН (установка устройств освещения) была принята на 168-й сессии WP.29 (ECE/TRANS/WP.29/2016/22). Согласно настоящей предлагаемой п</w:t>
      </w:r>
      <w:r w:rsidR="00F2135B" w:rsidRPr="00F2135B">
        <w:t>о</w:t>
      </w:r>
      <w:r w:rsidR="00F2135B" w:rsidRPr="00F2135B">
        <w:t>правке к ГТП, предполагается оговорить только условия активации сигнала экстренного торможения, но не соответствующие требования к освещению. Цель формулирования предписаний в отношении сигнала экстренного торм</w:t>
      </w:r>
      <w:r w:rsidR="00F2135B" w:rsidRPr="00F2135B">
        <w:t>о</w:t>
      </w:r>
      <w:r w:rsidR="00F2135B" w:rsidRPr="00F2135B">
        <w:t>жения для транспортных средств категории 3 – способствовать обеспечению поведения, аналогичного поведению других дорожных транспортных средств, посредством согласования критериев активации и дезактивации сигнала эк</w:t>
      </w:r>
      <w:r w:rsidR="00F2135B" w:rsidRPr="00F2135B">
        <w:t>с</w:t>
      </w:r>
      <w:r w:rsidR="00F2135B" w:rsidRPr="00F2135B">
        <w:t xml:space="preserve">тренного торможения применительно к автомобилям. </w:t>
      </w:r>
    </w:p>
    <w:p w:rsidR="00F2135B" w:rsidRPr="00F2135B" w:rsidRDefault="00F2135B" w:rsidP="00F2135B">
      <w:pPr>
        <w:pStyle w:val="SingleTxtGR"/>
      </w:pPr>
      <w:r w:rsidRPr="00F2135B">
        <w:t>4.</w:t>
      </w:r>
      <w:r w:rsidRPr="00F2135B">
        <w:tab/>
        <w:t>Вторая цель предложения состоит в уточнении применительно к тран</w:t>
      </w:r>
      <w:r w:rsidRPr="00F2135B">
        <w:t>с</w:t>
      </w:r>
      <w:r w:rsidRPr="00F2135B">
        <w:t>портным средствам категории 3 требований, предъявляемых к органам упра</w:t>
      </w:r>
      <w:r w:rsidRPr="00F2135B">
        <w:t>в</w:t>
      </w:r>
      <w:r w:rsidRPr="00F2135B">
        <w:t>ления – если таковые предусмотрены – для дезактивации функции АБС («в</w:t>
      </w:r>
      <w:r w:rsidRPr="00F2135B">
        <w:t>ы</w:t>
      </w:r>
      <w:r w:rsidRPr="00F2135B">
        <w:t>ключатель АБС») в определенных условиях. Принятие настоящей поправки позволит обеспечить ясность и единообразие на различных рынках в отнош</w:t>
      </w:r>
      <w:r w:rsidRPr="00F2135B">
        <w:t>е</w:t>
      </w:r>
      <w:r w:rsidRPr="00F2135B">
        <w:t>нии установки и функционирования «выключателя АБС»: например, если транспортное средство оснащено функцией дезактивации АБС, то режим раб</w:t>
      </w:r>
      <w:r w:rsidRPr="00F2135B">
        <w:t>о</w:t>
      </w:r>
      <w:r w:rsidRPr="00F2135B">
        <w:t>ты АБС должен четко указываться водителю. Кроме того, должна исключаться возможность случайной дезактивации функции АБС. В этой связи делается ссылка на ECE/TRANS/WP.29/2016/114 с поправками, содержащимися в док</w:t>
      </w:r>
      <w:r w:rsidRPr="00F2135B">
        <w:t>у</w:t>
      </w:r>
      <w:r w:rsidRPr="00F2135B">
        <w:t xml:space="preserve">менте WP.29-170-05. </w:t>
      </w:r>
    </w:p>
    <w:p w:rsidR="00F2135B" w:rsidRPr="00F2135B" w:rsidRDefault="00F2135B" w:rsidP="00F2135B">
      <w:pPr>
        <w:pStyle w:val="SingleTxtGR"/>
      </w:pPr>
      <w:r w:rsidRPr="00F2135B">
        <w:t>5.</w:t>
      </w:r>
      <w:r w:rsidRPr="00F2135B">
        <w:tab/>
        <w:t>Разработка проекта формулировок для целей обновления ГТП № 3 с уч</w:t>
      </w:r>
      <w:r w:rsidRPr="00F2135B">
        <w:t>е</w:t>
      </w:r>
      <w:r w:rsidRPr="00F2135B">
        <w:t>том вышеуказанных аспектов диктует необходимость анализа различий между соответственно Соглашением 1998 года и Соглашением 1958 года. Надлежит изыскать конкретные пути решения различных проблем технического характ</w:t>
      </w:r>
      <w:r w:rsidRPr="00F2135B">
        <w:t>е</w:t>
      </w:r>
      <w:r w:rsidRPr="00F2135B">
        <w:t>ра. Экспертам GRRF будет предложено всемерно содействовать данному пр</w:t>
      </w:r>
      <w:r w:rsidRPr="00F2135B">
        <w:t>о</w:t>
      </w:r>
      <w:r w:rsidRPr="00F2135B">
        <w:t xml:space="preserve">цессу. </w:t>
      </w:r>
    </w:p>
    <w:p w:rsidR="00F2135B" w:rsidRPr="00F2135B" w:rsidRDefault="00F2135B" w:rsidP="00253DF4">
      <w:pPr>
        <w:pStyle w:val="HChGR"/>
      </w:pPr>
      <w:r w:rsidRPr="00F2135B">
        <w:tab/>
        <w:t>III.</w:t>
      </w:r>
      <w:r w:rsidRPr="00F2135B">
        <w:tab/>
        <w:t>Предмет поправки</w:t>
      </w:r>
    </w:p>
    <w:p w:rsidR="00F2135B" w:rsidRPr="00F2135B" w:rsidRDefault="00F2135B" w:rsidP="00F2135B">
      <w:pPr>
        <w:pStyle w:val="SingleTxtGR"/>
      </w:pPr>
      <w:r w:rsidRPr="00F2135B">
        <w:t>6.</w:t>
      </w:r>
      <w:r w:rsidRPr="00F2135B">
        <w:tab/>
        <w:t>Поправка к ГТП № 3 должна включать:</w:t>
      </w:r>
    </w:p>
    <w:p w:rsidR="00F2135B" w:rsidRPr="00F2135B" w:rsidRDefault="004168A8" w:rsidP="00F2135B">
      <w:pPr>
        <w:pStyle w:val="SingleTxtGR"/>
      </w:pPr>
      <w:r>
        <w:rPr>
          <w:lang w:val="en-US"/>
        </w:rPr>
        <w:tab/>
      </w:r>
      <w:r w:rsidR="00F2135B" w:rsidRPr="00F2135B">
        <w:t>a)</w:t>
      </w:r>
      <w:r w:rsidR="00F2135B" w:rsidRPr="00F2135B">
        <w:tab/>
        <w:t>поправки к части «Изложение технических соображений и обосн</w:t>
      </w:r>
      <w:r w:rsidR="00F2135B" w:rsidRPr="00F2135B">
        <w:t>о</w:t>
      </w:r>
      <w:r w:rsidR="00F2135B" w:rsidRPr="00F2135B">
        <w:t>вание»;</w:t>
      </w:r>
    </w:p>
    <w:p w:rsidR="00F2135B" w:rsidRPr="00F2135B" w:rsidRDefault="004168A8" w:rsidP="00F2135B">
      <w:pPr>
        <w:pStyle w:val="SingleTxtGR"/>
      </w:pPr>
      <w:r>
        <w:rPr>
          <w:lang w:val="en-US"/>
        </w:rPr>
        <w:tab/>
      </w:r>
      <w:r w:rsidR="00F2135B" w:rsidRPr="00F2135B">
        <w:t>b)</w:t>
      </w:r>
      <w:r w:rsidR="00F2135B" w:rsidRPr="00F2135B">
        <w:tab/>
        <w:t>поправки к части «Те</w:t>
      </w:r>
      <w:proofErr w:type="gramStart"/>
      <w:r w:rsidR="00F2135B" w:rsidRPr="00F2135B">
        <w:t>кст гл</w:t>
      </w:r>
      <w:proofErr w:type="gramEnd"/>
      <w:r w:rsidR="00F2135B" w:rsidRPr="00F2135B">
        <w:t xml:space="preserve">обальных технических правил»; </w:t>
      </w:r>
    </w:p>
    <w:p w:rsidR="00F2135B" w:rsidRPr="00F2135B" w:rsidRDefault="004168A8" w:rsidP="00F2135B">
      <w:pPr>
        <w:pStyle w:val="SingleTxtGR"/>
      </w:pPr>
      <w:r w:rsidRPr="00634289">
        <w:tab/>
      </w:r>
      <w:r w:rsidR="00F2135B" w:rsidRPr="00F2135B">
        <w:t>c)</w:t>
      </w:r>
      <w:r w:rsidR="00F2135B" w:rsidRPr="00F2135B">
        <w:tab/>
        <w:t>технический доклад.</w:t>
      </w:r>
    </w:p>
    <w:p w:rsidR="00F2135B" w:rsidRPr="00F2135B" w:rsidRDefault="00F2135B" w:rsidP="00253DF4">
      <w:pPr>
        <w:pStyle w:val="HChGR"/>
      </w:pPr>
      <w:r w:rsidRPr="00F2135B">
        <w:tab/>
        <w:t>IV.</w:t>
      </w:r>
      <w:r w:rsidRPr="00F2135B">
        <w:tab/>
        <w:t>Организация процесса и график работы</w:t>
      </w:r>
    </w:p>
    <w:p w:rsidR="00F2135B" w:rsidRPr="00F2135B" w:rsidRDefault="00F2135B" w:rsidP="00F2135B">
      <w:pPr>
        <w:pStyle w:val="SingleTxtGR"/>
      </w:pPr>
      <w:r w:rsidRPr="00F2135B">
        <w:t>7.</w:t>
      </w:r>
      <w:r w:rsidRPr="00F2135B">
        <w:tab/>
        <w:t>Соответствующее предложение будет разработано экспертами от Италии при содействии со стороны Международной ассоциации заводов-изготовителей мотоциклов (МАЗМ) и в сотрудничестве со всеми заинтересованными экспе</w:t>
      </w:r>
      <w:r w:rsidRPr="00F2135B">
        <w:t>р</w:t>
      </w:r>
      <w:r w:rsidRPr="00F2135B">
        <w:t>тами GRRF с целью заручиться максимальной поддержкой в пользу оконч</w:t>
      </w:r>
      <w:r w:rsidRPr="00F2135B">
        <w:t>а</w:t>
      </w:r>
      <w:r w:rsidRPr="00F2135B">
        <w:t>тельного предложения. На настоящем этапе проведение целевых совещаний з</w:t>
      </w:r>
      <w:r w:rsidRPr="00F2135B">
        <w:t>а</w:t>
      </w:r>
      <w:r w:rsidRPr="00F2135B">
        <w:t>интересованных экспертов еще не планировал</w:t>
      </w:r>
      <w:r w:rsidR="004168A8">
        <w:t>ось, однако – при необходим</w:t>
      </w:r>
      <w:r w:rsidR="004168A8">
        <w:t>о</w:t>
      </w:r>
      <w:r w:rsidR="004168A8">
        <w:t>сти</w:t>
      </w:r>
      <w:r w:rsidR="004168A8">
        <w:rPr>
          <w:lang w:val="en-US"/>
        </w:rPr>
        <w:t> </w:t>
      </w:r>
      <w:r w:rsidRPr="00F2135B">
        <w:t>– они могут быть организованы.</w:t>
      </w:r>
    </w:p>
    <w:p w:rsidR="00F2135B" w:rsidRPr="00F2135B" w:rsidRDefault="00F2135B" w:rsidP="00F2135B">
      <w:pPr>
        <w:pStyle w:val="SingleTxtGR"/>
      </w:pPr>
      <w:r w:rsidRPr="00F2135B">
        <w:t>8.</w:t>
      </w:r>
      <w:r w:rsidRPr="00F2135B">
        <w:tab/>
        <w:t>Предлагаемый план действий:</w:t>
      </w:r>
    </w:p>
    <w:p w:rsidR="00F2135B" w:rsidRPr="00F2135B" w:rsidRDefault="00253DF4" w:rsidP="00F2135B">
      <w:pPr>
        <w:pStyle w:val="SingleTxtGR"/>
      </w:pPr>
      <w:r>
        <w:rPr>
          <w:lang w:val="en-US"/>
        </w:rPr>
        <w:tab/>
      </w:r>
      <w:r w:rsidR="00F2135B" w:rsidRPr="00F2135B">
        <w:t>a)</w:t>
      </w:r>
      <w:r w:rsidR="00F2135B" w:rsidRPr="00F2135B">
        <w:tab/>
        <w:t>ноябрь 2016 года: направление Исполнительному комитету AC.3 запроса о внесении поправки в ГТП № 3;</w:t>
      </w:r>
    </w:p>
    <w:p w:rsidR="00F2135B" w:rsidRPr="00F2135B" w:rsidRDefault="00253DF4" w:rsidP="00F2135B">
      <w:pPr>
        <w:pStyle w:val="SingleTxtGR"/>
      </w:pPr>
      <w:r>
        <w:rPr>
          <w:lang w:val="en-US"/>
        </w:rPr>
        <w:tab/>
      </w:r>
      <w:r w:rsidR="00F2135B" w:rsidRPr="00F2135B">
        <w:t>b)</w:t>
      </w:r>
      <w:r w:rsidR="00F2135B" w:rsidRPr="00F2135B">
        <w:tab/>
        <w:t>январь 2017 года: внесение и рассмотрение предложения (неоф</w:t>
      </w:r>
      <w:r w:rsidR="00F2135B" w:rsidRPr="00F2135B">
        <w:t>и</w:t>
      </w:r>
      <w:r w:rsidR="00F2135B" w:rsidRPr="00F2135B">
        <w:t>циальный документ) на восемьдесят третьей сессии GRRF;</w:t>
      </w:r>
    </w:p>
    <w:p w:rsidR="00F2135B" w:rsidRPr="00F2135B" w:rsidRDefault="00253DF4" w:rsidP="00F2135B">
      <w:pPr>
        <w:pStyle w:val="SingleTxtGR"/>
      </w:pPr>
      <w:r>
        <w:rPr>
          <w:lang w:val="en-US"/>
        </w:rPr>
        <w:tab/>
      </w:r>
      <w:r w:rsidR="00F2135B" w:rsidRPr="00F2135B">
        <w:t>c)</w:t>
      </w:r>
      <w:r w:rsidR="00F2135B" w:rsidRPr="00F2135B">
        <w:tab/>
        <w:t>март 2017 года: направление Исполнительному комитету AC.3 официального запроса о внесении поправки в ГТП № 3;</w:t>
      </w:r>
    </w:p>
    <w:p w:rsidR="00F2135B" w:rsidRPr="00F2135B" w:rsidRDefault="00253DF4" w:rsidP="00F2135B">
      <w:pPr>
        <w:pStyle w:val="SingleTxtGR"/>
      </w:pPr>
      <w:r>
        <w:rPr>
          <w:lang w:val="en-US"/>
        </w:rPr>
        <w:tab/>
      </w:r>
      <w:r w:rsidR="00F2135B" w:rsidRPr="00F2135B">
        <w:t>d)</w:t>
      </w:r>
      <w:r w:rsidR="00F2135B" w:rsidRPr="00F2135B">
        <w:tab/>
        <w:t>сентябрь 2017 года: предложение для принятия на восемьдесят че</w:t>
      </w:r>
      <w:r w:rsidR="00F2135B" w:rsidRPr="00F2135B">
        <w:t>т</w:t>
      </w:r>
      <w:r w:rsidR="00F2135B" w:rsidRPr="00F2135B">
        <w:t>вертой сессии GRRF и представление технического доклада;</w:t>
      </w:r>
    </w:p>
    <w:p w:rsidR="00F2135B" w:rsidRPr="00F2135B" w:rsidRDefault="00253DF4" w:rsidP="00F2135B">
      <w:pPr>
        <w:pStyle w:val="SingleTxtGR"/>
      </w:pPr>
      <w:r>
        <w:rPr>
          <w:lang w:val="en-US"/>
        </w:rPr>
        <w:tab/>
      </w:r>
      <w:r w:rsidR="00F2135B" w:rsidRPr="00F2135B">
        <w:t>e)</w:t>
      </w:r>
      <w:r w:rsidR="00F2135B" w:rsidRPr="00F2135B">
        <w:tab/>
        <w:t>март 2018 года: принятие предложения и технического доклада И</w:t>
      </w:r>
      <w:r w:rsidR="00F2135B" w:rsidRPr="00F2135B">
        <w:t>с</w:t>
      </w:r>
      <w:r w:rsidR="00F2135B" w:rsidRPr="00F2135B">
        <w:t xml:space="preserve">полнительным комитетом AC.3, если все оставшиеся проблемы будут решены. </w:t>
      </w:r>
    </w:p>
    <w:p w:rsidR="00E12C5F" w:rsidRDefault="00F2135B" w:rsidP="00F2135B">
      <w:pPr>
        <w:pStyle w:val="SingleTxtGR"/>
        <w:rPr>
          <w:lang w:val="en-US"/>
        </w:rPr>
      </w:pPr>
      <w:r w:rsidRPr="00F2135B">
        <w:t>9.</w:t>
      </w:r>
      <w:r w:rsidRPr="00F2135B">
        <w:tab/>
        <w:t>Информация о ходе работы будет доведена до сведения AC.3 на его се</w:t>
      </w:r>
      <w:r w:rsidRPr="00F2135B">
        <w:t>с</w:t>
      </w:r>
      <w:r w:rsidRPr="00F2135B">
        <w:t>сиях в марте, июне и ноябре 2017 года.</w:t>
      </w:r>
    </w:p>
    <w:p w:rsidR="004168A8" w:rsidRPr="004168A8" w:rsidRDefault="004168A8" w:rsidP="004168A8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168A8" w:rsidRPr="004168A8" w:rsidSect="00120B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59" w:rsidRPr="00A312BC" w:rsidRDefault="00823E59" w:rsidP="00A312BC"/>
  </w:endnote>
  <w:endnote w:type="continuationSeparator" w:id="0">
    <w:p w:rsidR="00823E59" w:rsidRPr="00A312BC" w:rsidRDefault="00823E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B8" w:rsidRPr="00120BB8" w:rsidRDefault="00120BB8">
    <w:pPr>
      <w:pStyle w:val="Footer"/>
    </w:pPr>
    <w:r w:rsidRPr="00120BB8">
      <w:rPr>
        <w:b/>
        <w:sz w:val="18"/>
      </w:rPr>
      <w:fldChar w:fldCharType="begin"/>
    </w:r>
    <w:r w:rsidRPr="00120BB8">
      <w:rPr>
        <w:b/>
        <w:sz w:val="18"/>
      </w:rPr>
      <w:instrText xml:space="preserve"> PAGE  \* MERGEFORMAT </w:instrText>
    </w:r>
    <w:r w:rsidRPr="00120BB8">
      <w:rPr>
        <w:b/>
        <w:sz w:val="18"/>
      </w:rPr>
      <w:fldChar w:fldCharType="separate"/>
    </w:r>
    <w:r w:rsidR="00634289">
      <w:rPr>
        <w:b/>
        <w:noProof/>
        <w:sz w:val="18"/>
      </w:rPr>
      <w:t>4</w:t>
    </w:r>
    <w:r w:rsidRPr="00120BB8">
      <w:rPr>
        <w:b/>
        <w:sz w:val="18"/>
      </w:rPr>
      <w:fldChar w:fldCharType="end"/>
    </w:r>
    <w:r>
      <w:rPr>
        <w:b/>
        <w:sz w:val="18"/>
      </w:rPr>
      <w:tab/>
    </w:r>
    <w:r>
      <w:t>GE.17-05680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B8" w:rsidRPr="00120BB8" w:rsidRDefault="00120BB8" w:rsidP="00120BB8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GE.17-05680</w:t>
    </w:r>
    <w:r>
      <w:tab/>
    </w:r>
    <w:r w:rsidRPr="00120BB8">
      <w:rPr>
        <w:b/>
        <w:sz w:val="18"/>
      </w:rPr>
      <w:fldChar w:fldCharType="begin"/>
    </w:r>
    <w:r w:rsidRPr="00120BB8">
      <w:rPr>
        <w:b/>
        <w:sz w:val="18"/>
      </w:rPr>
      <w:instrText xml:space="preserve"> PAGE  \* MERGEFORMAT </w:instrText>
    </w:r>
    <w:r w:rsidRPr="00120BB8">
      <w:rPr>
        <w:b/>
        <w:sz w:val="18"/>
      </w:rPr>
      <w:fldChar w:fldCharType="separate"/>
    </w:r>
    <w:r w:rsidR="00634289">
      <w:rPr>
        <w:b/>
        <w:noProof/>
        <w:sz w:val="18"/>
      </w:rPr>
      <w:t>3</w:t>
    </w:r>
    <w:r w:rsidRPr="00120B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20BB8" w:rsidRDefault="00120BB8" w:rsidP="00120BB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E03BFC" wp14:editId="416A31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17-05680  (R)</w:t>
    </w:r>
    <w:r>
      <w:rPr>
        <w:lang w:val="en-US"/>
      </w:rPr>
      <w:t xml:space="preserve">  010517  010517</w:t>
    </w:r>
    <w:r>
      <w:br/>
    </w:r>
    <w:r w:rsidRPr="00120BB8">
      <w:rPr>
        <w:rFonts w:ascii="C39T30Lfz" w:hAnsi="C39T30Lfz"/>
        <w:spacing w:val="0"/>
        <w:w w:val="100"/>
        <w:sz w:val="56"/>
      </w:rPr>
      <w:t></w:t>
    </w:r>
    <w:r w:rsidRPr="00120BB8">
      <w:rPr>
        <w:rFonts w:ascii="C39T30Lfz" w:hAnsi="C39T30Lfz"/>
        <w:spacing w:val="0"/>
        <w:w w:val="100"/>
        <w:sz w:val="56"/>
      </w:rPr>
      <w:t></w:t>
    </w:r>
    <w:r w:rsidRPr="00120BB8">
      <w:rPr>
        <w:rFonts w:ascii="C39T30Lfz" w:hAnsi="C39T30Lfz"/>
        <w:spacing w:val="0"/>
        <w:w w:val="100"/>
        <w:sz w:val="56"/>
      </w:rPr>
      <w:t></w:t>
    </w:r>
    <w:r w:rsidRPr="00120BB8">
      <w:rPr>
        <w:rFonts w:ascii="C39T30Lfz" w:hAnsi="C39T30Lfz"/>
        <w:spacing w:val="0"/>
        <w:w w:val="100"/>
        <w:sz w:val="56"/>
      </w:rPr>
      <w:t></w:t>
    </w:r>
    <w:r w:rsidRPr="00120BB8">
      <w:rPr>
        <w:rFonts w:ascii="C39T30Lfz" w:hAnsi="C39T30Lfz"/>
        <w:spacing w:val="0"/>
        <w:w w:val="100"/>
        <w:sz w:val="56"/>
      </w:rPr>
      <w:t></w:t>
    </w:r>
    <w:r w:rsidRPr="00120BB8">
      <w:rPr>
        <w:rFonts w:ascii="C39T30Lfz" w:hAnsi="C39T30Lfz"/>
        <w:spacing w:val="0"/>
        <w:w w:val="100"/>
        <w:sz w:val="56"/>
      </w:rPr>
      <w:t></w:t>
    </w:r>
    <w:r w:rsidRPr="00120BB8">
      <w:rPr>
        <w:rFonts w:ascii="C39T30Lfz" w:hAnsi="C39T30Lfz"/>
        <w:spacing w:val="0"/>
        <w:w w:val="100"/>
        <w:sz w:val="56"/>
      </w:rPr>
      <w:t></w:t>
    </w:r>
    <w:r w:rsidRPr="00120BB8">
      <w:rPr>
        <w:rFonts w:ascii="C39T30Lfz" w:hAnsi="C39T30Lfz"/>
        <w:spacing w:val="0"/>
        <w:w w:val="100"/>
        <w:sz w:val="56"/>
      </w:rPr>
      <w:t></w:t>
    </w:r>
    <w:r w:rsidRPr="00120BB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59" w:rsidRPr="001075E9" w:rsidRDefault="00823E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3E59" w:rsidRDefault="00823E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135B" w:rsidRPr="00A31E05" w:rsidRDefault="00F2135B" w:rsidP="007F4433">
      <w:pPr>
        <w:pStyle w:val="FootnoteText"/>
      </w:pPr>
      <w:r w:rsidRPr="00A90EA8">
        <w:tab/>
      </w:r>
      <w:r w:rsidRPr="007F4433">
        <w:rPr>
          <w:rStyle w:val="FootnoteReference"/>
          <w:sz w:val="20"/>
          <w:vertAlign w:val="baseline"/>
          <w:lang w:val="ru-RU"/>
        </w:rPr>
        <w:t>*</w:t>
      </w:r>
      <w:r w:rsidRPr="00773F2B">
        <w:rPr>
          <w:sz w:val="20"/>
        </w:rPr>
        <w:tab/>
      </w:r>
      <w:r w:rsidRPr="00666DA7">
        <w:t xml:space="preserve">В соответствии с программой работы Комитета по внутреннему транспорту </w:t>
      </w:r>
      <w:r w:rsidR="007F4433" w:rsidRPr="007F4433">
        <w:br/>
      </w:r>
      <w:r w:rsidRPr="00666DA7">
        <w:t>на 2016–2017 годы (</w:t>
      </w:r>
      <w:r w:rsidRPr="00666DA7">
        <w:rPr>
          <w:lang w:val="en-US"/>
        </w:rPr>
        <w:t>ECE</w:t>
      </w:r>
      <w:r w:rsidRPr="00666DA7">
        <w:t>/</w:t>
      </w:r>
      <w:r w:rsidRPr="00666DA7">
        <w:rPr>
          <w:lang w:val="en-US"/>
        </w:rPr>
        <w:t>TRANS</w:t>
      </w:r>
      <w:r w:rsidRPr="00666DA7">
        <w:t xml:space="preserve">/254, пункт 159, и </w:t>
      </w:r>
      <w:r w:rsidRPr="00666DA7">
        <w:rPr>
          <w:lang w:val="en-US"/>
        </w:rPr>
        <w:t>ECE</w:t>
      </w:r>
      <w:r w:rsidRPr="00666DA7">
        <w:t>/</w:t>
      </w:r>
      <w:r w:rsidRPr="00666DA7">
        <w:rPr>
          <w:lang w:val="en-US"/>
        </w:rPr>
        <w:t>TRANS</w:t>
      </w:r>
      <w:r w:rsidRPr="00666DA7">
        <w:t>/2016/28/</w:t>
      </w:r>
      <w:r w:rsidRPr="00666DA7">
        <w:rPr>
          <w:lang w:val="en-US"/>
        </w:rPr>
        <w:t>Add</w:t>
      </w:r>
      <w:r w:rsidRPr="00666DA7"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773F2B">
        <w:t xml:space="preserve"> </w:t>
      </w:r>
      <w:r w:rsidRPr="00666DA7">
        <w:t>Настоящий документ представлен в соответствии с этим мандатом.</w:t>
      </w:r>
    </w:p>
  </w:footnote>
  <w:footnote w:id="2">
    <w:p w:rsidR="00F2135B" w:rsidRPr="004168A8" w:rsidRDefault="00F2135B" w:rsidP="007F4433">
      <w:pPr>
        <w:pStyle w:val="FootnoteText"/>
        <w:rPr>
          <w:lang w:val="ru-RU"/>
        </w:rPr>
      </w:pPr>
      <w:r w:rsidRPr="00A31E05">
        <w:tab/>
      </w:r>
      <w:r w:rsidRPr="007F4433">
        <w:rPr>
          <w:rStyle w:val="FootnoteReference"/>
        </w:rPr>
        <w:footnoteRef/>
      </w:r>
      <w:r w:rsidRPr="00A31E05">
        <w:tab/>
      </w:r>
      <w:r w:rsidRPr="00666DA7">
        <w:t xml:space="preserve">В соответствии с определениями, содержащимися в Специальной резолюции № 1, касающейся общих определений категорий, масс и размеров транспортных средств (СпР.1), документ </w:t>
      </w:r>
      <w:r w:rsidRPr="00666DA7">
        <w:rPr>
          <w:lang w:val="en-US"/>
        </w:rPr>
        <w:t>ECE</w:t>
      </w:r>
      <w:r w:rsidRPr="00666DA7">
        <w:t>/</w:t>
      </w:r>
      <w:r w:rsidRPr="00666DA7">
        <w:rPr>
          <w:lang w:val="en-US"/>
        </w:rPr>
        <w:t>TRANS</w:t>
      </w:r>
      <w:r w:rsidRPr="00666DA7">
        <w:t>/</w:t>
      </w:r>
      <w:r w:rsidRPr="00666DA7">
        <w:rPr>
          <w:lang w:val="en-US"/>
        </w:rPr>
        <w:t>WP</w:t>
      </w:r>
      <w:r w:rsidRPr="00666DA7">
        <w:t xml:space="preserve">.29/1045, </w:t>
      </w:r>
      <w:r w:rsidRPr="00666DA7">
        <w:rPr>
          <w:lang w:val="en-US"/>
        </w:rPr>
        <w:t>Amend</w:t>
      </w:r>
      <w:r w:rsidRPr="00666DA7">
        <w:t xml:space="preserve">. </w:t>
      </w:r>
      <w:r w:rsidRPr="004168A8">
        <w:rPr>
          <w:lang w:val="ru-RU"/>
        </w:rPr>
        <w:t xml:space="preserve">1 и 2, приложение 2 – </w:t>
      </w:r>
      <w:hyperlink r:id="rId1" w:history="1">
        <w:r w:rsidRPr="004168A8">
          <w:rPr>
            <w:rStyle w:val="Hyperlink"/>
            <w:color w:val="auto"/>
            <w:lang w:val="en-US"/>
          </w:rPr>
          <w:t>www</w:t>
        </w:r>
        <w:r w:rsidRPr="004168A8">
          <w:rPr>
            <w:rStyle w:val="Hyperlink"/>
            <w:color w:val="auto"/>
            <w:lang w:val="ru-RU"/>
          </w:rPr>
          <w:t>.</w:t>
        </w:r>
        <w:proofErr w:type="spellStart"/>
        <w:r w:rsidRPr="004168A8">
          <w:rPr>
            <w:rStyle w:val="Hyperlink"/>
            <w:color w:val="auto"/>
            <w:lang w:val="en-US"/>
          </w:rPr>
          <w:t>unece</w:t>
        </w:r>
        <w:proofErr w:type="spellEnd"/>
        <w:r w:rsidRPr="004168A8">
          <w:rPr>
            <w:rStyle w:val="Hyperlink"/>
            <w:color w:val="auto"/>
            <w:lang w:val="ru-RU"/>
          </w:rPr>
          <w:t>.</w:t>
        </w:r>
        <w:r w:rsidRPr="004168A8">
          <w:rPr>
            <w:rStyle w:val="Hyperlink"/>
            <w:color w:val="auto"/>
            <w:lang w:val="en-US"/>
          </w:rPr>
          <w:t>org</w:t>
        </w:r>
        <w:r w:rsidRPr="004168A8">
          <w:rPr>
            <w:rStyle w:val="Hyperlink"/>
            <w:color w:val="auto"/>
            <w:lang w:val="ru-RU"/>
          </w:rPr>
          <w:t>/</w:t>
        </w:r>
        <w:r w:rsidRPr="004168A8">
          <w:rPr>
            <w:rStyle w:val="Hyperlink"/>
            <w:color w:val="auto"/>
            <w:lang w:val="en-US"/>
          </w:rPr>
          <w:t>trans</w:t>
        </w:r>
        <w:r w:rsidRPr="004168A8">
          <w:rPr>
            <w:rStyle w:val="Hyperlink"/>
            <w:color w:val="auto"/>
            <w:lang w:val="ru-RU"/>
          </w:rPr>
          <w:t>/</w:t>
        </w:r>
        <w:r w:rsidRPr="004168A8">
          <w:rPr>
            <w:rStyle w:val="Hyperlink"/>
            <w:color w:val="auto"/>
            <w:lang w:val="en-US"/>
          </w:rPr>
          <w:t>main</w:t>
        </w:r>
        <w:r w:rsidRPr="004168A8">
          <w:rPr>
            <w:rStyle w:val="Hyperlink"/>
            <w:color w:val="auto"/>
            <w:lang w:val="ru-RU"/>
          </w:rPr>
          <w:t>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</w:t>
        </w:r>
        <w:proofErr w:type="spellStart"/>
        <w:r w:rsidRPr="004168A8">
          <w:rPr>
            <w:rStyle w:val="Hyperlink"/>
            <w:color w:val="auto"/>
            <w:lang w:val="en-US"/>
          </w:rPr>
          <w:t>wgs</w:t>
        </w:r>
        <w:proofErr w:type="spellEnd"/>
        <w:r w:rsidRPr="004168A8">
          <w:rPr>
            <w:rStyle w:val="Hyperlink"/>
            <w:color w:val="auto"/>
            <w:lang w:val="ru-RU"/>
          </w:rPr>
          <w:t>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</w:t>
        </w:r>
        <w:r w:rsidRPr="004168A8">
          <w:rPr>
            <w:rStyle w:val="Hyperlink"/>
            <w:color w:val="auto"/>
            <w:lang w:val="en-US"/>
          </w:rPr>
          <w:t>gen</w:t>
        </w:r>
        <w:r w:rsidRPr="004168A8">
          <w:rPr>
            <w:rStyle w:val="Hyperlink"/>
            <w:color w:val="auto"/>
            <w:lang w:val="ru-RU"/>
          </w:rPr>
          <w:t>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</w:t>
        </w:r>
        <w:r w:rsidRPr="004168A8">
          <w:rPr>
            <w:rStyle w:val="Hyperlink"/>
            <w:color w:val="auto"/>
            <w:lang w:val="en-US"/>
          </w:rPr>
          <w:t>resolutions</w:t>
        </w:r>
        <w:r w:rsidRPr="004168A8">
          <w:rPr>
            <w:rStyle w:val="Hyperlink"/>
            <w:color w:val="auto"/>
            <w:lang w:val="ru-RU"/>
          </w:rPr>
          <w:t>.</w:t>
        </w:r>
        <w:r w:rsidRPr="004168A8">
          <w:rPr>
            <w:rStyle w:val="Hyperlink"/>
            <w:color w:val="auto"/>
            <w:lang w:val="en-US"/>
          </w:rPr>
          <w:t>html</w:t>
        </w:r>
      </w:hyperlink>
      <w:r w:rsidRPr="004168A8">
        <w:rPr>
          <w:lang w:val="ru-RU"/>
        </w:rPr>
        <w:t>.</w:t>
      </w:r>
    </w:p>
  </w:footnote>
  <w:footnote w:id="3">
    <w:p w:rsidR="00F2135B" w:rsidRPr="004168A8" w:rsidRDefault="00F2135B" w:rsidP="009A61DA">
      <w:pPr>
        <w:pStyle w:val="FootnoteText"/>
        <w:rPr>
          <w:lang w:val="ru-RU"/>
        </w:rPr>
      </w:pPr>
      <w:r w:rsidRPr="004168A8">
        <w:rPr>
          <w:lang w:val="ru-RU"/>
        </w:rPr>
        <w:tab/>
      </w:r>
      <w:r w:rsidRPr="007F4433">
        <w:rPr>
          <w:rStyle w:val="FootnoteReference"/>
        </w:rPr>
        <w:footnoteRef/>
      </w:r>
      <w:r w:rsidRPr="004168A8">
        <w:rPr>
          <w:lang w:val="ru-RU"/>
        </w:rPr>
        <w:tab/>
        <w:t xml:space="preserve">В соответствии с определениями, содержащимися в Сводной резолюции </w:t>
      </w:r>
      <w:r w:rsidR="004168A8" w:rsidRPr="004168A8">
        <w:rPr>
          <w:lang w:val="ru-RU"/>
        </w:rPr>
        <w:br/>
      </w:r>
      <w:r w:rsidRPr="004168A8">
        <w:rPr>
          <w:lang w:val="ru-RU"/>
        </w:rPr>
        <w:t xml:space="preserve">о конструкции транспортных средств (СР.3), документ </w:t>
      </w:r>
      <w:r w:rsidRPr="00666DA7">
        <w:rPr>
          <w:lang w:val="en-US"/>
        </w:rPr>
        <w:t>ECE</w:t>
      </w:r>
      <w:r w:rsidRPr="004168A8">
        <w:rPr>
          <w:lang w:val="ru-RU"/>
        </w:rPr>
        <w:t>/</w:t>
      </w:r>
      <w:r w:rsidRPr="00666DA7">
        <w:rPr>
          <w:lang w:val="en-US"/>
        </w:rPr>
        <w:t>TRANS</w:t>
      </w:r>
      <w:r w:rsidRPr="004168A8">
        <w:rPr>
          <w:lang w:val="ru-RU"/>
        </w:rPr>
        <w:t>/</w:t>
      </w:r>
      <w:r w:rsidRPr="00666DA7">
        <w:rPr>
          <w:lang w:val="en-US"/>
        </w:rPr>
        <w:t>WP</w:t>
      </w:r>
      <w:r w:rsidRPr="004168A8">
        <w:rPr>
          <w:lang w:val="ru-RU"/>
        </w:rPr>
        <w:t>.29/78/</w:t>
      </w:r>
      <w:r w:rsidRPr="00666DA7">
        <w:rPr>
          <w:lang w:val="en-US"/>
        </w:rPr>
        <w:t>Rev</w:t>
      </w:r>
      <w:r w:rsidRPr="004168A8">
        <w:rPr>
          <w:lang w:val="ru-RU"/>
        </w:rPr>
        <w:t xml:space="preserve">.4, пункт 2 – </w:t>
      </w:r>
      <w:hyperlink r:id="rId2" w:history="1">
        <w:r w:rsidRPr="004168A8">
          <w:rPr>
            <w:rStyle w:val="Hyperlink"/>
            <w:color w:val="auto"/>
            <w:lang w:val="en-US"/>
          </w:rPr>
          <w:t>www</w:t>
        </w:r>
        <w:r w:rsidRPr="004168A8">
          <w:rPr>
            <w:rStyle w:val="Hyperlink"/>
            <w:color w:val="auto"/>
            <w:lang w:val="ru-RU"/>
          </w:rPr>
          <w:t>.</w:t>
        </w:r>
        <w:proofErr w:type="spellStart"/>
        <w:r w:rsidRPr="004168A8">
          <w:rPr>
            <w:rStyle w:val="Hyperlink"/>
            <w:color w:val="auto"/>
            <w:lang w:val="en-US"/>
          </w:rPr>
          <w:t>unece</w:t>
        </w:r>
        <w:proofErr w:type="spellEnd"/>
        <w:r w:rsidRPr="004168A8">
          <w:rPr>
            <w:rStyle w:val="Hyperlink"/>
            <w:color w:val="auto"/>
            <w:lang w:val="ru-RU"/>
          </w:rPr>
          <w:t>.</w:t>
        </w:r>
        <w:r w:rsidRPr="004168A8">
          <w:rPr>
            <w:rStyle w:val="Hyperlink"/>
            <w:color w:val="auto"/>
            <w:lang w:val="en-US"/>
          </w:rPr>
          <w:t>org</w:t>
        </w:r>
        <w:r w:rsidRPr="004168A8">
          <w:rPr>
            <w:rStyle w:val="Hyperlink"/>
            <w:color w:val="auto"/>
            <w:lang w:val="ru-RU"/>
          </w:rPr>
          <w:t>/</w:t>
        </w:r>
        <w:r w:rsidRPr="004168A8">
          <w:rPr>
            <w:rStyle w:val="Hyperlink"/>
            <w:color w:val="auto"/>
            <w:lang w:val="en-US"/>
          </w:rPr>
          <w:t>trans</w:t>
        </w:r>
        <w:r w:rsidRPr="004168A8">
          <w:rPr>
            <w:rStyle w:val="Hyperlink"/>
            <w:color w:val="auto"/>
            <w:lang w:val="ru-RU"/>
          </w:rPr>
          <w:t>/</w:t>
        </w:r>
        <w:r w:rsidRPr="004168A8">
          <w:rPr>
            <w:rStyle w:val="Hyperlink"/>
            <w:color w:val="auto"/>
            <w:lang w:val="en-US"/>
          </w:rPr>
          <w:t>main</w:t>
        </w:r>
        <w:r w:rsidRPr="004168A8">
          <w:rPr>
            <w:rStyle w:val="Hyperlink"/>
            <w:color w:val="auto"/>
            <w:lang w:val="ru-RU"/>
          </w:rPr>
          <w:t>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</w:t>
        </w:r>
        <w:proofErr w:type="spellStart"/>
        <w:r w:rsidRPr="004168A8">
          <w:rPr>
            <w:rStyle w:val="Hyperlink"/>
            <w:color w:val="auto"/>
            <w:lang w:val="en-US"/>
          </w:rPr>
          <w:t>wgs</w:t>
        </w:r>
        <w:proofErr w:type="spellEnd"/>
        <w:r w:rsidRPr="004168A8">
          <w:rPr>
            <w:rStyle w:val="Hyperlink"/>
            <w:color w:val="auto"/>
            <w:lang w:val="ru-RU"/>
          </w:rPr>
          <w:t>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</w:t>
        </w:r>
        <w:r w:rsidRPr="004168A8">
          <w:rPr>
            <w:rStyle w:val="Hyperlink"/>
            <w:color w:val="auto"/>
            <w:lang w:val="en-US"/>
          </w:rPr>
          <w:t>gen</w:t>
        </w:r>
        <w:r w:rsidRPr="004168A8">
          <w:rPr>
            <w:rStyle w:val="Hyperlink"/>
            <w:color w:val="auto"/>
            <w:lang w:val="ru-RU"/>
          </w:rPr>
          <w:t>/</w:t>
        </w:r>
        <w:proofErr w:type="spellStart"/>
        <w:r w:rsidRPr="004168A8">
          <w:rPr>
            <w:rStyle w:val="Hyperlink"/>
            <w:color w:val="auto"/>
            <w:lang w:val="en-US"/>
          </w:rPr>
          <w:t>wp</w:t>
        </w:r>
        <w:proofErr w:type="spellEnd"/>
        <w:r w:rsidRPr="004168A8">
          <w:rPr>
            <w:rStyle w:val="Hyperlink"/>
            <w:color w:val="auto"/>
            <w:lang w:val="ru-RU"/>
          </w:rPr>
          <w:t>29</w:t>
        </w:r>
        <w:r w:rsidRPr="004168A8">
          <w:rPr>
            <w:rStyle w:val="Hyperlink"/>
            <w:color w:val="auto"/>
            <w:lang w:val="en-US"/>
          </w:rPr>
          <w:t>resolutions</w:t>
        </w:r>
        <w:r w:rsidRPr="004168A8">
          <w:rPr>
            <w:rStyle w:val="Hyperlink"/>
            <w:color w:val="auto"/>
            <w:lang w:val="ru-RU"/>
          </w:rPr>
          <w:t>.</w:t>
        </w:r>
        <w:r w:rsidRPr="004168A8">
          <w:rPr>
            <w:rStyle w:val="Hyperlink"/>
            <w:color w:val="auto"/>
            <w:lang w:val="en-US"/>
          </w:rPr>
          <w:t>html</w:t>
        </w:r>
      </w:hyperlink>
      <w:r w:rsidRPr="004168A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B8" w:rsidRPr="00120BB8" w:rsidRDefault="006342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8395E">
      <w:t>ECE/TRANS/WP.29/AC.3/47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B8" w:rsidRPr="00120BB8" w:rsidRDefault="00634289" w:rsidP="00120BB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8395E">
      <w:t>ECE/TRANS/WP.29/AC.3/47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BB8"/>
    <w:rsid w:val="0014152F"/>
    <w:rsid w:val="00180183"/>
    <w:rsid w:val="0018024D"/>
    <w:rsid w:val="0018649F"/>
    <w:rsid w:val="00196389"/>
    <w:rsid w:val="001B3EF6"/>
    <w:rsid w:val="001C7A89"/>
    <w:rsid w:val="00253DF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B13"/>
    <w:rsid w:val="00381C24"/>
    <w:rsid w:val="00387CD4"/>
    <w:rsid w:val="003958D0"/>
    <w:rsid w:val="003A0D43"/>
    <w:rsid w:val="003A48CE"/>
    <w:rsid w:val="003B00E5"/>
    <w:rsid w:val="00407B78"/>
    <w:rsid w:val="004168A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28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4433"/>
    <w:rsid w:val="00801980"/>
    <w:rsid w:val="00806737"/>
    <w:rsid w:val="00823E5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812"/>
    <w:rsid w:val="009A24AC"/>
    <w:rsid w:val="009A61DA"/>
    <w:rsid w:val="009C6FE6"/>
    <w:rsid w:val="00A14DA8"/>
    <w:rsid w:val="00A312BC"/>
    <w:rsid w:val="00A84021"/>
    <w:rsid w:val="00A84D35"/>
    <w:rsid w:val="00A917B3"/>
    <w:rsid w:val="00AB3605"/>
    <w:rsid w:val="00AB4B51"/>
    <w:rsid w:val="00AE556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395E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135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7119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ECE/TRANS/WP.29/AC.3/47</vt:lpstr>
      <vt:lpstr>ECE/TRANS/WP.29/AC.3/47</vt:lpstr>
      <vt:lpstr>A/</vt:lpstr>
    </vt:vector>
  </TitlesOfParts>
  <Company>DCM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ECE/TRANS/WP.29/AC.3/47</dc:title>
  <dc:creator>Ekaterina SALYNSKAYA</dc:creator>
  <cp:lastModifiedBy>Benedicte Boudol</cp:lastModifiedBy>
  <cp:revision>2</cp:revision>
  <cp:lastPrinted>2017-05-01T09:11:00Z</cp:lastPrinted>
  <dcterms:created xsi:type="dcterms:W3CDTF">2017-05-04T16:38:00Z</dcterms:created>
  <dcterms:modified xsi:type="dcterms:W3CDTF">2017-05-04T16:38:00Z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