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41" w:rsidRPr="00CC1841" w:rsidRDefault="00AF06B5" w:rsidP="005A7843">
      <w:pPr>
        <w:pStyle w:val="HChG"/>
        <w:tabs>
          <w:tab w:val="clear" w:pos="851"/>
        </w:tabs>
        <w:spacing w:before="240"/>
        <w:ind w:left="547" w:right="1138" w:firstLine="0"/>
        <w:rPr>
          <w:lang w:val="en-US"/>
        </w:rPr>
      </w:pPr>
      <w:r w:rsidRPr="00AF2205">
        <w:rPr>
          <w:lang w:val="en-GB"/>
        </w:rPr>
        <w:t xml:space="preserve">Proposal </w:t>
      </w:r>
      <w:r w:rsidRPr="00A62A78">
        <w:rPr>
          <w:rFonts w:hint="eastAsia"/>
          <w:lang w:val="en-GB"/>
        </w:rPr>
        <w:t xml:space="preserve">to amend </w:t>
      </w:r>
      <w:r w:rsidR="00F06964">
        <w:rPr>
          <w:lang w:val="en-GB"/>
        </w:rPr>
        <w:t xml:space="preserve">document </w:t>
      </w:r>
      <w:r w:rsidR="00987CF9">
        <w:rPr>
          <w:lang w:val="en-US"/>
        </w:rPr>
        <w:t>ECE/TRANS/WP.</w:t>
      </w:r>
      <w:r w:rsidR="00987CF9" w:rsidRPr="003604F5">
        <w:rPr>
          <w:lang w:val="en-GB"/>
        </w:rPr>
        <w:t>29</w:t>
      </w:r>
      <w:r w:rsidR="00987CF9">
        <w:rPr>
          <w:lang w:val="en-US"/>
        </w:rPr>
        <w:t>/201</w:t>
      </w:r>
      <w:r w:rsidR="00996ABE">
        <w:rPr>
          <w:lang w:val="en-US"/>
        </w:rPr>
        <w:t>7/</w:t>
      </w:r>
      <w:proofErr w:type="gramStart"/>
      <w:r w:rsidR="00996ABE">
        <w:rPr>
          <w:lang w:val="en-US"/>
        </w:rPr>
        <w:t>18</w:t>
      </w:r>
      <w:proofErr w:type="gramEnd"/>
      <w:r w:rsidR="00996ABE">
        <w:rPr>
          <w:lang w:val="en-US"/>
        </w:rPr>
        <w:br/>
        <w:t>(Draft 03 series to Regulation No. 118)</w:t>
      </w:r>
    </w:p>
    <w:p w:rsidR="00841D60" w:rsidRPr="00BD27C0" w:rsidRDefault="00AF06B5" w:rsidP="00AF06B5">
      <w:pPr>
        <w:pStyle w:val="HChG"/>
        <w:tabs>
          <w:tab w:val="clear" w:pos="851"/>
        </w:tabs>
        <w:spacing w:line="240" w:lineRule="auto"/>
        <w:ind w:left="567"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rsidR="00996ABE" w:rsidRPr="00DF2B1E" w:rsidRDefault="00996ABE" w:rsidP="00996ABE">
      <w:pPr>
        <w:keepNext/>
        <w:keepLines/>
        <w:tabs>
          <w:tab w:val="left" w:pos="1985"/>
        </w:tabs>
        <w:spacing w:before="120" w:after="120" w:line="240" w:lineRule="auto"/>
        <w:ind w:left="1985" w:right="1134" w:hanging="851"/>
        <w:jc w:val="both"/>
        <w:rPr>
          <w:lang w:val="en-GB" w:eastAsia="ar-SA"/>
        </w:rPr>
      </w:pPr>
      <w:r w:rsidRPr="00DF2B1E">
        <w:rPr>
          <w:i/>
          <w:lang w:val="en-GB" w:eastAsia="ar-SA"/>
        </w:rPr>
        <w:t xml:space="preserve">Add new paragraphs 12.11. </w:t>
      </w:r>
      <w:proofErr w:type="gramStart"/>
      <w:r w:rsidRPr="00DF2B1E">
        <w:rPr>
          <w:i/>
          <w:lang w:val="en-GB" w:eastAsia="ar-SA"/>
        </w:rPr>
        <w:t>to</w:t>
      </w:r>
      <w:proofErr w:type="gramEnd"/>
      <w:r w:rsidRPr="00DF2B1E">
        <w:rPr>
          <w:i/>
          <w:lang w:val="en-GB" w:eastAsia="ar-SA"/>
        </w:rPr>
        <w:t xml:space="preserve"> </w:t>
      </w:r>
      <w:r w:rsidRPr="00813073">
        <w:rPr>
          <w:i/>
          <w:strike/>
          <w:lang w:val="en-GB" w:eastAsia="ar-SA"/>
        </w:rPr>
        <w:t>12.</w:t>
      </w:r>
      <w:r w:rsidR="00813073" w:rsidRPr="00813073">
        <w:rPr>
          <w:i/>
          <w:strike/>
          <w:lang w:val="en-GB" w:eastAsia="ar-SA"/>
        </w:rPr>
        <w:t>14</w:t>
      </w:r>
      <w:r w:rsidRPr="00DF2B1E">
        <w:rPr>
          <w:i/>
          <w:lang w:val="en-GB" w:eastAsia="ar-SA"/>
        </w:rPr>
        <w:t xml:space="preserve">. </w:t>
      </w:r>
      <w:r w:rsidR="00813073" w:rsidRPr="00813073">
        <w:rPr>
          <w:b/>
          <w:i/>
          <w:lang w:val="en-GB" w:eastAsia="ar-SA"/>
        </w:rPr>
        <w:t>12.16.</w:t>
      </w:r>
      <w:r w:rsidR="00813073">
        <w:rPr>
          <w:i/>
          <w:lang w:val="en-GB" w:eastAsia="ar-SA"/>
        </w:rPr>
        <w:t xml:space="preserve"> </w:t>
      </w:r>
      <w:r w:rsidRPr="00DF2B1E">
        <w:rPr>
          <w:i/>
          <w:lang w:val="en-GB" w:eastAsia="ar-SA"/>
        </w:rPr>
        <w:t>(Transitional provisions),</w:t>
      </w:r>
      <w:r w:rsidRPr="00DF2B1E">
        <w:rPr>
          <w:lang w:val="en-GB" w:eastAsia="ar-SA"/>
        </w:rPr>
        <w:t xml:space="preserve"> to read:</w:t>
      </w:r>
    </w:p>
    <w:p w:rsidR="00996ABE" w:rsidRPr="00DF2B1E" w:rsidRDefault="00996ABE" w:rsidP="00996ABE">
      <w:pPr>
        <w:keepNext/>
        <w:keepLines/>
        <w:spacing w:before="120" w:after="120" w:line="240" w:lineRule="auto"/>
        <w:ind w:left="2268" w:right="1134" w:hanging="1134"/>
        <w:jc w:val="both"/>
        <w:rPr>
          <w:lang w:val="en-GB" w:eastAsia="ar-SA"/>
        </w:rPr>
      </w:pPr>
      <w:r w:rsidRPr="00DF2B1E">
        <w:rPr>
          <w:lang w:val="en-GB" w:eastAsia="ar-SA"/>
        </w:rPr>
        <w:t>"12.11.</w:t>
      </w:r>
      <w:r w:rsidRPr="00DF2B1E">
        <w:rPr>
          <w:lang w:val="en-GB" w:eastAsia="ar-SA"/>
        </w:rPr>
        <w:tab/>
        <w:t xml:space="preserve">As from the official date of entry into force of the 03 series of amendments, no Contracting Parties applying this </w:t>
      </w:r>
      <w:r w:rsidRPr="00813073">
        <w:rPr>
          <w:b/>
          <w:lang w:val="en-GB" w:eastAsia="ar-SA"/>
        </w:rPr>
        <w:t>UN</w:t>
      </w:r>
      <w:r>
        <w:rPr>
          <w:lang w:val="en-GB" w:eastAsia="ar-SA"/>
        </w:rPr>
        <w:t xml:space="preserve"> </w:t>
      </w:r>
      <w:r w:rsidRPr="00DF2B1E">
        <w:rPr>
          <w:lang w:val="en-GB" w:eastAsia="ar-SA"/>
        </w:rPr>
        <w:t xml:space="preserve">Regulation shall refuse to grant approval </w:t>
      </w:r>
      <w:r w:rsidRPr="00813073">
        <w:rPr>
          <w:b/>
          <w:lang w:val="en-GB"/>
        </w:rPr>
        <w:t>or refuse to accept UN type-approvals</w:t>
      </w:r>
      <w:r w:rsidRPr="0041182D">
        <w:rPr>
          <w:lang w:val="en-GB"/>
        </w:rPr>
        <w:t xml:space="preserve"> </w:t>
      </w:r>
      <w:r w:rsidRPr="00DF2B1E">
        <w:rPr>
          <w:lang w:val="en-GB" w:eastAsia="ar-SA"/>
        </w:rPr>
        <w:t xml:space="preserve">under this </w:t>
      </w:r>
      <w:r w:rsidRPr="00813073">
        <w:rPr>
          <w:b/>
          <w:lang w:val="en-GB" w:eastAsia="ar-SA"/>
        </w:rPr>
        <w:t>UN</w:t>
      </w:r>
      <w:r>
        <w:rPr>
          <w:lang w:val="en-GB" w:eastAsia="ar-SA"/>
        </w:rPr>
        <w:t xml:space="preserve"> </w:t>
      </w:r>
      <w:r w:rsidRPr="00DF2B1E">
        <w:rPr>
          <w:lang w:val="en-GB" w:eastAsia="ar-SA"/>
        </w:rPr>
        <w:t>Regulation as amended by the 03 series of amendment.</w:t>
      </w:r>
    </w:p>
    <w:p w:rsidR="00996ABE" w:rsidRDefault="00996ABE" w:rsidP="00996ABE">
      <w:pPr>
        <w:spacing w:before="120" w:after="120" w:line="240" w:lineRule="auto"/>
        <w:ind w:left="2268" w:right="1134" w:hanging="1134"/>
        <w:jc w:val="both"/>
        <w:rPr>
          <w:lang w:val="en-GB" w:eastAsia="ar-SA"/>
        </w:rPr>
      </w:pPr>
      <w:r w:rsidRPr="00DF2B1E">
        <w:rPr>
          <w:lang w:val="en-GB" w:eastAsia="ar-SA"/>
        </w:rPr>
        <w:t>12.12.</w:t>
      </w:r>
      <w:r w:rsidRPr="00DF2B1E">
        <w:rPr>
          <w:lang w:val="en-GB" w:eastAsia="ar-SA"/>
        </w:rPr>
        <w:tab/>
        <w:t xml:space="preserve">As from 1 September 2019, Contracting Parties applying this </w:t>
      </w:r>
      <w:r w:rsidRPr="00813073">
        <w:rPr>
          <w:b/>
          <w:lang w:val="en-GB" w:eastAsia="ar-SA"/>
        </w:rPr>
        <w:t>UN</w:t>
      </w:r>
      <w:r>
        <w:rPr>
          <w:lang w:val="en-GB" w:eastAsia="ar-SA"/>
        </w:rPr>
        <w:t xml:space="preserve"> </w:t>
      </w:r>
      <w:r w:rsidRPr="00DF2B1E">
        <w:rPr>
          <w:lang w:val="en-GB" w:eastAsia="ar-SA"/>
        </w:rPr>
        <w:t xml:space="preserve">Regulation shall </w:t>
      </w:r>
      <w:r w:rsidR="00813073" w:rsidRPr="00813073">
        <w:rPr>
          <w:strike/>
          <w:lang w:val="en-GB"/>
        </w:rPr>
        <w:t xml:space="preserve">grant approvals </w:t>
      </w:r>
      <w:proofErr w:type="spellStart"/>
      <w:r w:rsidR="00813073" w:rsidRPr="00813073">
        <w:rPr>
          <w:strike/>
          <w:lang w:val="en-GB"/>
        </w:rPr>
        <w:t>onloy</w:t>
      </w:r>
      <w:proofErr w:type="spellEnd"/>
      <w:r w:rsidR="00813073" w:rsidRPr="00813073">
        <w:rPr>
          <w:strike/>
          <w:lang w:val="en-GB"/>
        </w:rPr>
        <w:t xml:space="preserve"> if the vehicle type or component type to be approved meet the requirements of this Regulation as amended by the 03 series of amendments</w:t>
      </w:r>
      <w:r w:rsidR="00907A23">
        <w:rPr>
          <w:lang w:val="en-GB"/>
        </w:rPr>
        <w:t xml:space="preserve"> </w:t>
      </w:r>
      <w:r w:rsidR="00907A23" w:rsidRPr="00813073">
        <w:rPr>
          <w:b/>
          <w:lang w:val="en-GB"/>
        </w:rPr>
        <w:t>not be obliged to accept UN type-approvals to the preceding series of amendments, first issued after 1 September 2019</w:t>
      </w:r>
      <w:r w:rsidR="00907A23">
        <w:rPr>
          <w:b/>
          <w:lang w:val="en-GB"/>
        </w:rPr>
        <w:t>.</w:t>
      </w:r>
    </w:p>
    <w:p w:rsidR="00996ABE" w:rsidRPr="00964964" w:rsidRDefault="00996ABE" w:rsidP="00996ABE">
      <w:pPr>
        <w:spacing w:before="120" w:after="120" w:line="240" w:lineRule="auto"/>
        <w:ind w:left="2268" w:right="1134" w:hanging="1134"/>
        <w:jc w:val="both"/>
        <w:rPr>
          <w:b/>
          <w:lang w:val="en-GB" w:eastAsia="ar-SA"/>
        </w:rPr>
      </w:pPr>
      <w:r w:rsidRPr="00964964">
        <w:rPr>
          <w:b/>
          <w:lang w:val="en-GB"/>
        </w:rPr>
        <w:t>12.13.</w:t>
      </w:r>
      <w:r w:rsidRPr="00964964">
        <w:rPr>
          <w:b/>
          <w:lang w:val="en-GB"/>
        </w:rPr>
        <w:tab/>
        <w:t>Until 1 September 2021, Contracting Parties applying this UN Regulation shall accept UN type-approvals to the preceding series of amendments, first issued before 1 September 2019</w:t>
      </w:r>
      <w:r w:rsidRPr="00964964">
        <w:rPr>
          <w:rFonts w:eastAsiaTheme="minorEastAsia"/>
          <w:b/>
          <w:lang w:val="en-GB" w:eastAsia="ja-JP"/>
        </w:rPr>
        <w:t>.</w:t>
      </w:r>
    </w:p>
    <w:p w:rsidR="00996ABE" w:rsidRPr="00DF2B1E" w:rsidRDefault="00996ABE" w:rsidP="00996ABE">
      <w:pPr>
        <w:spacing w:before="120" w:after="120" w:line="240" w:lineRule="auto"/>
        <w:ind w:left="2268" w:right="1134" w:hanging="1134"/>
        <w:jc w:val="both"/>
        <w:rPr>
          <w:lang w:val="en-GB" w:eastAsia="ar-SA"/>
        </w:rPr>
      </w:pPr>
      <w:r w:rsidRPr="00DF2B1E">
        <w:rPr>
          <w:lang w:val="en-GB" w:eastAsia="ar-SA"/>
        </w:rPr>
        <w:t>12.</w:t>
      </w:r>
      <w:r w:rsidR="00964964" w:rsidRPr="00964964">
        <w:rPr>
          <w:strike/>
          <w:lang w:val="en-GB" w:eastAsia="ar-SA"/>
        </w:rPr>
        <w:t>13.</w:t>
      </w:r>
      <w:r w:rsidRPr="00964964">
        <w:rPr>
          <w:b/>
          <w:lang w:val="en-GB" w:eastAsia="ar-SA"/>
        </w:rPr>
        <w:t>14</w:t>
      </w:r>
      <w:r w:rsidRPr="00DF2B1E">
        <w:rPr>
          <w:lang w:val="en-GB" w:eastAsia="ar-SA"/>
        </w:rPr>
        <w:t>.</w:t>
      </w:r>
      <w:r w:rsidRPr="00DF2B1E">
        <w:rPr>
          <w:lang w:val="en-GB" w:eastAsia="ar-SA"/>
        </w:rPr>
        <w:tab/>
        <w:t xml:space="preserve">As from 1 September 2021, Contracting Parties applying this </w:t>
      </w:r>
      <w:r w:rsidRPr="00907A23">
        <w:rPr>
          <w:b/>
          <w:lang w:val="en-GB" w:eastAsia="ar-SA"/>
        </w:rPr>
        <w:t>UN</w:t>
      </w:r>
      <w:r>
        <w:rPr>
          <w:lang w:val="en-GB" w:eastAsia="ar-SA"/>
        </w:rPr>
        <w:t xml:space="preserve"> </w:t>
      </w:r>
      <w:r w:rsidRPr="00DF2B1E">
        <w:rPr>
          <w:lang w:val="en-GB" w:eastAsia="ar-SA"/>
        </w:rPr>
        <w:t xml:space="preserve">Regulation </w:t>
      </w:r>
      <w:r w:rsidR="00907A23" w:rsidRPr="00907A23">
        <w:rPr>
          <w:strike/>
          <w:lang w:val="en-GB" w:eastAsia="ar-SA"/>
        </w:rPr>
        <w:t>may refuse first national registration (first entry into service) of a vehicle which does not meet the requirements of this Regulation as amended by the 03 series of amendments</w:t>
      </w:r>
      <w:r w:rsidR="00907A23">
        <w:rPr>
          <w:lang w:val="en-GB" w:eastAsia="ar-SA"/>
        </w:rPr>
        <w:t xml:space="preserve"> </w:t>
      </w:r>
      <w:r w:rsidRPr="00907A23">
        <w:rPr>
          <w:b/>
          <w:lang w:val="en-GB"/>
        </w:rPr>
        <w:t>shall not be obliged to accept type-approvals issued to the preceding series of amendments to this Regulation</w:t>
      </w:r>
      <w:r w:rsidRPr="00DF2B1E">
        <w:rPr>
          <w:lang w:val="en-GB" w:eastAsia="ar-SA"/>
        </w:rPr>
        <w:t>.</w:t>
      </w:r>
    </w:p>
    <w:p w:rsidR="00996ABE" w:rsidRDefault="00996ABE" w:rsidP="00996ABE">
      <w:pPr>
        <w:spacing w:before="120" w:after="120" w:line="240" w:lineRule="auto"/>
        <w:ind w:left="2268" w:right="1134" w:hanging="1134"/>
        <w:jc w:val="both"/>
        <w:rPr>
          <w:lang w:val="en-GB" w:eastAsia="ar-SA"/>
        </w:rPr>
      </w:pPr>
      <w:r w:rsidRPr="00DF2B1E">
        <w:rPr>
          <w:lang w:val="en-GB" w:eastAsia="ar-SA"/>
        </w:rPr>
        <w:t>12.</w:t>
      </w:r>
      <w:r w:rsidR="00964964" w:rsidRPr="00964964">
        <w:rPr>
          <w:strike/>
          <w:lang w:val="en-GB" w:eastAsia="ar-SA"/>
        </w:rPr>
        <w:t>14.</w:t>
      </w:r>
      <w:r w:rsidRPr="00964964">
        <w:rPr>
          <w:b/>
          <w:lang w:val="en-GB" w:eastAsia="ar-SA"/>
        </w:rPr>
        <w:t>15.</w:t>
      </w:r>
      <w:r w:rsidRPr="00DF2B1E">
        <w:rPr>
          <w:lang w:val="en-GB" w:eastAsia="ar-SA"/>
        </w:rPr>
        <w:tab/>
      </w:r>
      <w:r w:rsidR="00E20AE8" w:rsidRPr="00E20AE8">
        <w:rPr>
          <w:strike/>
          <w:lang w:val="en-GB" w:eastAsia="ar-SA"/>
        </w:rPr>
        <w:t>Even after the date of entry into force of the 03 series of amendments, approvals of the components to the preceding series of amendments to the regulation shall remain valid and Contracting Parties applying the Regulation shall continue to accept them.</w:t>
      </w:r>
      <w:r w:rsidR="00E20AE8" w:rsidRPr="00E27025">
        <w:rPr>
          <w:lang w:val="en-GB" w:eastAsia="ar-SA"/>
        </w:rPr>
        <w:t xml:space="preserve"> </w:t>
      </w:r>
      <w:r w:rsidRPr="00E20AE8">
        <w:rPr>
          <w:rFonts w:eastAsia="MS PGothic"/>
          <w:b/>
          <w:iCs/>
          <w:lang w:val="en-GB" w:eastAsia="ja-JP"/>
        </w:rPr>
        <w:t xml:space="preserve">Notwithstanding paragraph 12.14, </w:t>
      </w:r>
      <w:r w:rsidRPr="00E20AE8">
        <w:rPr>
          <w:b/>
          <w:iCs/>
          <w:lang w:val="en-GB" w:eastAsia="ja-JP"/>
        </w:rPr>
        <w:t xml:space="preserve">Contracting Parties applying the </w:t>
      </w:r>
      <w:r w:rsidRPr="00E20AE8">
        <w:rPr>
          <w:b/>
          <w:lang w:val="en-GB" w:eastAsia="ja-JP"/>
        </w:rPr>
        <w:t xml:space="preserve">UN </w:t>
      </w:r>
      <w:r w:rsidRPr="00E20AE8">
        <w:rPr>
          <w:b/>
          <w:iCs/>
          <w:lang w:val="en-GB" w:eastAsia="ja-JP"/>
        </w:rPr>
        <w:t>Regulation shall continue to accept</w:t>
      </w:r>
      <w:r w:rsidRPr="00E20AE8">
        <w:rPr>
          <w:rFonts w:eastAsia="MS PGothic"/>
          <w:b/>
          <w:iCs/>
          <w:lang w:val="en-GB" w:eastAsia="ja-JP"/>
        </w:rPr>
        <w:t xml:space="preserve"> UN type-approval</w:t>
      </w:r>
      <w:r w:rsidRPr="00E20AE8">
        <w:rPr>
          <w:b/>
          <w:iCs/>
          <w:lang w:val="en-GB" w:eastAsia="ja-JP"/>
        </w:rPr>
        <w:t xml:space="preserve">s of the </w:t>
      </w:r>
      <w:r w:rsidRPr="00E20AE8">
        <w:rPr>
          <w:b/>
          <w:lang w:val="en-GB"/>
        </w:rPr>
        <w:t>components,</w:t>
      </w:r>
      <w:r w:rsidRPr="00E20AE8">
        <w:rPr>
          <w:b/>
          <w:iCs/>
          <w:lang w:val="en-GB" w:eastAsia="ja-JP"/>
        </w:rPr>
        <w:t xml:space="preserve"> </w:t>
      </w:r>
      <w:r w:rsidRPr="00E20AE8">
        <w:rPr>
          <w:b/>
          <w:lang w:val="en-GB"/>
        </w:rPr>
        <w:t>issued</w:t>
      </w:r>
      <w:r w:rsidRPr="00E20AE8">
        <w:rPr>
          <w:b/>
          <w:iCs/>
          <w:spacing w:val="-2"/>
          <w:lang w:val="en-GB" w:eastAsia="ja-JP"/>
        </w:rPr>
        <w:t xml:space="preserve"> </w:t>
      </w:r>
      <w:r w:rsidRPr="00E20AE8">
        <w:rPr>
          <w:b/>
          <w:lang w:val="en-GB"/>
        </w:rPr>
        <w:t>according</w:t>
      </w:r>
      <w:r w:rsidRPr="00E20AE8">
        <w:rPr>
          <w:b/>
          <w:iCs/>
          <w:spacing w:val="-2"/>
          <w:lang w:val="en-GB" w:eastAsia="ja-JP"/>
        </w:rPr>
        <w:t xml:space="preserve"> </w:t>
      </w:r>
      <w:r w:rsidRPr="00E20AE8">
        <w:rPr>
          <w:b/>
          <w:iCs/>
          <w:lang w:val="en-GB" w:eastAsia="ja-JP"/>
        </w:rPr>
        <w:t xml:space="preserve">to the preceding series of amendments to the </w:t>
      </w:r>
      <w:r w:rsidRPr="00E20AE8">
        <w:rPr>
          <w:b/>
          <w:lang w:val="en-GB" w:eastAsia="ja-JP"/>
        </w:rPr>
        <w:t xml:space="preserve">UN </w:t>
      </w:r>
      <w:r w:rsidRPr="00E20AE8">
        <w:rPr>
          <w:b/>
          <w:iCs/>
          <w:lang w:val="en-GB" w:eastAsia="ja-JP"/>
        </w:rPr>
        <w:t>Regulation, which are not affected by the 03 series of amendments</w:t>
      </w:r>
      <w:r w:rsidR="00E20AE8">
        <w:rPr>
          <w:iCs/>
          <w:lang w:val="en-GB" w:eastAsia="ja-JP"/>
        </w:rPr>
        <w:t>.</w:t>
      </w:r>
    </w:p>
    <w:p w:rsidR="00E20AE8" w:rsidRPr="00E20AE8" w:rsidRDefault="00996ABE" w:rsidP="00E20AE8">
      <w:pPr>
        <w:spacing w:after="120"/>
        <w:ind w:left="2268" w:right="1134" w:hanging="1134"/>
        <w:jc w:val="both"/>
        <w:rPr>
          <w:lang w:val="en-GB"/>
        </w:rPr>
      </w:pPr>
      <w:r w:rsidRPr="00964964">
        <w:rPr>
          <w:b/>
          <w:lang w:val="en-GB"/>
        </w:rPr>
        <w:t>12.16</w:t>
      </w:r>
      <w:r w:rsidR="00964964" w:rsidRPr="00964964">
        <w:rPr>
          <w:b/>
          <w:lang w:val="en-GB"/>
        </w:rPr>
        <w:t>.</w:t>
      </w:r>
      <w:r w:rsidRPr="00964964">
        <w:rPr>
          <w:b/>
          <w:lang w:val="en-GB"/>
        </w:rPr>
        <w:tab/>
      </w:r>
      <w:r w:rsidR="00AA74BA" w:rsidRPr="001C2967">
        <w:rPr>
          <w:b/>
          <w:lang w:val="en-GB"/>
        </w:rPr>
        <w:t>Contracting Parties applying this UN Regulation shall not refuse to grant UN type-approvals according to any preceding series of amendments to this UN Regulation or extensions thereof</w:t>
      </w:r>
      <w:r w:rsidRPr="00964964">
        <w:rPr>
          <w:b/>
          <w:lang w:val="en-GB"/>
        </w:rPr>
        <w:t>.</w:t>
      </w:r>
      <w:r w:rsidRPr="00E20AE8">
        <w:rPr>
          <w:lang w:val="en-GB"/>
        </w:rPr>
        <w:t>"</w:t>
      </w:r>
    </w:p>
    <w:p w:rsidR="00841D60" w:rsidRPr="0085498A" w:rsidRDefault="00841D60" w:rsidP="00841D60">
      <w:pPr>
        <w:pStyle w:val="HChG"/>
        <w:tabs>
          <w:tab w:val="clear" w:pos="851"/>
        </w:tabs>
        <w:spacing w:line="240" w:lineRule="auto"/>
        <w:ind w:hanging="567"/>
        <w:rPr>
          <w:lang w:val="en-GB"/>
        </w:rPr>
      </w:pPr>
      <w:r w:rsidRPr="0085498A">
        <w:rPr>
          <w:lang w:val="en-GB"/>
        </w:rPr>
        <w:t>I</w:t>
      </w:r>
      <w:r w:rsidR="00996ABE">
        <w:rPr>
          <w:lang w:val="en-GB"/>
        </w:rPr>
        <w:t>I</w:t>
      </w:r>
      <w:r w:rsidRPr="0085498A">
        <w:rPr>
          <w:lang w:val="en-GB"/>
        </w:rPr>
        <w:t>.</w:t>
      </w:r>
      <w:r w:rsidRPr="0085498A">
        <w:rPr>
          <w:lang w:val="en-GB"/>
        </w:rPr>
        <w:tab/>
        <w:t>Justification</w:t>
      </w:r>
    </w:p>
    <w:p w:rsidR="00996ABE" w:rsidRDefault="00996ABE" w:rsidP="00996ABE">
      <w:pPr>
        <w:ind w:left="1134" w:right="999"/>
        <w:jc w:val="both"/>
        <w:rPr>
          <w:lang w:val="en-GB"/>
        </w:rPr>
      </w:pPr>
      <w:r>
        <w:rPr>
          <w:lang w:val="en-GB"/>
        </w:rPr>
        <w:t>The transitional provisions included in the proposal ECE/TRANS/WP.29/2017/18 ar</w:t>
      </w:r>
      <w:r w:rsidR="00161EE0">
        <w:rPr>
          <w:lang w:val="en-GB"/>
        </w:rPr>
        <w:t>e</w:t>
      </w:r>
      <w:r>
        <w:rPr>
          <w:lang w:val="en-GB"/>
        </w:rPr>
        <w:t xml:space="preserve"> still based on the "old" format, included in the existing guidelines for regulatory and administrative procedures (ECE/TRANS/WP.29/1044/Rev.1).  In view of Revision 3 to the 58 Agreement, expected to come into force in September 2017, these guidelines are being revised (see ECE/TRANS/WP.29/2017/53, submitted to the March 2017 session of WP.29).</w:t>
      </w:r>
    </w:p>
    <w:p w:rsidR="00AA74BA" w:rsidRDefault="00996ABE" w:rsidP="00AA74BA">
      <w:pPr>
        <w:ind w:left="1134" w:right="999"/>
        <w:jc w:val="both"/>
        <w:rPr>
          <w:lang w:val="en-GB"/>
        </w:rPr>
      </w:pPr>
      <w:r>
        <w:rPr>
          <w:lang w:val="en-GB"/>
        </w:rPr>
        <w:t>OICA therefore suggests revising the transitional provisions in accordance with the new guidelines.</w:t>
      </w:r>
      <w:r w:rsidR="00AA74BA" w:rsidRPr="00AA74BA">
        <w:rPr>
          <w:lang w:val="en-GB"/>
        </w:rPr>
        <w:t xml:space="preserve"> </w:t>
      </w:r>
    </w:p>
    <w:p w:rsidR="00AA74BA" w:rsidRPr="00996ABE" w:rsidRDefault="00AA74BA" w:rsidP="00AA74BA">
      <w:pPr>
        <w:ind w:left="1134" w:right="999"/>
        <w:jc w:val="both"/>
        <w:rPr>
          <w:lang w:val="en-GB"/>
        </w:rPr>
      </w:pPr>
      <w:proofErr w:type="gramStart"/>
      <w:r>
        <w:rPr>
          <w:lang w:val="en-GB"/>
        </w:rPr>
        <w:t>Furthermore, with regard to Paragraph 12.16 above (based on Paragraph V.9 of document ECE/TRANS/WP.29/2017/53), the IWVTA Sub Group on the 58 Agreement, at its 23</w:t>
      </w:r>
      <w:r w:rsidRPr="007D51E1">
        <w:rPr>
          <w:vertAlign w:val="superscript"/>
          <w:lang w:val="en-GB"/>
        </w:rPr>
        <w:t>rd</w:t>
      </w:r>
      <w:r>
        <w:rPr>
          <w:lang w:val="en-GB"/>
        </w:rPr>
        <w:t xml:space="preserve"> </w:t>
      </w:r>
      <w:r>
        <w:rPr>
          <w:lang w:val="en-GB"/>
        </w:rPr>
        <w:lastRenderedPageBreak/>
        <w:t>meeting of 10 March 2017, noted a potential for misinterpretation and therefore suggested a minor correction to Paragraph V.9 of document ECE/TRANS/WP.29/2017/53, and this correction has now been taken over in informal document WP.29-171-05-Rev.1.</w:t>
      </w:r>
      <w:proofErr w:type="gramEnd"/>
    </w:p>
    <w:p w:rsidR="0041067B" w:rsidRPr="00996ABE" w:rsidRDefault="0041067B" w:rsidP="00996ABE">
      <w:pPr>
        <w:ind w:left="1134" w:right="999"/>
        <w:jc w:val="both"/>
        <w:rPr>
          <w:lang w:val="en-GB"/>
        </w:rPr>
      </w:pPr>
    </w:p>
    <w:p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AF06B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5E" w:rsidRDefault="00B91A5E"/>
  </w:endnote>
  <w:endnote w:type="continuationSeparator" w:id="0">
    <w:p w:rsidR="00B91A5E" w:rsidRDefault="00B91A5E"/>
  </w:endnote>
  <w:endnote w:type="continuationNotice" w:id="1">
    <w:p w:rsidR="00B91A5E" w:rsidRDefault="00B9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0634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0634C">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7E353A" w:rsidP="00070A6D">
    <w:pPr>
      <w:pStyle w:val="Footer"/>
      <w:rPr>
        <w:sz w:val="20"/>
      </w:rPr>
    </w:pPr>
    <w:r>
      <w:rPr>
        <w:noProof/>
        <w:sz w:val="20"/>
        <w:lang w:val="en-GB"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5E" w:rsidRPr="00D27D5E" w:rsidRDefault="00B91A5E" w:rsidP="00D27D5E">
      <w:pPr>
        <w:tabs>
          <w:tab w:val="right" w:pos="2155"/>
        </w:tabs>
        <w:spacing w:after="80"/>
        <w:ind w:left="680"/>
        <w:rPr>
          <w:u w:val="single"/>
        </w:rPr>
      </w:pPr>
      <w:r>
        <w:rPr>
          <w:u w:val="single"/>
        </w:rPr>
        <w:tab/>
      </w:r>
    </w:p>
  </w:footnote>
  <w:footnote w:type="continuationSeparator" w:id="0">
    <w:p w:rsidR="00B91A5E" w:rsidRDefault="00B91A5E">
      <w:r>
        <w:rPr>
          <w:u w:val="single"/>
        </w:rPr>
        <w:tab/>
      </w:r>
      <w:r>
        <w:rPr>
          <w:u w:val="single"/>
        </w:rPr>
        <w:tab/>
      </w:r>
      <w:r>
        <w:rPr>
          <w:u w:val="single"/>
        </w:rPr>
        <w:tab/>
      </w:r>
      <w:r>
        <w:rPr>
          <w:u w:val="single"/>
        </w:rPr>
        <w:tab/>
      </w:r>
    </w:p>
  </w:footnote>
  <w:footnote w:type="continuationNotice" w:id="1">
    <w:p w:rsidR="00B91A5E" w:rsidRDefault="00B91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4C" w:rsidRPr="00D0634C" w:rsidRDefault="00D0634C" w:rsidP="00D0634C">
    <w:pPr>
      <w:pBdr>
        <w:bottom w:val="single" w:sz="4" w:space="1" w:color="auto"/>
      </w:pBdr>
      <w:spacing w:line="240" w:lineRule="auto"/>
      <w:rPr>
        <w:rFonts w:eastAsia="Times New Roman"/>
        <w:b/>
        <w:sz w:val="18"/>
      </w:rPr>
    </w:pPr>
    <w:r w:rsidRPr="00884F75">
      <w:rPr>
        <w:rFonts w:eastAsia="Times New Roman"/>
        <w:b/>
        <w:sz w:val="18"/>
      </w:rPr>
      <w:t>WP.29-17</w:t>
    </w:r>
    <w:r>
      <w:rPr>
        <w:rFonts w:eastAsia="Times New Roman"/>
        <w:b/>
        <w:sz w:val="18"/>
      </w:rPr>
      <w:t>1</w:t>
    </w:r>
    <w:r w:rsidRPr="00884F75">
      <w:rPr>
        <w:rFonts w:eastAsia="Times New Roman"/>
        <w:b/>
        <w:sz w:val="18"/>
      </w:rPr>
      <w:t>-</w:t>
    </w:r>
    <w:r>
      <w:rPr>
        <w:rFonts w:eastAsia="Times New Roman"/>
        <w:b/>
        <w:sz w:val="18"/>
      </w:rPr>
      <w:t>0</w:t>
    </w:r>
    <w:bookmarkStart w:id="0" w:name="_GoBack"/>
    <w:bookmarkEnd w:id="0"/>
    <w:r>
      <w:rPr>
        <w:rFonts w:eastAsia="Times New Roman"/>
        <w:b/>
        <w:sz w:val="18"/>
      </w:rPr>
      <w:t>5/Rev.1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812"/>
      <w:gridCol w:w="3827"/>
    </w:tblGrid>
    <w:tr w:rsidR="005A7843" w:rsidRPr="0049379F" w:rsidTr="000714AF">
      <w:trPr>
        <w:trHeight w:val="855"/>
      </w:trPr>
      <w:tc>
        <w:tcPr>
          <w:tcW w:w="5812" w:type="dxa"/>
        </w:tcPr>
        <w:p w:rsidR="005A7843" w:rsidRPr="003604F5" w:rsidRDefault="005A7843" w:rsidP="000714AF">
          <w:pPr>
            <w:rPr>
              <w:caps/>
              <w:lang w:val="en-US"/>
            </w:rPr>
          </w:pPr>
          <w:r w:rsidRPr="00715587">
            <w:rPr>
              <w:lang w:val="en-US"/>
            </w:rPr>
            <w:t xml:space="preserve">Transmitted by </w:t>
          </w:r>
          <w:r>
            <w:rPr>
              <w:lang w:val="en-US"/>
            </w:rPr>
            <w:t>the experts from OICA</w:t>
          </w:r>
          <w:r w:rsidRPr="00715587">
            <w:rPr>
              <w:lang w:val="en-US"/>
            </w:rPr>
            <w:t xml:space="preserve"> </w:t>
          </w:r>
        </w:p>
      </w:tc>
      <w:tc>
        <w:tcPr>
          <w:tcW w:w="3827" w:type="dxa"/>
        </w:tcPr>
        <w:p w:rsidR="005A7843" w:rsidRPr="00BE0DF3" w:rsidRDefault="005A7843" w:rsidP="000714AF">
          <w:pPr>
            <w:ind w:right="-108"/>
            <w:rPr>
              <w:b/>
              <w:bCs/>
              <w:lang w:val="en-GB" w:eastAsia="ar-SA"/>
            </w:rPr>
          </w:pPr>
          <w:r w:rsidRPr="00BE0DF3">
            <w:rPr>
              <w:u w:val="single"/>
              <w:lang w:val="en-GB" w:eastAsia="ar-SA"/>
            </w:rPr>
            <w:t xml:space="preserve">Informal document </w:t>
          </w:r>
          <w:r>
            <w:rPr>
              <w:b/>
              <w:bCs/>
              <w:lang w:val="en-GB" w:eastAsia="ar-SA"/>
            </w:rPr>
            <w:t>WP.29-171-</w:t>
          </w:r>
          <w:r w:rsidR="0016233F">
            <w:rPr>
              <w:b/>
              <w:bCs/>
              <w:lang w:val="en-GB" w:eastAsia="ar-SA"/>
            </w:rPr>
            <w:t>05</w:t>
          </w:r>
          <w:r w:rsidR="00AA74BA">
            <w:rPr>
              <w:b/>
              <w:bCs/>
              <w:lang w:val="en-GB" w:eastAsia="ar-SA"/>
            </w:rPr>
            <w:t>-Rev.1</w:t>
          </w:r>
        </w:p>
        <w:p w:rsidR="005A7843" w:rsidRPr="00715587" w:rsidRDefault="005A7843" w:rsidP="000714AF">
          <w:pPr>
            <w:rPr>
              <w:bCs/>
              <w:lang w:val="en-US"/>
            </w:rPr>
          </w:pPr>
          <w:r>
            <w:rPr>
              <w:lang w:val="pt-BR"/>
            </w:rPr>
            <w:t>(171</w:t>
          </w:r>
          <w:r w:rsidRPr="00996ABE">
            <w:rPr>
              <w:vertAlign w:val="superscript"/>
              <w:lang w:val="pt-BR"/>
            </w:rPr>
            <w:t>st</w:t>
          </w:r>
          <w:r>
            <w:rPr>
              <w:lang w:val="pt-BR"/>
            </w:rPr>
            <w:t xml:space="preserve"> WP.29, 14-17 March 2017</w:t>
          </w:r>
          <w:r w:rsidRPr="008B3FED">
            <w:rPr>
              <w:lang w:val="pt-BR"/>
            </w:rPr>
            <w:t>,</w:t>
          </w:r>
          <w:r w:rsidRPr="008B3FED">
            <w:rPr>
              <w:lang w:val="pt-BR"/>
            </w:rPr>
            <w:br/>
            <w:t xml:space="preserve">agenda item </w:t>
          </w:r>
          <w:r>
            <w:rPr>
              <w:lang w:val="pt-BR"/>
            </w:rPr>
            <w:t>4.8.8.</w:t>
          </w:r>
          <w:r w:rsidRPr="008B3FED">
            <w:rPr>
              <w:lang w:val="pt-BR"/>
            </w:rPr>
            <w:t>)</w:t>
          </w:r>
        </w:p>
      </w:tc>
    </w:tr>
  </w:tbl>
  <w:p w:rsidR="00BD53C7" w:rsidRPr="005A7843" w:rsidRDefault="00BD53C7" w:rsidP="00AF06B5">
    <w:pPr>
      <w:pStyle w:val="Header"/>
      <w:pBdr>
        <w:bottom w:val="none" w:sz="0" w:space="0" w:color="auto"/>
      </w:pBdr>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4C" w:rsidRDefault="00D06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7"/>
  </w:num>
  <w:num w:numId="36">
    <w:abstractNumId w:val="11"/>
  </w:num>
  <w:num w:numId="37">
    <w:abstractNumId w:val="26"/>
  </w:num>
  <w:num w:numId="3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1EE0"/>
    <w:rsid w:val="0016233F"/>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379F"/>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A7843"/>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146C"/>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B2A"/>
    <w:rsid w:val="00746F5E"/>
    <w:rsid w:val="007501F7"/>
    <w:rsid w:val="007504AA"/>
    <w:rsid w:val="007512D2"/>
    <w:rsid w:val="00752303"/>
    <w:rsid w:val="00752869"/>
    <w:rsid w:val="00752E98"/>
    <w:rsid w:val="0075478B"/>
    <w:rsid w:val="00754D6F"/>
    <w:rsid w:val="00754FCB"/>
    <w:rsid w:val="00755E58"/>
    <w:rsid w:val="00756FE9"/>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073"/>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5B8F"/>
    <w:rsid w:val="008D633C"/>
    <w:rsid w:val="008E23EB"/>
    <w:rsid w:val="008E254C"/>
    <w:rsid w:val="008E421A"/>
    <w:rsid w:val="008E4410"/>
    <w:rsid w:val="008E4B22"/>
    <w:rsid w:val="008E65BE"/>
    <w:rsid w:val="008E7FAE"/>
    <w:rsid w:val="008E7FF3"/>
    <w:rsid w:val="008F0F36"/>
    <w:rsid w:val="008F273B"/>
    <w:rsid w:val="008F307D"/>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07A23"/>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4964"/>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ABE"/>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4BA"/>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634C"/>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AE8"/>
    <w:rsid w:val="00E20C48"/>
    <w:rsid w:val="00E23C22"/>
    <w:rsid w:val="00E259A2"/>
    <w:rsid w:val="00E25CEE"/>
    <w:rsid w:val="00E2613F"/>
    <w:rsid w:val="00E27025"/>
    <w:rsid w:val="00E27742"/>
    <w:rsid w:val="00E30C44"/>
    <w:rsid w:val="00E35030"/>
    <w:rsid w:val="00E357F2"/>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C9F"/>
    <w:rsid w:val="00F260DE"/>
    <w:rsid w:val="00F30372"/>
    <w:rsid w:val="00F30D47"/>
    <w:rsid w:val="00F3201D"/>
    <w:rsid w:val="00F32AE8"/>
    <w:rsid w:val="00F32F3E"/>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31244A98"/>
  <w15:docId w15:val="{C18401A0-BF3A-481D-ACEF-E291A58D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Caillot</cp:lastModifiedBy>
  <cp:revision>2</cp:revision>
  <cp:lastPrinted>2016-11-07T10:37:00Z</cp:lastPrinted>
  <dcterms:created xsi:type="dcterms:W3CDTF">2017-03-14T13:06:00Z</dcterms:created>
  <dcterms:modified xsi:type="dcterms:W3CDTF">2017-03-14T13:06:00Z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