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AA" w:rsidRPr="008A118A" w:rsidRDefault="00014134" w:rsidP="00016529">
      <w:pPr>
        <w:pStyle w:val="HChG"/>
      </w:pPr>
      <w:r>
        <w:tab/>
      </w:r>
      <w:r>
        <w:tab/>
      </w:r>
      <w:r w:rsidR="009B76AA" w:rsidRPr="008A118A">
        <w:t xml:space="preserve">Report to WP.29 </w:t>
      </w:r>
      <w:r w:rsidR="003D7634" w:rsidRPr="008A118A">
        <w:t xml:space="preserve">about results of </w:t>
      </w:r>
      <w:r w:rsidR="003B25EC">
        <w:t xml:space="preserve">the </w:t>
      </w:r>
      <w:r w:rsidRPr="00014134">
        <w:rPr>
          <w:lang w:val="en-US"/>
        </w:rPr>
        <w:t>6</w:t>
      </w:r>
      <w:r w:rsidR="009B76AA" w:rsidRPr="008A118A">
        <w:rPr>
          <w:vertAlign w:val="superscript"/>
        </w:rPr>
        <w:t>th</w:t>
      </w:r>
      <w:r w:rsidR="009B76AA" w:rsidRPr="008A118A">
        <w:t xml:space="preserve"> </w:t>
      </w:r>
      <w:r w:rsidR="003D7634" w:rsidRPr="008A118A">
        <w:t>meeting of Informal Group on Periodical Technical Inspections</w:t>
      </w:r>
    </w:p>
    <w:p w:rsidR="003A2E93" w:rsidRPr="000D250C" w:rsidRDefault="003B25EC" w:rsidP="00016529">
      <w:pPr>
        <w:pStyle w:val="SingleTxtG"/>
        <w:rPr>
          <w:lang w:val="en-US"/>
        </w:rPr>
      </w:pPr>
      <w:r w:rsidRPr="000D250C">
        <w:rPr>
          <w:lang w:val="en-US"/>
        </w:rPr>
        <w:t xml:space="preserve">The </w:t>
      </w:r>
      <w:r w:rsidR="00014134" w:rsidRPr="00014134">
        <w:rPr>
          <w:lang w:val="en-US"/>
        </w:rPr>
        <w:t>6</w:t>
      </w:r>
      <w:r w:rsidR="003A2E93" w:rsidRPr="000D250C">
        <w:rPr>
          <w:vertAlign w:val="superscript"/>
          <w:lang w:val="en-US"/>
        </w:rPr>
        <w:t>th</w:t>
      </w:r>
      <w:r w:rsidR="003A2E93" w:rsidRPr="000D250C">
        <w:rPr>
          <w:lang w:val="en-US"/>
        </w:rPr>
        <w:t xml:space="preserve"> IWG on PTI meeting was arranged with support of </w:t>
      </w:r>
      <w:r w:rsidR="00014134" w:rsidRPr="00014134">
        <w:rPr>
          <w:color w:val="000000"/>
        </w:rPr>
        <w:t>Rijksdienst voor het Wegverkeer</w:t>
      </w:r>
      <w:r w:rsidR="00014134" w:rsidRPr="00014134">
        <w:rPr>
          <w:rFonts w:ascii="Arial" w:hAnsi="Arial" w:cs="Arial"/>
          <w:color w:val="000000"/>
          <w:sz w:val="10"/>
          <w:szCs w:val="10"/>
        </w:rPr>
        <w:t xml:space="preserve"> </w:t>
      </w:r>
      <w:r w:rsidR="00014134" w:rsidRPr="00014134">
        <w:rPr>
          <w:color w:val="000000"/>
        </w:rPr>
        <w:t>(</w:t>
      </w:r>
      <w:r w:rsidR="00014134" w:rsidRPr="00014134">
        <w:rPr>
          <w:color w:val="000000"/>
          <w:sz w:val="24"/>
          <w:szCs w:val="24"/>
        </w:rPr>
        <w:t>RDW)</w:t>
      </w:r>
      <w:r w:rsidR="00014134">
        <w:rPr>
          <w:color w:val="000000"/>
          <w:sz w:val="24"/>
          <w:szCs w:val="24"/>
          <w:lang w:val="en-US"/>
        </w:rPr>
        <w:t xml:space="preserve"> </w:t>
      </w:r>
      <w:r w:rsidR="003A2E93" w:rsidRPr="000D250C">
        <w:rPr>
          <w:lang w:val="en-GB"/>
        </w:rPr>
        <w:t xml:space="preserve">and held on </w:t>
      </w:r>
      <w:r w:rsidR="00014134">
        <w:rPr>
          <w:lang w:val="en-US"/>
        </w:rPr>
        <w:t>13-14</w:t>
      </w:r>
      <w:r w:rsidR="003A2E93" w:rsidRPr="000D250C">
        <w:rPr>
          <w:lang w:val="en-GB"/>
        </w:rPr>
        <w:t xml:space="preserve"> </w:t>
      </w:r>
      <w:r w:rsidR="00014134">
        <w:rPr>
          <w:lang w:val="en-US"/>
        </w:rPr>
        <w:t>February</w:t>
      </w:r>
      <w:r w:rsidR="003A2E93" w:rsidRPr="000D250C">
        <w:rPr>
          <w:lang w:val="en-GB"/>
        </w:rPr>
        <w:t xml:space="preserve"> 201</w:t>
      </w:r>
      <w:r w:rsidR="00014134">
        <w:rPr>
          <w:lang w:val="en-GB"/>
        </w:rPr>
        <w:t>7</w:t>
      </w:r>
      <w:r w:rsidR="003A2E93" w:rsidRPr="000D250C">
        <w:rPr>
          <w:lang w:val="en-GB"/>
        </w:rPr>
        <w:t xml:space="preserve"> in </w:t>
      </w:r>
      <w:r w:rsidR="00014134">
        <w:rPr>
          <w:lang w:val="en-GB"/>
        </w:rPr>
        <w:t>Amsterdam</w:t>
      </w:r>
      <w:r w:rsidR="003A2E93" w:rsidRPr="000D250C">
        <w:rPr>
          <w:lang w:val="en-GB"/>
        </w:rPr>
        <w:t>.</w:t>
      </w:r>
    </w:p>
    <w:p w:rsidR="003A2E93" w:rsidRDefault="00016529" w:rsidP="00016529">
      <w:pPr>
        <w:pStyle w:val="H1G"/>
        <w:rPr>
          <w:b w:val="0"/>
          <w:szCs w:val="24"/>
          <w:lang w:val="en-US"/>
        </w:rPr>
      </w:pPr>
      <w:r>
        <w:rPr>
          <w:szCs w:val="24"/>
          <w:lang w:val="en-US"/>
        </w:rPr>
        <w:tab/>
      </w:r>
      <w:r w:rsidR="003A2E93" w:rsidRPr="000D250C">
        <w:rPr>
          <w:szCs w:val="24"/>
          <w:lang w:val="en-US"/>
        </w:rPr>
        <w:t xml:space="preserve">1. </w:t>
      </w:r>
      <w:r>
        <w:rPr>
          <w:szCs w:val="24"/>
          <w:lang w:val="en-US"/>
        </w:rPr>
        <w:tab/>
      </w:r>
      <w:r w:rsidR="003A2E93" w:rsidRPr="000D250C">
        <w:rPr>
          <w:szCs w:val="24"/>
        </w:rPr>
        <w:t xml:space="preserve">Provisions </w:t>
      </w:r>
      <w:r w:rsidR="003A2E93" w:rsidRPr="00016529">
        <w:rPr>
          <w:lang w:val="en-US" w:eastAsia="ko-KR"/>
        </w:rPr>
        <w:t>for</w:t>
      </w:r>
      <w:r w:rsidR="003A2E93" w:rsidRPr="000D250C">
        <w:rPr>
          <w:szCs w:val="24"/>
        </w:rPr>
        <w:t xml:space="preserve"> conformity of periodical technical inspection process </w:t>
      </w:r>
    </w:p>
    <w:p w:rsidR="009A3E50" w:rsidRDefault="009A3E50" w:rsidP="009A3E50">
      <w:pPr>
        <w:pStyle w:val="HChG"/>
        <w:jc w:val="both"/>
        <w:rPr>
          <w:b w:val="0"/>
          <w:bCs/>
          <w:color w:val="000000"/>
          <w:spacing w:val="-4"/>
          <w:sz w:val="20"/>
        </w:rPr>
      </w:pPr>
      <w:r>
        <w:rPr>
          <w:b w:val="0"/>
          <w:sz w:val="20"/>
          <w:lang w:val="en-US"/>
        </w:rPr>
        <w:tab/>
      </w:r>
      <w:r>
        <w:rPr>
          <w:b w:val="0"/>
          <w:sz w:val="20"/>
          <w:lang w:val="en-US"/>
        </w:rPr>
        <w:tab/>
      </w:r>
      <w:r w:rsidRPr="009A3E50">
        <w:rPr>
          <w:b w:val="0"/>
          <w:sz w:val="20"/>
          <w:lang w:val="en-US"/>
        </w:rPr>
        <w:t xml:space="preserve">The group reviewed </w:t>
      </w:r>
      <w:r>
        <w:rPr>
          <w:b w:val="0"/>
          <w:sz w:val="20"/>
          <w:lang w:val="en-US"/>
        </w:rPr>
        <w:t>p</w:t>
      </w:r>
      <w:r w:rsidRPr="009A3E50">
        <w:rPr>
          <w:b w:val="0"/>
          <w:sz w:val="20"/>
          <w:lang w:val="en-US"/>
        </w:rPr>
        <w:t xml:space="preserve">roposal for amendments to the </w:t>
      </w:r>
      <w:r w:rsidRPr="009A3E50">
        <w:rPr>
          <w:b w:val="0"/>
          <w:sz w:val="20"/>
        </w:rPr>
        <w:t>1997 A</w:t>
      </w:r>
      <w:r w:rsidRPr="009A3E50">
        <w:rPr>
          <w:b w:val="0"/>
          <w:sz w:val="20"/>
          <w:lang w:val="en-US"/>
        </w:rPr>
        <w:t>greement</w:t>
      </w:r>
      <w:r>
        <w:rPr>
          <w:b w:val="0"/>
          <w:sz w:val="20"/>
          <w:lang w:val="en-US"/>
        </w:rPr>
        <w:t xml:space="preserve">  (document </w:t>
      </w:r>
      <w:r w:rsidRPr="009A3E50">
        <w:rPr>
          <w:b w:val="0"/>
          <w:bCs/>
          <w:color w:val="000000"/>
          <w:spacing w:val="-4"/>
          <w:sz w:val="20"/>
        </w:rPr>
        <w:t>ECE/TRANS/WP.29/2017/49</w:t>
      </w:r>
      <w:r>
        <w:rPr>
          <w:b w:val="0"/>
          <w:bCs/>
          <w:color w:val="000000"/>
          <w:spacing w:val="-4"/>
          <w:sz w:val="20"/>
        </w:rPr>
        <w:t>).</w:t>
      </w:r>
    </w:p>
    <w:p w:rsidR="00A500C9" w:rsidRDefault="00A500C9" w:rsidP="00A500C9">
      <w:pPr>
        <w:autoSpaceDE w:val="0"/>
        <w:autoSpaceDN w:val="0"/>
        <w:adjustRightInd w:val="0"/>
        <w:spacing w:after="0" w:line="360" w:lineRule="auto"/>
        <w:ind w:firstLine="708"/>
        <w:jc w:val="both"/>
        <w:rPr>
          <w:rFonts w:ascii="Times New Roman" w:hAnsi="Times New Roman"/>
          <w:sz w:val="20"/>
          <w:szCs w:val="20"/>
        </w:rPr>
      </w:pPr>
      <w:r>
        <w:rPr>
          <w:lang w:val="en-GB"/>
        </w:rPr>
        <w:t xml:space="preserve">        </w:t>
      </w:r>
      <w:r w:rsidRPr="00A500C9">
        <w:rPr>
          <w:rFonts w:ascii="Times New Roman" w:hAnsi="Times New Roman"/>
          <w:sz w:val="20"/>
          <w:szCs w:val="20"/>
        </w:rPr>
        <w:t xml:space="preserve">The </w:t>
      </w:r>
      <w:r>
        <w:rPr>
          <w:rFonts w:ascii="Times New Roman" w:hAnsi="Times New Roman"/>
          <w:sz w:val="20"/>
          <w:szCs w:val="20"/>
        </w:rPr>
        <w:t>term “roadworthiness” wa</w:t>
      </w:r>
      <w:r w:rsidRPr="00A500C9">
        <w:rPr>
          <w:rFonts w:ascii="Times New Roman" w:hAnsi="Times New Roman"/>
          <w:sz w:val="20"/>
          <w:szCs w:val="20"/>
        </w:rPr>
        <w:t xml:space="preserve">s </w:t>
      </w:r>
      <w:r>
        <w:rPr>
          <w:rFonts w:ascii="Times New Roman" w:hAnsi="Times New Roman"/>
          <w:sz w:val="20"/>
          <w:szCs w:val="20"/>
        </w:rPr>
        <w:t xml:space="preserve">approved to read: </w:t>
      </w:r>
    </w:p>
    <w:p w:rsidR="00A500C9" w:rsidRDefault="00A500C9" w:rsidP="00A500C9">
      <w:pPr>
        <w:pStyle w:val="SingleTxtG"/>
        <w:suppressAutoHyphens w:val="0"/>
        <w:ind w:left="1440"/>
        <w:rPr>
          <w:sz w:val="22"/>
          <w:szCs w:val="22"/>
          <w:lang w:val="en-GB"/>
        </w:rPr>
      </w:pPr>
      <w:r>
        <w:rPr>
          <w:b/>
          <w:sz w:val="22"/>
          <w:szCs w:val="22"/>
          <w:lang w:val="en-US"/>
        </w:rPr>
        <w:t>“</w:t>
      </w:r>
      <w:r w:rsidRPr="00AD5219">
        <w:rPr>
          <w:b/>
          <w:sz w:val="22"/>
          <w:szCs w:val="22"/>
          <w:lang w:val="en-GB"/>
        </w:rPr>
        <w:t>Roadworthiness</w:t>
      </w:r>
      <w:r w:rsidRPr="00AD5219">
        <w:rPr>
          <w:sz w:val="22"/>
          <w:szCs w:val="22"/>
          <w:lang w:val="en-GB"/>
        </w:rPr>
        <w:t xml:space="preserve"> is a property of vehicles to be in a suitable operating condition to be used on public roads, compliant with safety and environmental characteristics as prescribed by the Rules</w:t>
      </w:r>
      <w:r>
        <w:rPr>
          <w:sz w:val="22"/>
          <w:szCs w:val="22"/>
          <w:lang w:val="en-GB"/>
        </w:rPr>
        <w:t xml:space="preserve">” </w:t>
      </w:r>
    </w:p>
    <w:p w:rsidR="00AC6F95" w:rsidRDefault="009A3E50" w:rsidP="00AC6F95">
      <w:pPr>
        <w:pStyle w:val="SingleTxtG"/>
        <w:suppressAutoHyphens w:val="0"/>
        <w:ind w:left="1440"/>
        <w:rPr>
          <w:lang w:val="en-US"/>
        </w:rPr>
      </w:pPr>
      <w:r w:rsidRPr="00A500C9">
        <w:rPr>
          <w:lang w:val="en-US"/>
        </w:rPr>
        <w:t xml:space="preserve">It was agreed that options covering the elements of testing equipment, of test centres within the framework of the 1997 Agreement should provide for the requested flexibility and harmonization. Following the approach the group decided that the requirements enclosed in square brackets in Appendix 3, para 1.2 are too restrictive and must be deleted. </w:t>
      </w:r>
    </w:p>
    <w:p w:rsidR="00AC6F95" w:rsidRPr="00AC6F95" w:rsidRDefault="00AC6F95" w:rsidP="00AC6F95">
      <w:pPr>
        <w:pStyle w:val="SingleTxtG"/>
        <w:suppressAutoHyphens w:val="0"/>
        <w:ind w:left="1440"/>
        <w:rPr>
          <w:lang w:val="en-US"/>
        </w:rPr>
      </w:pPr>
      <w:r>
        <w:rPr>
          <w:sz w:val="22"/>
          <w:szCs w:val="22"/>
          <w:lang w:val="en-GB"/>
        </w:rPr>
        <w:t xml:space="preserve">These additional proposals </w:t>
      </w:r>
      <w:r w:rsidRPr="00AC6F95">
        <w:rPr>
          <w:sz w:val="22"/>
          <w:szCs w:val="22"/>
          <w:lang w:val="en-GB"/>
        </w:rPr>
        <w:t xml:space="preserve">for  </w:t>
      </w:r>
      <w:r w:rsidRPr="00AC6F95">
        <w:rPr>
          <w:lang w:val="en-US"/>
        </w:rPr>
        <w:t xml:space="preserve">amendments to the </w:t>
      </w:r>
      <w:r w:rsidRPr="00AC6F95">
        <w:rPr>
          <w:lang w:val="en-GB"/>
        </w:rPr>
        <w:t>1997 A</w:t>
      </w:r>
      <w:r w:rsidRPr="00AC6F95">
        <w:rPr>
          <w:lang w:val="en-US"/>
        </w:rPr>
        <w:t>greement</w:t>
      </w:r>
      <w:r>
        <w:rPr>
          <w:b/>
          <w:lang w:val="en-US"/>
        </w:rPr>
        <w:t xml:space="preserve">  </w:t>
      </w:r>
      <w:r w:rsidRPr="00AD5219">
        <w:rPr>
          <w:sz w:val="22"/>
          <w:szCs w:val="22"/>
          <w:lang w:val="en-GB"/>
        </w:rPr>
        <w:t xml:space="preserve">the group </w:t>
      </w:r>
      <w:r>
        <w:rPr>
          <w:sz w:val="22"/>
          <w:szCs w:val="22"/>
          <w:lang w:val="en-GB"/>
        </w:rPr>
        <w:t>decided to</w:t>
      </w:r>
      <w:r w:rsidRPr="00AD5219">
        <w:rPr>
          <w:sz w:val="22"/>
          <w:szCs w:val="22"/>
          <w:lang w:val="en-GB"/>
        </w:rPr>
        <w:t xml:space="preserve"> s</w:t>
      </w:r>
      <w:r>
        <w:rPr>
          <w:sz w:val="22"/>
          <w:szCs w:val="22"/>
          <w:lang w:val="en-GB"/>
        </w:rPr>
        <w:t>ubmit</w:t>
      </w:r>
      <w:r w:rsidRPr="00AD5219">
        <w:rPr>
          <w:sz w:val="22"/>
          <w:szCs w:val="22"/>
          <w:lang w:val="en-GB"/>
        </w:rPr>
        <w:t xml:space="preserve"> for the consideration of the WP.29. </w:t>
      </w:r>
    </w:p>
    <w:p w:rsidR="005709B5" w:rsidRPr="005709B5" w:rsidRDefault="005709B5" w:rsidP="005709B5">
      <w:pPr>
        <w:pStyle w:val="SingleTxtG"/>
        <w:suppressAutoHyphens w:val="0"/>
        <w:ind w:left="1440"/>
        <w:rPr>
          <w:sz w:val="22"/>
          <w:szCs w:val="22"/>
          <w:lang w:val="en-GB"/>
        </w:rPr>
      </w:pPr>
      <w:r w:rsidRPr="005709B5">
        <w:rPr>
          <w:lang w:val="en-US"/>
        </w:rPr>
        <w:t xml:space="preserve">Proposal for a Resolution </w:t>
      </w:r>
      <w:r w:rsidRPr="005709B5">
        <w:rPr>
          <w:rFonts w:eastAsia="MS Mincho"/>
          <w:lang w:val="en-US"/>
        </w:rPr>
        <w:t>on</w:t>
      </w:r>
      <w:r w:rsidRPr="005709B5">
        <w:rPr>
          <w:lang w:val="en-US"/>
        </w:rPr>
        <w:t xml:space="preserve"> the administrative and technical provisions required for carrying out the </w:t>
      </w:r>
      <w:r w:rsidRPr="005709B5">
        <w:rPr>
          <w:rFonts w:eastAsia="MS Mincho"/>
          <w:lang w:val="en-US"/>
        </w:rPr>
        <w:t>technical inspections</w:t>
      </w:r>
      <w:r w:rsidRPr="005709B5">
        <w:rPr>
          <w:lang w:val="en-US"/>
        </w:rPr>
        <w:t xml:space="preserve"> according to the technical prescriptions specified in UN Rules (document </w:t>
      </w:r>
      <w:r w:rsidRPr="005709B5">
        <w:rPr>
          <w:bCs/>
          <w:color w:val="000000"/>
          <w:spacing w:val="-4"/>
        </w:rPr>
        <w:t xml:space="preserve">ECE/TRANS/WP.29/2017/50) was reviewed. </w:t>
      </w:r>
      <w:r w:rsidRPr="005709B5">
        <w:rPr>
          <w:bCs/>
          <w:color w:val="000000"/>
          <w:spacing w:val="-4"/>
          <w:sz w:val="22"/>
          <w:szCs w:val="22"/>
          <w:lang w:val="en-GB"/>
        </w:rPr>
        <w:t>The group has not introduced any additional modification in the document.</w:t>
      </w:r>
    </w:p>
    <w:p w:rsidR="005C3B59" w:rsidRPr="005709B5" w:rsidRDefault="005C3B59" w:rsidP="005709B5">
      <w:pPr>
        <w:pStyle w:val="SingleTxtG"/>
        <w:rPr>
          <w:lang w:val="en-GB"/>
        </w:rPr>
      </w:pPr>
    </w:p>
    <w:p w:rsidR="001142E7" w:rsidRDefault="00016529" w:rsidP="001142E7">
      <w:pPr>
        <w:pStyle w:val="H1G"/>
      </w:pPr>
      <w:r>
        <w:rPr>
          <w:color w:val="333333"/>
          <w:szCs w:val="24"/>
          <w:lang w:val="en-US"/>
        </w:rPr>
        <w:tab/>
      </w:r>
      <w:r w:rsidR="003A2E93" w:rsidRPr="003A2E93">
        <w:rPr>
          <w:color w:val="333333"/>
          <w:szCs w:val="24"/>
          <w:lang w:val="en-US"/>
        </w:rPr>
        <w:t>2.</w:t>
      </w:r>
      <w:r w:rsidR="003A2E93">
        <w:rPr>
          <w:color w:val="333333"/>
          <w:szCs w:val="24"/>
          <w:lang w:val="en-US"/>
        </w:rPr>
        <w:t xml:space="preserve"> </w:t>
      </w:r>
      <w:r>
        <w:rPr>
          <w:color w:val="333333"/>
          <w:szCs w:val="24"/>
          <w:lang w:val="en-US"/>
        </w:rPr>
        <w:tab/>
      </w:r>
      <w:r w:rsidR="003A2E93" w:rsidRPr="003A2E93">
        <w:t>Completing draft amendments to Rule 1 and Rule 2</w:t>
      </w:r>
    </w:p>
    <w:p w:rsidR="001142E7" w:rsidRDefault="001142E7" w:rsidP="001142E7">
      <w:pPr>
        <w:pStyle w:val="SingleTxtG"/>
        <w:suppressAutoHyphens w:val="0"/>
        <w:ind w:left="720" w:firstLine="414"/>
        <w:rPr>
          <w:lang w:val="en-GB"/>
        </w:rPr>
      </w:pPr>
      <w:r>
        <w:rPr>
          <w:color w:val="333333"/>
          <w:szCs w:val="24"/>
        </w:rPr>
        <w:tab/>
      </w:r>
      <w:r w:rsidR="00EC4E93" w:rsidRPr="001142E7">
        <w:rPr>
          <w:lang w:val="en-US"/>
        </w:rPr>
        <w:t xml:space="preserve">The group reviewed </w:t>
      </w:r>
      <w:r w:rsidRPr="001142E7">
        <w:rPr>
          <w:bCs/>
        </w:rPr>
        <w:t>revised p</w:t>
      </w:r>
      <w:r w:rsidRPr="001142E7">
        <w:t xml:space="preserve">roposals  for draft amendments for Revision 2 to Rule No. 1 on uniform provisions for Periodical Technical Inspections of wheeled vehicles with regard to the protection of the environment (document </w:t>
      </w:r>
      <w:r w:rsidRPr="001142E7">
        <w:rPr>
          <w:bCs/>
          <w:color w:val="000000"/>
          <w:spacing w:val="-4"/>
        </w:rPr>
        <w:t>ECE/TRANS/WP.29/2017/</w:t>
      </w:r>
      <w:r w:rsidRPr="001142E7">
        <w:rPr>
          <w:bCs/>
          <w:color w:val="000000"/>
          <w:spacing w:val="-4"/>
          <w:lang w:val="en-US"/>
        </w:rPr>
        <w:t>8</w:t>
      </w:r>
      <w:r w:rsidRPr="001142E7">
        <w:rPr>
          <w:bCs/>
          <w:color w:val="000000"/>
          <w:spacing w:val="-4"/>
        </w:rPr>
        <w:t>7)</w:t>
      </w:r>
      <w:r w:rsidRPr="001142E7">
        <w:tab/>
      </w:r>
      <w:r w:rsidRPr="001142E7">
        <w:tab/>
        <w:t xml:space="preserve">and for draft amendments to Rule No. 2 on uniform provisions for periodical technical inspections of wheeled vehicles with regard their roadworthiness (document </w:t>
      </w:r>
      <w:r w:rsidRPr="001142E7">
        <w:rPr>
          <w:bCs/>
          <w:color w:val="000000"/>
          <w:spacing w:val="-4"/>
        </w:rPr>
        <w:t>ECE/TRANS/WP.29/2017/</w:t>
      </w:r>
      <w:r w:rsidRPr="001142E7">
        <w:rPr>
          <w:bCs/>
          <w:color w:val="000000"/>
          <w:spacing w:val="-4"/>
          <w:lang w:val="en-US"/>
        </w:rPr>
        <w:t>88</w:t>
      </w:r>
      <w:r w:rsidRPr="001142E7">
        <w:rPr>
          <w:bCs/>
          <w:color w:val="000000"/>
          <w:spacing w:val="-4"/>
        </w:rPr>
        <w:t>).</w:t>
      </w:r>
      <w:r w:rsidRPr="001142E7">
        <w:rPr>
          <w:lang w:val="en-GB"/>
        </w:rPr>
        <w:t xml:space="preserve"> </w:t>
      </w:r>
    </w:p>
    <w:p w:rsidR="00377C11" w:rsidRDefault="00377C11" w:rsidP="001142E7">
      <w:pPr>
        <w:pStyle w:val="SingleTxtG"/>
        <w:suppressAutoHyphens w:val="0"/>
        <w:ind w:left="720" w:firstLine="414"/>
        <w:rPr>
          <w:lang w:val="en-GB"/>
        </w:rPr>
      </w:pPr>
      <w:r>
        <w:rPr>
          <w:lang w:val="en-US"/>
        </w:rPr>
        <w:t xml:space="preserve">There were found minor editorial mistakes in the documents. The group decided to submit </w:t>
      </w:r>
      <w:r w:rsidR="000F245B">
        <w:rPr>
          <w:sz w:val="22"/>
          <w:szCs w:val="22"/>
          <w:lang w:val="en-GB"/>
        </w:rPr>
        <w:t xml:space="preserve">the proposals for correction of documents </w:t>
      </w:r>
      <w:r w:rsidR="000F245B" w:rsidRPr="00AD5219">
        <w:rPr>
          <w:sz w:val="22"/>
          <w:szCs w:val="22"/>
          <w:lang w:val="en-GB"/>
        </w:rPr>
        <w:t xml:space="preserve"> </w:t>
      </w:r>
      <w:r w:rsidR="000F245B" w:rsidRPr="001142E7">
        <w:rPr>
          <w:bCs/>
          <w:color w:val="000000"/>
          <w:spacing w:val="-4"/>
        </w:rPr>
        <w:t>ECE/TRANS/WP.29/2017/</w:t>
      </w:r>
      <w:r w:rsidR="000F245B" w:rsidRPr="001142E7">
        <w:rPr>
          <w:bCs/>
          <w:color w:val="000000"/>
          <w:spacing w:val="-4"/>
          <w:lang w:val="en-US"/>
        </w:rPr>
        <w:t>8</w:t>
      </w:r>
      <w:r w:rsidR="000F245B" w:rsidRPr="001142E7">
        <w:rPr>
          <w:bCs/>
          <w:color w:val="000000"/>
          <w:spacing w:val="-4"/>
        </w:rPr>
        <w:t>7</w:t>
      </w:r>
      <w:r w:rsidR="000F245B">
        <w:rPr>
          <w:bCs/>
          <w:color w:val="000000"/>
          <w:spacing w:val="-4"/>
          <w:lang w:val="en-US"/>
        </w:rPr>
        <w:t xml:space="preserve"> and</w:t>
      </w:r>
      <w:r w:rsidR="000F245B" w:rsidRPr="000F245B">
        <w:rPr>
          <w:bCs/>
          <w:color w:val="000000"/>
          <w:spacing w:val="-4"/>
        </w:rPr>
        <w:t xml:space="preserve"> </w:t>
      </w:r>
      <w:r w:rsidR="000F245B" w:rsidRPr="001142E7">
        <w:rPr>
          <w:bCs/>
          <w:color w:val="000000"/>
          <w:spacing w:val="-4"/>
        </w:rPr>
        <w:t>ECE/TRANS/WP.29/2017/</w:t>
      </w:r>
      <w:r w:rsidR="000F245B" w:rsidRPr="001142E7">
        <w:rPr>
          <w:bCs/>
          <w:color w:val="000000"/>
          <w:spacing w:val="-4"/>
          <w:lang w:val="en-US"/>
        </w:rPr>
        <w:t>8</w:t>
      </w:r>
      <w:r w:rsidR="000F245B">
        <w:rPr>
          <w:bCs/>
          <w:color w:val="000000"/>
          <w:spacing w:val="-4"/>
          <w:lang w:val="en-US"/>
        </w:rPr>
        <w:t xml:space="preserve">8 </w:t>
      </w:r>
      <w:r w:rsidR="000F245B" w:rsidRPr="00AD5219">
        <w:rPr>
          <w:sz w:val="22"/>
          <w:szCs w:val="22"/>
          <w:lang w:val="en-GB"/>
        </w:rPr>
        <w:t>for the consideration of the WP.29</w:t>
      </w:r>
      <w:r w:rsidR="000F245B">
        <w:rPr>
          <w:sz w:val="22"/>
          <w:szCs w:val="22"/>
          <w:lang w:val="en-GB"/>
        </w:rPr>
        <w:t>.</w:t>
      </w:r>
    </w:p>
    <w:p w:rsidR="000F245B" w:rsidRDefault="001142E7" w:rsidP="000F245B">
      <w:pPr>
        <w:pStyle w:val="SingleTxtG"/>
        <w:suppressAutoHyphens w:val="0"/>
        <w:ind w:left="720" w:firstLine="414"/>
        <w:rPr>
          <w:lang w:val="en-US"/>
        </w:rPr>
      </w:pPr>
      <w:r w:rsidRPr="001142E7">
        <w:rPr>
          <w:lang w:val="en-GB"/>
        </w:rPr>
        <w:t xml:space="preserve">Regarding the scope of the Rules, some Contracting Parties continue to consider the possibility of extending the Rules to vehicles of  lighter than 3.5 t. </w:t>
      </w:r>
      <w:r w:rsidRPr="00016529">
        <w:t xml:space="preserve">Romania and Serbia stated that they </w:t>
      </w:r>
      <w:r w:rsidR="00377C11">
        <w:rPr>
          <w:lang w:val="en-US"/>
        </w:rPr>
        <w:t xml:space="preserve">could </w:t>
      </w:r>
      <w:r w:rsidR="00377C11">
        <w:rPr>
          <w:lang w:val="en-US"/>
        </w:rPr>
        <w:lastRenderedPageBreak/>
        <w:t xml:space="preserve">support </w:t>
      </w:r>
      <w:r w:rsidRPr="00016529">
        <w:t>keep</w:t>
      </w:r>
      <w:r w:rsidR="00377C11">
        <w:rPr>
          <w:lang w:val="en-US"/>
        </w:rPr>
        <w:t>ing</w:t>
      </w:r>
      <w:r w:rsidRPr="00016529">
        <w:t xml:space="preserve"> light vehicles </w:t>
      </w:r>
      <w:r w:rsidR="00377C11">
        <w:rPr>
          <w:lang w:val="en-US"/>
        </w:rPr>
        <w:t>in</w:t>
      </w:r>
      <w:r w:rsidRPr="00016529">
        <w:t xml:space="preserve"> the scope</w:t>
      </w:r>
      <w:r w:rsidR="00377C11">
        <w:rPr>
          <w:lang w:val="en-US"/>
        </w:rPr>
        <w:t>.</w:t>
      </w:r>
      <w:r w:rsidR="00377C11" w:rsidRPr="00377C11">
        <w:t xml:space="preserve"> </w:t>
      </w:r>
      <w:r w:rsidR="00377C11">
        <w:rPr>
          <w:lang w:val="en-US"/>
        </w:rPr>
        <w:t xml:space="preserve">The </w:t>
      </w:r>
      <w:r w:rsidR="00377C11">
        <w:t>United Kingdom</w:t>
      </w:r>
      <w:r w:rsidR="00377C11">
        <w:rPr>
          <w:lang w:val="en-US"/>
        </w:rPr>
        <w:t xml:space="preserve"> and</w:t>
      </w:r>
      <w:r w:rsidR="00377C11" w:rsidRPr="00016529">
        <w:t xml:space="preserve"> </w:t>
      </w:r>
      <w:r w:rsidR="00377C11">
        <w:rPr>
          <w:lang w:val="en-US"/>
        </w:rPr>
        <w:t xml:space="preserve">the </w:t>
      </w:r>
      <w:r w:rsidR="00377C11" w:rsidRPr="00016529">
        <w:t>Netherland</w:t>
      </w:r>
      <w:r w:rsidR="00377C11">
        <w:rPr>
          <w:lang w:val="en-US"/>
        </w:rPr>
        <w:t>s</w:t>
      </w:r>
      <w:r w:rsidR="00377C11" w:rsidRPr="00016529">
        <w:t xml:space="preserve"> </w:t>
      </w:r>
      <w:r w:rsidR="00377C11">
        <w:rPr>
          <w:lang w:val="en-US"/>
        </w:rPr>
        <w:t>still</w:t>
      </w:r>
      <w:r w:rsidR="00377C11" w:rsidRPr="00016529">
        <w:t xml:space="preserve"> have </w:t>
      </w:r>
      <w:r w:rsidR="00377C11">
        <w:rPr>
          <w:lang w:val="en-US"/>
        </w:rPr>
        <w:t>no</w:t>
      </w:r>
      <w:r w:rsidR="00377C11" w:rsidRPr="00016529">
        <w:t>t define their final position</w:t>
      </w:r>
      <w:r w:rsidR="00377C11">
        <w:rPr>
          <w:lang w:val="en-US"/>
        </w:rPr>
        <w:t>.</w:t>
      </w:r>
    </w:p>
    <w:p w:rsidR="001142E7" w:rsidRPr="000F245B" w:rsidRDefault="00377C11" w:rsidP="000F245B">
      <w:pPr>
        <w:pStyle w:val="SingleTxtG"/>
        <w:suppressAutoHyphens w:val="0"/>
        <w:ind w:left="720" w:firstLine="414"/>
        <w:rPr>
          <w:lang w:val="en-US"/>
        </w:rPr>
      </w:pPr>
      <w:r w:rsidRPr="00377C11">
        <w:rPr>
          <w:bCs/>
          <w:color w:val="000000"/>
          <w:spacing w:val="-4"/>
          <w:lang w:val="en-GB"/>
        </w:rPr>
        <w:t xml:space="preserve">Regarding the transitional provisions, the group </w:t>
      </w:r>
      <w:r>
        <w:rPr>
          <w:bCs/>
          <w:color w:val="000000"/>
          <w:spacing w:val="-4"/>
          <w:lang w:val="en-GB"/>
        </w:rPr>
        <w:t>considered</w:t>
      </w:r>
      <w:r w:rsidRPr="00377C11">
        <w:t xml:space="preserve"> different positions of the Contracting parties. The approved proposals make it possible to use latest revisions of the Rules from their entry into force in accordance with the 1997 Vienna agreement. The ITIC issued according to previous revisions of the Rules will be valid until the expiry date indicated therein. </w:t>
      </w:r>
      <w:r w:rsidRPr="00377C11">
        <w:rPr>
          <w:bCs/>
          <w:color w:val="000000"/>
          <w:spacing w:val="-4"/>
          <w:lang w:val="en-GB"/>
        </w:rPr>
        <w:t xml:space="preserve">The </w:t>
      </w:r>
      <w:r w:rsidR="000F245B">
        <w:rPr>
          <w:bCs/>
          <w:color w:val="000000"/>
          <w:spacing w:val="-4"/>
          <w:lang w:val="en-GB"/>
        </w:rPr>
        <w:t xml:space="preserve">corresponding </w:t>
      </w:r>
      <w:r w:rsidRPr="00377C11">
        <w:rPr>
          <w:bCs/>
          <w:color w:val="000000"/>
          <w:spacing w:val="-4"/>
          <w:lang w:val="en-GB"/>
        </w:rPr>
        <w:t xml:space="preserve">document </w:t>
      </w:r>
      <w:r w:rsidR="000F245B">
        <w:rPr>
          <w:bCs/>
          <w:color w:val="000000"/>
          <w:spacing w:val="-4"/>
          <w:lang w:val="en-GB"/>
        </w:rPr>
        <w:t>was agreed</w:t>
      </w:r>
      <w:r w:rsidRPr="00377C11">
        <w:rPr>
          <w:bCs/>
          <w:color w:val="000000"/>
          <w:spacing w:val="-4"/>
          <w:lang w:val="en-GB"/>
        </w:rPr>
        <w:t xml:space="preserve"> to be sent to the WP.29.</w:t>
      </w:r>
    </w:p>
    <w:p w:rsidR="00991A14" w:rsidRDefault="00016529" w:rsidP="00991A14">
      <w:pPr>
        <w:pStyle w:val="H1G"/>
      </w:pPr>
      <w:r>
        <w:tab/>
      </w:r>
      <w:r w:rsidR="000C2F32" w:rsidRPr="000C2F32">
        <w:t xml:space="preserve">3. </w:t>
      </w:r>
      <w:r>
        <w:tab/>
      </w:r>
      <w:r w:rsidR="000C2F32" w:rsidRPr="000C2F32">
        <w:t xml:space="preserve">Development of new rules for vehicles and their parts and equipment incorporating new technologies </w:t>
      </w:r>
    </w:p>
    <w:p w:rsidR="00152ADB" w:rsidRDefault="00991A14" w:rsidP="00152ADB">
      <w:pPr>
        <w:pStyle w:val="H1G"/>
        <w:rPr>
          <w:b w:val="0"/>
          <w:sz w:val="20"/>
        </w:rPr>
      </w:pPr>
      <w:r>
        <w:tab/>
      </w:r>
      <w:r>
        <w:tab/>
      </w:r>
      <w:r w:rsidRPr="00991A14">
        <w:rPr>
          <w:b w:val="0"/>
          <w:sz w:val="20"/>
        </w:rPr>
        <w:t xml:space="preserve">The group </w:t>
      </w:r>
      <w:r w:rsidRPr="00991A14">
        <w:rPr>
          <w:b w:val="0"/>
          <w:sz w:val="20"/>
          <w:lang w:val="en-US"/>
        </w:rPr>
        <w:t>approved p</w:t>
      </w:r>
      <w:r w:rsidR="000F245B" w:rsidRPr="00991A14">
        <w:rPr>
          <w:b w:val="0"/>
          <w:bCs/>
          <w:color w:val="000000"/>
          <w:spacing w:val="-4"/>
          <w:sz w:val="20"/>
        </w:rPr>
        <w:t xml:space="preserve">roposals for new draft Rule on </w:t>
      </w:r>
      <w:r w:rsidR="000F245B" w:rsidRPr="00991A14">
        <w:rPr>
          <w:b w:val="0"/>
          <w:sz w:val="20"/>
        </w:rPr>
        <w:t xml:space="preserve">uniform provisions for periodical technical inspections motor vehicles using compressed natural gas (CNG) and/or liquefied natural gas (LNG) in their propulsion system with regard their roadworthiness were developed by CITA on the base of minimum inspection requirements for vehicles powered with LPG and </w:t>
      </w:r>
      <w:r w:rsidR="000F245B" w:rsidRPr="00991A14">
        <w:rPr>
          <w:b w:val="0"/>
          <w:sz w:val="20"/>
          <w:lang w:val="ru-RU"/>
        </w:rPr>
        <w:t>С</w:t>
      </w:r>
      <w:r w:rsidR="000F245B" w:rsidRPr="00991A14">
        <w:rPr>
          <w:b w:val="0"/>
          <w:sz w:val="20"/>
        </w:rPr>
        <w:t>NG developed by the Russian Federation and CITA</w:t>
      </w:r>
      <w:r w:rsidR="000F245B" w:rsidRPr="00991A14">
        <w:rPr>
          <w:b w:val="0"/>
          <w:sz w:val="20"/>
          <w:lang w:val="en-US"/>
        </w:rPr>
        <w:t xml:space="preserve"> </w:t>
      </w:r>
      <w:r w:rsidR="000F245B" w:rsidRPr="00991A14">
        <w:rPr>
          <w:b w:val="0"/>
          <w:sz w:val="20"/>
        </w:rPr>
        <w:t>(WP-165-06)</w:t>
      </w:r>
      <w:r w:rsidR="000F245B" w:rsidRPr="00991A14">
        <w:rPr>
          <w:b w:val="0"/>
          <w:sz w:val="20"/>
          <w:lang w:val="en-US"/>
        </w:rPr>
        <w:t>.</w:t>
      </w:r>
      <w:r w:rsidR="000F245B" w:rsidRPr="00991A14">
        <w:rPr>
          <w:b w:val="0"/>
          <w:sz w:val="20"/>
        </w:rPr>
        <w:t xml:space="preserve"> </w:t>
      </w:r>
      <w:r w:rsidRPr="00991A14">
        <w:rPr>
          <w:b w:val="0"/>
          <w:sz w:val="20"/>
          <w:lang w:val="en-US"/>
        </w:rPr>
        <w:t xml:space="preserve">It was agreed to send the new draft Rule for </w:t>
      </w:r>
      <w:r w:rsidRPr="00991A14">
        <w:rPr>
          <w:b w:val="0"/>
          <w:sz w:val="20"/>
        </w:rPr>
        <w:t xml:space="preserve">the consideration of the WP.29. </w:t>
      </w:r>
    </w:p>
    <w:p w:rsidR="000F245B" w:rsidRPr="00152ADB" w:rsidRDefault="00152ADB" w:rsidP="00152ADB">
      <w:pPr>
        <w:pStyle w:val="H1G"/>
        <w:rPr>
          <w:b w:val="0"/>
          <w:sz w:val="20"/>
        </w:rPr>
      </w:pPr>
      <w:r>
        <w:rPr>
          <w:b w:val="0"/>
          <w:sz w:val="20"/>
        </w:rPr>
        <w:tab/>
      </w:r>
      <w:r>
        <w:rPr>
          <w:b w:val="0"/>
          <w:sz w:val="20"/>
        </w:rPr>
        <w:tab/>
      </w:r>
      <w:r w:rsidR="00991A14" w:rsidRPr="00152ADB">
        <w:rPr>
          <w:b w:val="0"/>
          <w:sz w:val="20"/>
        </w:rPr>
        <w:t xml:space="preserve">Draft Rule </w:t>
      </w:r>
      <w:r w:rsidR="00991A14" w:rsidRPr="00152ADB">
        <w:rPr>
          <w:b w:val="0"/>
          <w:bCs/>
          <w:color w:val="000000"/>
          <w:spacing w:val="-4"/>
          <w:sz w:val="20"/>
        </w:rPr>
        <w:t xml:space="preserve">on </w:t>
      </w:r>
      <w:r w:rsidR="00991A14" w:rsidRPr="00152ADB">
        <w:rPr>
          <w:b w:val="0"/>
          <w:sz w:val="20"/>
        </w:rPr>
        <w:t xml:space="preserve">uniform provisions for periodical technical inspections </w:t>
      </w:r>
      <w:r w:rsidRPr="00152ADB">
        <w:rPr>
          <w:rFonts w:eastAsiaTheme="minorHAnsi"/>
          <w:b w:val="0"/>
          <w:sz w:val="20"/>
          <w:lang w:val="en-US"/>
        </w:rPr>
        <w:t>the electric power train of road</w:t>
      </w:r>
      <w:r>
        <w:rPr>
          <w:rFonts w:eastAsiaTheme="minorHAnsi"/>
          <w:b w:val="0"/>
          <w:sz w:val="20"/>
          <w:lang w:val="en-US"/>
        </w:rPr>
        <w:t xml:space="preserve"> </w:t>
      </w:r>
      <w:r w:rsidRPr="00152ADB">
        <w:rPr>
          <w:rFonts w:eastAsiaTheme="minorHAnsi"/>
          <w:b w:val="0"/>
          <w:sz w:val="20"/>
          <w:lang w:val="en-US"/>
        </w:rPr>
        <w:t>vehicles</w:t>
      </w:r>
      <w:r w:rsidRPr="00152ADB">
        <w:rPr>
          <w:b w:val="0"/>
          <w:sz w:val="20"/>
        </w:rPr>
        <w:t xml:space="preserve"> </w:t>
      </w:r>
      <w:r>
        <w:rPr>
          <w:b w:val="0"/>
          <w:sz w:val="20"/>
        </w:rPr>
        <w:t>will be considered during the next session.</w:t>
      </w:r>
    </w:p>
    <w:p w:rsidR="00B97185" w:rsidRPr="00B97185" w:rsidRDefault="00016529" w:rsidP="00016529">
      <w:pPr>
        <w:pStyle w:val="H1G"/>
      </w:pPr>
      <w:r>
        <w:tab/>
      </w:r>
      <w:r w:rsidR="00B97185">
        <w:t xml:space="preserve">4. </w:t>
      </w:r>
      <w:r>
        <w:tab/>
      </w:r>
      <w:r w:rsidR="00B97185">
        <w:t>P</w:t>
      </w:r>
      <w:r w:rsidR="00B97185" w:rsidRPr="00B97185">
        <w:t>ossible further steps and items to be treated by the group</w:t>
      </w:r>
    </w:p>
    <w:p w:rsidR="00152ADB" w:rsidRDefault="00152ADB" w:rsidP="00152ADB">
      <w:pPr>
        <w:pStyle w:val="Default"/>
        <w:ind w:firstLine="645"/>
        <w:jc w:val="both"/>
        <w:rPr>
          <w:sz w:val="20"/>
          <w:szCs w:val="20"/>
          <w:lang w:val="en-US"/>
        </w:rPr>
      </w:pPr>
      <w:r w:rsidRPr="00152ADB">
        <w:rPr>
          <w:rFonts w:eastAsia="MS PGothic"/>
          <w:sz w:val="20"/>
          <w:szCs w:val="20"/>
          <w:lang w:val="en-US"/>
        </w:rPr>
        <w:t>The group discussed</w:t>
      </w:r>
      <w:r w:rsidR="00734CD0" w:rsidRPr="00152ADB">
        <w:rPr>
          <w:sz w:val="20"/>
          <w:szCs w:val="20"/>
          <w:lang w:val="en-US"/>
        </w:rPr>
        <w:t xml:space="preserve"> proposals for possible further steps and items to be treated by the group</w:t>
      </w:r>
      <w:r>
        <w:rPr>
          <w:sz w:val="20"/>
          <w:szCs w:val="20"/>
          <w:lang w:val="en-US"/>
        </w:rPr>
        <w:t xml:space="preserve"> or WP.29</w:t>
      </w:r>
      <w:r w:rsidR="00734CD0" w:rsidRPr="00152ADB">
        <w:rPr>
          <w:sz w:val="20"/>
          <w:szCs w:val="20"/>
          <w:lang w:val="en-US"/>
        </w:rPr>
        <w:t xml:space="preserve">. </w:t>
      </w:r>
    </w:p>
    <w:p w:rsidR="00152ADB" w:rsidRPr="00152ADB" w:rsidRDefault="00152ADB" w:rsidP="00152ADB">
      <w:pPr>
        <w:autoSpaceDE w:val="0"/>
        <w:autoSpaceDN w:val="0"/>
        <w:adjustRightInd w:val="0"/>
        <w:spacing w:after="0" w:line="240" w:lineRule="auto"/>
        <w:ind w:firstLine="708"/>
        <w:jc w:val="both"/>
        <w:rPr>
          <w:rFonts w:ascii="Times New Roman" w:eastAsia="MS PGothic" w:hAnsi="Times New Roman"/>
          <w:sz w:val="20"/>
          <w:szCs w:val="20"/>
          <w:lang w:eastAsia="ja-JP"/>
        </w:rPr>
      </w:pPr>
      <w:r w:rsidRPr="00152ADB">
        <w:rPr>
          <w:rFonts w:ascii="Times New Roman" w:eastAsia="MS PGothic" w:hAnsi="Times New Roman"/>
          <w:sz w:val="20"/>
          <w:szCs w:val="20"/>
          <w:lang w:eastAsia="ja-JP"/>
        </w:rPr>
        <w:t>Further steps shall provide</w:t>
      </w:r>
    </w:p>
    <w:p w:rsidR="00152ADB" w:rsidRPr="00152ADB" w:rsidRDefault="00152ADB" w:rsidP="00152ADB">
      <w:pPr>
        <w:pStyle w:val="ListParagraph"/>
        <w:numPr>
          <w:ilvl w:val="0"/>
          <w:numId w:val="7"/>
        </w:numPr>
        <w:suppressAutoHyphens w:val="0"/>
        <w:autoSpaceDE w:val="0"/>
        <w:autoSpaceDN w:val="0"/>
        <w:adjustRightInd w:val="0"/>
        <w:spacing w:line="240" w:lineRule="auto"/>
        <w:ind w:leftChars="0" w:left="777" w:hanging="357"/>
        <w:jc w:val="both"/>
        <w:rPr>
          <w:rFonts w:eastAsia="SimSun"/>
          <w:color w:val="000000"/>
          <w:lang w:eastAsia="ja-JP"/>
        </w:rPr>
      </w:pPr>
      <w:r w:rsidRPr="00152ADB">
        <w:rPr>
          <w:rFonts w:eastAsia="SimSun"/>
          <w:color w:val="000000"/>
          <w:lang w:eastAsia="ja-JP"/>
        </w:rPr>
        <w:t xml:space="preserve">elimination of barriers for free movement of the international automobile carriages; </w:t>
      </w:r>
    </w:p>
    <w:p w:rsidR="00152ADB" w:rsidRPr="00152ADB" w:rsidRDefault="00152ADB" w:rsidP="00152ADB">
      <w:pPr>
        <w:pStyle w:val="ListParagraph"/>
        <w:numPr>
          <w:ilvl w:val="0"/>
          <w:numId w:val="7"/>
        </w:numPr>
        <w:suppressAutoHyphens w:val="0"/>
        <w:autoSpaceDE w:val="0"/>
        <w:autoSpaceDN w:val="0"/>
        <w:adjustRightInd w:val="0"/>
        <w:spacing w:line="240" w:lineRule="auto"/>
        <w:ind w:leftChars="0" w:left="777" w:hanging="357"/>
        <w:jc w:val="both"/>
        <w:rPr>
          <w:rFonts w:eastAsia="SimSun"/>
          <w:color w:val="000000"/>
          <w:lang w:eastAsia="ja-JP"/>
        </w:rPr>
      </w:pPr>
      <w:r w:rsidRPr="00152ADB">
        <w:rPr>
          <w:rFonts w:eastAsia="SimSun"/>
          <w:color w:val="000000"/>
          <w:lang w:eastAsia="ja-JP"/>
        </w:rPr>
        <w:t>ensuring the benefits accruing from the original design and manufacturing of vehicle are retained, where justified, throughout the life of the vehicles</w:t>
      </w:r>
      <w:r w:rsidRPr="00152ADB">
        <w:rPr>
          <w:rFonts w:eastAsia="SimSun"/>
          <w:color w:val="FF0000"/>
          <w:lang w:eastAsia="ja-JP"/>
        </w:rPr>
        <w:t>;</w:t>
      </w:r>
    </w:p>
    <w:p w:rsidR="00152ADB" w:rsidRDefault="00152ADB" w:rsidP="00AE42DF">
      <w:pPr>
        <w:pStyle w:val="ListParagraph"/>
        <w:numPr>
          <w:ilvl w:val="0"/>
          <w:numId w:val="7"/>
        </w:numPr>
        <w:suppressAutoHyphens w:val="0"/>
        <w:autoSpaceDE w:val="0"/>
        <w:autoSpaceDN w:val="0"/>
        <w:adjustRightInd w:val="0"/>
        <w:spacing w:line="240" w:lineRule="auto"/>
        <w:ind w:leftChars="0" w:left="777" w:hanging="357"/>
        <w:jc w:val="both"/>
        <w:rPr>
          <w:rFonts w:eastAsia="SimSun"/>
          <w:color w:val="000000"/>
          <w:lang w:eastAsia="ja-JP"/>
        </w:rPr>
      </w:pPr>
      <w:r w:rsidRPr="00152ADB">
        <w:rPr>
          <w:rFonts w:eastAsia="SimSun"/>
          <w:color w:val="000000"/>
          <w:lang w:eastAsia="ja-JP"/>
        </w:rPr>
        <w:t xml:space="preserve">submission of the international standards incorporating the best practices in the sphere of Road safety and environmental protection. </w:t>
      </w:r>
    </w:p>
    <w:p w:rsidR="00AE42DF" w:rsidRDefault="00AE42DF" w:rsidP="00AE42DF">
      <w:pPr>
        <w:pStyle w:val="ListParagraph"/>
        <w:autoSpaceDE w:val="0"/>
        <w:autoSpaceDN w:val="0"/>
        <w:adjustRightInd w:val="0"/>
        <w:spacing w:line="240" w:lineRule="auto"/>
        <w:ind w:leftChars="0" w:left="780"/>
        <w:jc w:val="both"/>
        <w:rPr>
          <w:rFonts w:eastAsia="SimSun"/>
          <w:lang w:eastAsia="ja-JP"/>
        </w:rPr>
      </w:pPr>
      <w:r>
        <w:rPr>
          <w:rFonts w:eastAsia="SimSun"/>
          <w:lang w:eastAsia="ja-JP"/>
        </w:rPr>
        <w:t xml:space="preserve">Among the possible further steps there were proposed: </w:t>
      </w:r>
    </w:p>
    <w:p w:rsidR="00AE42DF" w:rsidRPr="00AE42DF" w:rsidRDefault="00AE42DF" w:rsidP="00AE42DF">
      <w:pPr>
        <w:pStyle w:val="ListParagraph"/>
        <w:numPr>
          <w:ilvl w:val="0"/>
          <w:numId w:val="7"/>
        </w:numPr>
        <w:autoSpaceDE w:val="0"/>
        <w:autoSpaceDN w:val="0"/>
        <w:adjustRightInd w:val="0"/>
        <w:spacing w:line="240" w:lineRule="auto"/>
        <w:ind w:leftChars="0"/>
        <w:jc w:val="both"/>
        <w:rPr>
          <w:rFonts w:eastAsia="SimSun"/>
          <w:lang w:eastAsia="ja-JP"/>
        </w:rPr>
      </w:pPr>
      <w:r w:rsidRPr="00AE42DF">
        <w:rPr>
          <w:rFonts w:eastAsia="SimSun"/>
          <w:lang w:eastAsia="ja-JP"/>
        </w:rPr>
        <w:t>review all Regulations and develop draft amendments to them, supporting technical inspection</w:t>
      </w:r>
      <w:r>
        <w:rPr>
          <w:rFonts w:eastAsia="SimSun"/>
          <w:lang w:eastAsia="ja-JP"/>
        </w:rPr>
        <w:t>s;</w:t>
      </w:r>
    </w:p>
    <w:p w:rsidR="00AE42DF" w:rsidRPr="00AE42DF" w:rsidRDefault="00AE42DF" w:rsidP="00AE42DF">
      <w:pPr>
        <w:pStyle w:val="ListParagraph"/>
        <w:numPr>
          <w:ilvl w:val="0"/>
          <w:numId w:val="7"/>
        </w:numPr>
        <w:autoSpaceDE w:val="0"/>
        <w:autoSpaceDN w:val="0"/>
        <w:adjustRightInd w:val="0"/>
        <w:spacing w:line="240" w:lineRule="auto"/>
        <w:ind w:leftChars="0"/>
        <w:jc w:val="both"/>
        <w:rPr>
          <w:rFonts w:eastAsia="SimSun"/>
          <w:lang w:eastAsia="ja-JP"/>
        </w:rPr>
      </w:pPr>
      <w:r>
        <w:rPr>
          <w:rFonts w:eastAsia="SimSun"/>
          <w:lang w:eastAsia="ja-JP"/>
        </w:rPr>
        <w:t>d</w:t>
      </w:r>
      <w:r w:rsidRPr="00AE42DF">
        <w:rPr>
          <w:rFonts w:eastAsia="SimSun"/>
          <w:lang w:eastAsia="ja-JP"/>
        </w:rPr>
        <w:t>evelop</w:t>
      </w:r>
      <w:r>
        <w:rPr>
          <w:rFonts w:eastAsia="SimSun"/>
          <w:lang w:eastAsia="ja-JP"/>
        </w:rPr>
        <w:t>ment</w:t>
      </w:r>
      <w:r w:rsidRPr="00AE42DF">
        <w:rPr>
          <w:rFonts w:eastAsia="SimSun"/>
          <w:lang w:eastAsia="ja-JP"/>
        </w:rPr>
        <w:t xml:space="preserve"> guidance for roadside inspections, vehicle design modifications inspection, methods of inspection and supervision</w:t>
      </w:r>
      <w:r>
        <w:rPr>
          <w:rFonts w:eastAsia="SimSun"/>
          <w:lang w:eastAsia="ja-JP"/>
        </w:rPr>
        <w:t>;</w:t>
      </w:r>
    </w:p>
    <w:p w:rsidR="00AE42DF" w:rsidRPr="00AE42DF" w:rsidRDefault="00AE42DF" w:rsidP="00AE42DF">
      <w:pPr>
        <w:pStyle w:val="ListParagraph"/>
        <w:numPr>
          <w:ilvl w:val="0"/>
          <w:numId w:val="7"/>
        </w:numPr>
        <w:autoSpaceDE w:val="0"/>
        <w:autoSpaceDN w:val="0"/>
        <w:adjustRightInd w:val="0"/>
        <w:spacing w:line="240" w:lineRule="auto"/>
        <w:ind w:leftChars="0"/>
        <w:jc w:val="both"/>
        <w:rPr>
          <w:rFonts w:eastAsia="SimSun"/>
          <w:lang w:eastAsia="ja-JP"/>
        </w:rPr>
      </w:pPr>
      <w:r>
        <w:t>c</w:t>
      </w:r>
      <w:r w:rsidRPr="00AE42DF">
        <w:t>onsistency between the provisions of the 1968 Vienna Convention and the technical provisions for vehicles of Rules in the framework of the 1997 Agreement</w:t>
      </w:r>
      <w:r>
        <w:t>.</w:t>
      </w:r>
    </w:p>
    <w:p w:rsidR="00AE42DF" w:rsidRDefault="00152ADB" w:rsidP="00AE42DF">
      <w:pPr>
        <w:pStyle w:val="ListParagraph"/>
        <w:autoSpaceDE w:val="0"/>
        <w:autoSpaceDN w:val="0"/>
        <w:adjustRightInd w:val="0"/>
        <w:spacing w:line="240" w:lineRule="auto"/>
        <w:ind w:leftChars="0" w:left="780"/>
        <w:jc w:val="both"/>
        <w:rPr>
          <w:lang w:val="en-GB"/>
        </w:rPr>
      </w:pPr>
      <w:r w:rsidRPr="00AE42DF">
        <w:rPr>
          <w:bCs/>
          <w:spacing w:val="-4"/>
          <w:lang w:val="en-GB"/>
        </w:rPr>
        <w:t>One of the most important items identified is the enhancement of the coordination between vehicle approval and technical inspection, in order to ensure benefits accruing from the Regulations, are retained, where justified, throughout the whole life of the vehicle in an efficient way.</w:t>
      </w:r>
      <w:r w:rsidRPr="00AE42DF">
        <w:rPr>
          <w:lang w:val="en-GB"/>
        </w:rPr>
        <w:t xml:space="preserve"> </w:t>
      </w:r>
    </w:p>
    <w:p w:rsidR="00AE42DF" w:rsidRDefault="00152ADB" w:rsidP="00AE42DF">
      <w:pPr>
        <w:pStyle w:val="ListParagraph"/>
        <w:autoSpaceDE w:val="0"/>
        <w:autoSpaceDN w:val="0"/>
        <w:adjustRightInd w:val="0"/>
        <w:spacing w:line="240" w:lineRule="auto"/>
        <w:ind w:leftChars="0" w:left="780"/>
        <w:jc w:val="both"/>
      </w:pPr>
      <w:r w:rsidRPr="00152ADB">
        <w:t>To provide for a proper preparation of the proposals on development of the 1997 Vienna agreement provisions and alignment it with national legislations of the Contracting Parties and Regulations, it is deemed necessary to install a new subsidiary group in frame of  WP.29  (GR) on PTI as its elements are not be covered by the work of the current existing in frame of  WP.29 subsidiary GRs.</w:t>
      </w:r>
    </w:p>
    <w:p w:rsidR="00152ADB" w:rsidRDefault="00152ADB" w:rsidP="00AE42DF">
      <w:pPr>
        <w:pStyle w:val="ListParagraph"/>
        <w:autoSpaceDE w:val="0"/>
        <w:autoSpaceDN w:val="0"/>
        <w:adjustRightInd w:val="0"/>
        <w:spacing w:line="240" w:lineRule="auto"/>
        <w:ind w:leftChars="0" w:left="780"/>
        <w:jc w:val="both"/>
      </w:pPr>
      <w:r w:rsidRPr="00152ADB">
        <w:t>The group decided to continue discussion awaiting additional proposals and comments from the participants and WP.29.</w:t>
      </w:r>
    </w:p>
    <w:p w:rsidR="00AE42DF" w:rsidRDefault="00AE42DF" w:rsidP="00AE42DF">
      <w:pPr>
        <w:pStyle w:val="HChG"/>
        <w:keepNext w:val="0"/>
        <w:keepLines w:val="0"/>
        <w:tabs>
          <w:tab w:val="clear" w:pos="851"/>
          <w:tab w:val="left" w:pos="1134"/>
        </w:tabs>
        <w:suppressAutoHyphens w:val="0"/>
        <w:spacing w:line="240" w:lineRule="auto"/>
        <w:ind w:left="851" w:firstLine="0"/>
        <w:rPr>
          <w:sz w:val="20"/>
        </w:rPr>
      </w:pPr>
      <w:r>
        <w:rPr>
          <w:sz w:val="20"/>
        </w:rPr>
        <w:lastRenderedPageBreak/>
        <w:t xml:space="preserve">5. </w:t>
      </w:r>
      <w:r w:rsidRPr="00AE42DF">
        <w:rPr>
          <w:sz w:val="20"/>
        </w:rPr>
        <w:t xml:space="preserve">Exchange of views and information on the national legal system for PTI </w:t>
      </w:r>
    </w:p>
    <w:p w:rsidR="00AE42DF" w:rsidRDefault="00AE42DF" w:rsidP="00AE42DF">
      <w:pPr>
        <w:pStyle w:val="HChG"/>
        <w:keepNext w:val="0"/>
        <w:keepLines w:val="0"/>
        <w:tabs>
          <w:tab w:val="clear" w:pos="851"/>
          <w:tab w:val="left" w:pos="1134"/>
        </w:tabs>
        <w:suppressAutoHyphens w:val="0"/>
        <w:spacing w:line="240" w:lineRule="auto"/>
        <w:ind w:left="851" w:firstLine="0"/>
        <w:jc w:val="both"/>
        <w:rPr>
          <w:b w:val="0"/>
          <w:sz w:val="20"/>
        </w:rPr>
      </w:pPr>
      <w:r w:rsidRPr="00AE42DF">
        <w:rPr>
          <w:b w:val="0"/>
          <w:sz w:val="20"/>
          <w:lang w:val="en-US"/>
        </w:rPr>
        <w:t>To provide for a proper preparation of the proposals on development of the 1997 Vienna agreement provisions and alignment it with national legislations of the Contracting Parties</w:t>
      </w:r>
      <w:r w:rsidRPr="00AE42DF">
        <w:rPr>
          <w:b w:val="0"/>
          <w:sz w:val="20"/>
        </w:rPr>
        <w:t xml:space="preserve"> the group decided to study supervision</w:t>
      </w:r>
      <w:r w:rsidRPr="00AE42DF">
        <w:rPr>
          <w:sz w:val="20"/>
        </w:rPr>
        <w:t xml:space="preserve"> </w:t>
      </w:r>
      <w:r w:rsidRPr="00AE42DF">
        <w:rPr>
          <w:b w:val="0"/>
          <w:sz w:val="20"/>
        </w:rPr>
        <w:t xml:space="preserve">systems for PTI established in different countries. </w:t>
      </w:r>
    </w:p>
    <w:p w:rsidR="00AE42DF" w:rsidRPr="00AE42DF" w:rsidRDefault="00AE42DF" w:rsidP="00AE42DF">
      <w:pPr>
        <w:pStyle w:val="HChG"/>
        <w:keepNext w:val="0"/>
        <w:keepLines w:val="0"/>
        <w:tabs>
          <w:tab w:val="clear" w:pos="851"/>
          <w:tab w:val="left" w:pos="1134"/>
        </w:tabs>
        <w:suppressAutoHyphens w:val="0"/>
        <w:spacing w:line="240" w:lineRule="auto"/>
        <w:ind w:left="851" w:firstLine="0"/>
        <w:jc w:val="both"/>
        <w:rPr>
          <w:b w:val="0"/>
          <w:sz w:val="20"/>
        </w:rPr>
      </w:pPr>
      <w:r w:rsidRPr="00AE42DF">
        <w:rPr>
          <w:b w:val="0"/>
          <w:sz w:val="20"/>
        </w:rPr>
        <w:t xml:space="preserve">The Netherlands and the Great Britain presented their supervision systems. The group was interested in: </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legislation for PTI;</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requirements for testing centres and inspectors;</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supervision testing centres and inspectors;</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the role of authorities in the supervision of PTI regimes;</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content of PTI;</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surveillance of design modification;</w:t>
      </w:r>
    </w:p>
    <w:p w:rsidR="00AE42DF" w:rsidRPr="00AE42DF" w:rsidRDefault="00AE42DF" w:rsidP="00AE42DF">
      <w:pPr>
        <w:spacing w:line="240" w:lineRule="auto"/>
        <w:ind w:left="131" w:firstLine="720"/>
        <w:rPr>
          <w:rFonts w:ascii="Times New Roman" w:hAnsi="Times New Roman"/>
          <w:sz w:val="20"/>
          <w:szCs w:val="20"/>
        </w:rPr>
      </w:pPr>
      <w:r w:rsidRPr="00AE42DF">
        <w:rPr>
          <w:rFonts w:ascii="Times New Roman" w:hAnsi="Times New Roman"/>
          <w:sz w:val="20"/>
          <w:szCs w:val="20"/>
        </w:rPr>
        <w:t>supervision technologies.</w:t>
      </w:r>
    </w:p>
    <w:p w:rsidR="00AE42DF" w:rsidRPr="00AE42DF" w:rsidRDefault="00AE42DF" w:rsidP="00AE42DF">
      <w:pPr>
        <w:spacing w:line="240" w:lineRule="auto"/>
        <w:ind w:firstLine="720"/>
        <w:rPr>
          <w:rFonts w:ascii="Times New Roman" w:hAnsi="Times New Roman"/>
          <w:sz w:val="20"/>
          <w:szCs w:val="20"/>
        </w:rPr>
      </w:pPr>
      <w:r w:rsidRPr="00AE42DF">
        <w:rPr>
          <w:rFonts w:ascii="Times New Roman" w:hAnsi="Times New Roman"/>
          <w:sz w:val="20"/>
          <w:szCs w:val="20"/>
        </w:rPr>
        <w:t xml:space="preserve">The group thanked the Netherlands and the Great Britain for the information and decided to continue this activity.  </w:t>
      </w:r>
    </w:p>
    <w:p w:rsidR="00AE42DF" w:rsidRPr="00AE42DF" w:rsidRDefault="00AE42DF" w:rsidP="00AE42DF">
      <w:pPr>
        <w:pStyle w:val="ListParagraph"/>
        <w:autoSpaceDE w:val="0"/>
        <w:autoSpaceDN w:val="0"/>
        <w:adjustRightInd w:val="0"/>
        <w:spacing w:line="240" w:lineRule="auto"/>
        <w:ind w:leftChars="0" w:left="780"/>
        <w:jc w:val="both"/>
        <w:rPr>
          <w:rFonts w:eastAsia="SimSun"/>
          <w:lang w:eastAsia="ja-JP"/>
        </w:rPr>
      </w:pPr>
    </w:p>
    <w:p w:rsidR="002F01A9" w:rsidRPr="00AE42DF" w:rsidRDefault="00016529" w:rsidP="00152ADB">
      <w:pPr>
        <w:pStyle w:val="SingleTxtG"/>
        <w:rPr>
          <w:b/>
          <w:lang w:val="en-US"/>
        </w:rPr>
      </w:pPr>
      <w:r>
        <w:rPr>
          <w:lang w:val="en-US"/>
        </w:rPr>
        <w:tab/>
      </w:r>
      <w:r w:rsidR="00AE42DF" w:rsidRPr="00AE42DF">
        <w:rPr>
          <w:b/>
          <w:lang w:val="en-US"/>
        </w:rPr>
        <w:t>6</w:t>
      </w:r>
      <w:r w:rsidR="002F01A9" w:rsidRPr="00AE42DF">
        <w:rPr>
          <w:b/>
          <w:lang w:val="en-US"/>
        </w:rPr>
        <w:t xml:space="preserve">. </w:t>
      </w:r>
      <w:r w:rsidRPr="00AE42DF">
        <w:rPr>
          <w:b/>
          <w:lang w:val="en-US"/>
        </w:rPr>
        <w:tab/>
      </w:r>
      <w:r w:rsidR="002F01A9" w:rsidRPr="00AE42DF">
        <w:rPr>
          <w:b/>
        </w:rPr>
        <w:t xml:space="preserve">Date and </w:t>
      </w:r>
      <w:r w:rsidR="002F01A9" w:rsidRPr="00AE42DF">
        <w:rPr>
          <w:b/>
          <w:lang w:val="en-US"/>
        </w:rPr>
        <w:t>p</w:t>
      </w:r>
      <w:r w:rsidR="002F01A9" w:rsidRPr="00AE42DF">
        <w:rPr>
          <w:b/>
        </w:rPr>
        <w:t xml:space="preserve">lace of </w:t>
      </w:r>
      <w:r w:rsidR="002F01A9" w:rsidRPr="00AE42DF">
        <w:rPr>
          <w:b/>
          <w:lang w:val="en-US"/>
        </w:rPr>
        <w:t>n</w:t>
      </w:r>
      <w:r w:rsidR="002F01A9" w:rsidRPr="00AE42DF">
        <w:rPr>
          <w:b/>
        </w:rPr>
        <w:t xml:space="preserve">ext </w:t>
      </w:r>
      <w:r w:rsidR="002F01A9" w:rsidRPr="00AE42DF">
        <w:rPr>
          <w:b/>
          <w:lang w:val="en-US"/>
        </w:rPr>
        <w:t>m</w:t>
      </w:r>
      <w:r w:rsidR="002F01A9" w:rsidRPr="00AE42DF">
        <w:rPr>
          <w:b/>
        </w:rPr>
        <w:t>eeting</w:t>
      </w:r>
      <w:r w:rsidR="00F83662" w:rsidRPr="00AE42DF">
        <w:rPr>
          <w:b/>
        </w:rPr>
        <w:t xml:space="preserve"> </w:t>
      </w:r>
    </w:p>
    <w:p w:rsidR="00662844" w:rsidRDefault="002F01A9" w:rsidP="00016529">
      <w:pPr>
        <w:pStyle w:val="SingleTxtG"/>
      </w:pPr>
      <w:r w:rsidRPr="00016529">
        <w:t>Next</w:t>
      </w:r>
      <w:r w:rsidRPr="002F01A9">
        <w:rPr>
          <w:lang w:val="en-US"/>
        </w:rPr>
        <w:t xml:space="preserve"> meeting </w:t>
      </w:r>
      <w:r w:rsidR="00014134">
        <w:rPr>
          <w:lang w:val="en-US"/>
        </w:rPr>
        <w:t>will be held</w:t>
      </w:r>
      <w:r w:rsidRPr="002F01A9">
        <w:rPr>
          <w:lang w:val="en-US"/>
        </w:rPr>
        <w:t xml:space="preserve"> in </w:t>
      </w:r>
      <w:r w:rsidR="005C3B59">
        <w:rPr>
          <w:lang w:val="en-US"/>
        </w:rPr>
        <w:t xml:space="preserve">the </w:t>
      </w:r>
      <w:r w:rsidR="00014134">
        <w:rPr>
          <w:lang w:val="en-US"/>
        </w:rPr>
        <w:t>Russian Federation</w:t>
      </w:r>
      <w:r w:rsidRPr="002F01A9">
        <w:rPr>
          <w:lang w:val="en-US"/>
        </w:rPr>
        <w:t>.</w:t>
      </w:r>
      <w:r w:rsidR="00F83662" w:rsidRPr="002F01A9">
        <w:t xml:space="preserve"> </w:t>
      </w:r>
      <w:r w:rsidR="00014134">
        <w:rPr>
          <w:lang w:val="en-GB"/>
        </w:rPr>
        <w:t>NIIAT</w:t>
      </w:r>
      <w:r w:rsidR="00CF448E">
        <w:rPr>
          <w:lang w:val="en-US"/>
        </w:rPr>
        <w:t xml:space="preserve"> volunteered to be host of the meeting. </w:t>
      </w:r>
      <w:r w:rsidR="005C3B59">
        <w:rPr>
          <w:lang w:val="en-US"/>
        </w:rPr>
        <w:t xml:space="preserve">Exact date and place will be </w:t>
      </w:r>
      <w:r w:rsidR="00F83662" w:rsidRPr="002F01A9">
        <w:t xml:space="preserve">  </w:t>
      </w:r>
      <w:r w:rsidR="005C3B59">
        <w:rPr>
          <w:lang w:val="en-US"/>
        </w:rPr>
        <w:t>announced later.</w:t>
      </w:r>
      <w:r w:rsidR="00016529">
        <w:t xml:space="preserve"> </w:t>
      </w:r>
    </w:p>
    <w:p w:rsidR="00016529" w:rsidRPr="00016529" w:rsidRDefault="00016529" w:rsidP="00016529">
      <w:pPr>
        <w:pStyle w:val="SingleTxtG"/>
        <w:spacing w:before="240" w:after="0"/>
        <w:jc w:val="center"/>
        <w:rPr>
          <w:u w:val="single"/>
          <w:lang w:val="en-US"/>
        </w:rPr>
      </w:pPr>
      <w:r>
        <w:rPr>
          <w:u w:val="single"/>
        </w:rPr>
        <w:tab/>
      </w:r>
      <w:r>
        <w:rPr>
          <w:u w:val="single"/>
        </w:rPr>
        <w:tab/>
      </w:r>
      <w:r>
        <w:rPr>
          <w:u w:val="single"/>
        </w:rPr>
        <w:tab/>
      </w:r>
    </w:p>
    <w:sectPr w:rsidR="00016529" w:rsidRPr="00016529" w:rsidSect="00884F75">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FA" w:rsidRDefault="000F20FA">
      <w:pPr>
        <w:spacing w:after="0" w:line="240" w:lineRule="auto"/>
      </w:pPr>
      <w:r>
        <w:separator/>
      </w:r>
    </w:p>
  </w:endnote>
  <w:endnote w:type="continuationSeparator" w:id="0">
    <w:p w:rsidR="000F20FA" w:rsidRDefault="000F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347CC6">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884F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347CC6">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9" w:rsidRPr="00884F75" w:rsidRDefault="00884F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347CC6">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FA" w:rsidRDefault="000F20FA">
      <w:pPr>
        <w:spacing w:after="0" w:line="240" w:lineRule="auto"/>
      </w:pPr>
      <w:r>
        <w:separator/>
      </w:r>
    </w:p>
  </w:footnote>
  <w:footnote w:type="continuationSeparator" w:id="0">
    <w:p w:rsidR="000F20FA" w:rsidRDefault="000F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rPr>
        <w:rFonts w:ascii="Times New Roman" w:eastAsia="Times New Roman" w:hAnsi="Times New Roman"/>
        <w:b/>
        <w:sz w:val="18"/>
        <w:szCs w:val="20"/>
        <w:lang w:val="en-GB"/>
      </w:rPr>
    </w:pPr>
    <w:r w:rsidRPr="00884F75">
      <w:rPr>
        <w:rFonts w:ascii="Times New Roman" w:eastAsia="Times New Roman" w:hAnsi="Times New Roman"/>
        <w:b/>
        <w:sz w:val="18"/>
        <w:szCs w:val="20"/>
      </w:rPr>
      <w:t>WP.29-17</w:t>
    </w:r>
    <w:r w:rsidR="00347CC6">
      <w:rPr>
        <w:rFonts w:ascii="Times New Roman" w:eastAsia="Times New Roman" w:hAnsi="Times New Roman"/>
        <w:b/>
        <w:sz w:val="18"/>
        <w:szCs w:val="20"/>
      </w:rPr>
      <w:t>1</w:t>
    </w:r>
    <w:r w:rsidRPr="00884F75">
      <w:rPr>
        <w:rFonts w:ascii="Times New Roman" w:eastAsia="Times New Roman" w:hAnsi="Times New Roman"/>
        <w:b/>
        <w:sz w:val="18"/>
        <w:szCs w:val="20"/>
      </w:rPr>
      <w:t>-</w:t>
    </w:r>
    <w:r>
      <w:rPr>
        <w:rFonts w:ascii="Times New Roman" w:eastAsia="Times New Roman" w:hAnsi="Times New Roman"/>
        <w:b/>
        <w:sz w:val="18"/>
        <w:szCs w:val="20"/>
      </w:rPr>
      <w:t>2</w:t>
    </w:r>
    <w:r w:rsidR="00347CC6">
      <w:rPr>
        <w:rFonts w:ascii="Times New Roman" w:eastAsia="Times New Roman" w:hAnsi="Times New Roman"/>
        <w:b/>
        <w:sz w:val="18"/>
        <w:szCs w:val="20"/>
      </w:rPr>
      <w:t>6</w:t>
    </w:r>
  </w:p>
  <w:p w:rsidR="00347CC6" w:rsidRDefault="00347C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r w:rsidRPr="00884F75">
      <w:rPr>
        <w:rFonts w:ascii="Times New Roman" w:eastAsia="Times New Roman" w:hAnsi="Times New Roman"/>
        <w:b/>
        <w:sz w:val="18"/>
        <w:szCs w:val="20"/>
      </w:rPr>
      <w:t>WP.29-17</w:t>
    </w:r>
    <w:r w:rsidR="00347CC6">
      <w:rPr>
        <w:rFonts w:ascii="Times New Roman" w:eastAsia="Times New Roman" w:hAnsi="Times New Roman"/>
        <w:b/>
        <w:sz w:val="18"/>
        <w:szCs w:val="20"/>
      </w:rPr>
      <w:t>1</w:t>
    </w:r>
    <w:r w:rsidRPr="00884F75">
      <w:rPr>
        <w:rFonts w:ascii="Times New Roman" w:eastAsia="Times New Roman" w:hAnsi="Times New Roman"/>
        <w:b/>
        <w:sz w:val="18"/>
        <w:szCs w:val="20"/>
      </w:rPr>
      <w:t>-</w:t>
    </w:r>
    <w:r>
      <w:rPr>
        <w:rFonts w:ascii="Times New Roman" w:eastAsia="Times New Roman" w:hAnsi="Times New Roman"/>
        <w:b/>
        <w:sz w:val="18"/>
        <w:szCs w:val="20"/>
      </w:rPr>
      <w:t>2</w:t>
    </w:r>
    <w:r w:rsidR="00347CC6">
      <w:rPr>
        <w:rFonts w:ascii="Times New Roman" w:eastAsia="Times New Roman" w:hAnsi="Times New Roman"/>
        <w:b/>
        <w:sz w:val="18"/>
        <w:szCs w:val="20"/>
      </w:rPr>
      <w:t>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0225C9" w:rsidRPr="00016529" w:rsidTr="000D08E6">
      <w:trPr>
        <w:trHeight w:val="141"/>
      </w:trPr>
      <w:tc>
        <w:tcPr>
          <w:tcW w:w="5812" w:type="dxa"/>
        </w:tcPr>
        <w:p w:rsidR="00D62803" w:rsidRPr="00016529" w:rsidRDefault="00D62803" w:rsidP="00D62803">
          <w:pPr>
            <w:tabs>
              <w:tab w:val="center" w:pos="4153"/>
              <w:tab w:val="right" w:pos="8306"/>
            </w:tabs>
            <w:spacing w:after="0" w:line="240" w:lineRule="auto"/>
            <w:rPr>
              <w:sz w:val="20"/>
              <w:szCs w:val="20"/>
            </w:rPr>
          </w:pPr>
          <w:r w:rsidRPr="00D62803">
            <w:rPr>
              <w:sz w:val="20"/>
              <w:szCs w:val="20"/>
            </w:rPr>
            <w:t xml:space="preserve">Submitted by </w:t>
          </w:r>
          <w:r>
            <w:rPr>
              <w:sz w:val="20"/>
              <w:szCs w:val="20"/>
            </w:rPr>
            <w:t>the Co-Chairs of the IWG on PTI</w:t>
          </w:r>
        </w:p>
        <w:p w:rsidR="000225C9" w:rsidRPr="00016529" w:rsidRDefault="000225C9" w:rsidP="00D62803">
          <w:pPr>
            <w:tabs>
              <w:tab w:val="center" w:pos="4153"/>
              <w:tab w:val="right" w:pos="8306"/>
            </w:tabs>
            <w:spacing w:after="0" w:line="240" w:lineRule="auto"/>
            <w:rPr>
              <w:sz w:val="20"/>
              <w:szCs w:val="20"/>
            </w:rPr>
          </w:pPr>
        </w:p>
      </w:tc>
      <w:tc>
        <w:tcPr>
          <w:tcW w:w="3969" w:type="dxa"/>
        </w:tcPr>
        <w:p w:rsidR="00D62803" w:rsidRPr="00D62803" w:rsidRDefault="00D62803" w:rsidP="00D62803">
          <w:pPr>
            <w:tabs>
              <w:tab w:val="center" w:pos="4153"/>
              <w:tab w:val="right" w:pos="8306"/>
            </w:tabs>
            <w:spacing w:after="0" w:line="240" w:lineRule="auto"/>
            <w:rPr>
              <w:b/>
              <w:sz w:val="20"/>
              <w:szCs w:val="20"/>
            </w:rPr>
          </w:pPr>
          <w:r w:rsidRPr="00D62803">
            <w:rPr>
              <w:sz w:val="20"/>
              <w:szCs w:val="20"/>
              <w:u w:val="single"/>
            </w:rPr>
            <w:t>Informal document</w:t>
          </w:r>
          <w:r>
            <w:rPr>
              <w:sz w:val="20"/>
              <w:szCs w:val="20"/>
            </w:rPr>
            <w:t xml:space="preserve"> </w:t>
          </w:r>
          <w:r w:rsidRPr="00D62803">
            <w:rPr>
              <w:b/>
              <w:sz w:val="20"/>
              <w:szCs w:val="20"/>
            </w:rPr>
            <w:t>WP.29-171-2</w:t>
          </w:r>
          <w:r>
            <w:rPr>
              <w:b/>
              <w:sz w:val="20"/>
              <w:szCs w:val="20"/>
            </w:rPr>
            <w:t>6</w:t>
          </w:r>
        </w:p>
        <w:p w:rsidR="00D62803" w:rsidRPr="00D62803" w:rsidRDefault="00D62803" w:rsidP="00D62803">
          <w:pPr>
            <w:tabs>
              <w:tab w:val="center" w:pos="4153"/>
              <w:tab w:val="right" w:pos="8306"/>
            </w:tabs>
            <w:spacing w:after="0" w:line="240" w:lineRule="auto"/>
            <w:rPr>
              <w:sz w:val="20"/>
              <w:szCs w:val="20"/>
            </w:rPr>
          </w:pPr>
          <w:r w:rsidRPr="00D62803">
            <w:rPr>
              <w:sz w:val="20"/>
              <w:szCs w:val="20"/>
            </w:rPr>
            <w:t>171st WP.29, 14- 17 March 2017,</w:t>
          </w:r>
        </w:p>
        <w:p w:rsidR="000225C9" w:rsidRPr="00016529" w:rsidRDefault="00D62803" w:rsidP="00D62803">
          <w:pPr>
            <w:spacing w:after="0" w:line="240" w:lineRule="auto"/>
            <w:rPr>
              <w:sz w:val="20"/>
              <w:szCs w:val="20"/>
            </w:rPr>
          </w:pPr>
          <w:r>
            <w:rPr>
              <w:sz w:val="20"/>
              <w:szCs w:val="20"/>
            </w:rPr>
            <w:t>Agenda item 7.1</w:t>
          </w:r>
        </w:p>
      </w:tc>
    </w:tr>
  </w:tbl>
  <w:p w:rsidR="00D90D59" w:rsidRPr="008B531D" w:rsidRDefault="00347CC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1">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6">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14134"/>
    <w:rsid w:val="00016529"/>
    <w:rsid w:val="000225C9"/>
    <w:rsid w:val="000C2F32"/>
    <w:rsid w:val="000D250C"/>
    <w:rsid w:val="000F20FA"/>
    <w:rsid w:val="000F245B"/>
    <w:rsid w:val="001142E7"/>
    <w:rsid w:val="001252DC"/>
    <w:rsid w:val="00152ADB"/>
    <w:rsid w:val="001A092B"/>
    <w:rsid w:val="001D268F"/>
    <w:rsid w:val="001D3D87"/>
    <w:rsid w:val="00222811"/>
    <w:rsid w:val="00296E4B"/>
    <w:rsid w:val="002C6E1D"/>
    <w:rsid w:val="002F01A9"/>
    <w:rsid w:val="00347CC6"/>
    <w:rsid w:val="00377C11"/>
    <w:rsid w:val="003A2E93"/>
    <w:rsid w:val="003B25EC"/>
    <w:rsid w:val="003D7634"/>
    <w:rsid w:val="004B54BD"/>
    <w:rsid w:val="004D3BFD"/>
    <w:rsid w:val="004E55FE"/>
    <w:rsid w:val="005709B5"/>
    <w:rsid w:val="00582977"/>
    <w:rsid w:val="00590DDE"/>
    <w:rsid w:val="005922AF"/>
    <w:rsid w:val="005C3B59"/>
    <w:rsid w:val="005F4C64"/>
    <w:rsid w:val="00662844"/>
    <w:rsid w:val="006D7462"/>
    <w:rsid w:val="00734CD0"/>
    <w:rsid w:val="007C57A4"/>
    <w:rsid w:val="00840533"/>
    <w:rsid w:val="008610E7"/>
    <w:rsid w:val="00884F75"/>
    <w:rsid w:val="008A118A"/>
    <w:rsid w:val="008C3BC4"/>
    <w:rsid w:val="00920BE8"/>
    <w:rsid w:val="00991A14"/>
    <w:rsid w:val="009A3E50"/>
    <w:rsid w:val="009B660D"/>
    <w:rsid w:val="009B76AA"/>
    <w:rsid w:val="00A20D2A"/>
    <w:rsid w:val="00A500C9"/>
    <w:rsid w:val="00A64944"/>
    <w:rsid w:val="00A834CE"/>
    <w:rsid w:val="00AB4941"/>
    <w:rsid w:val="00AB544E"/>
    <w:rsid w:val="00AC6F95"/>
    <w:rsid w:val="00AE42DF"/>
    <w:rsid w:val="00B30BA9"/>
    <w:rsid w:val="00B63DA0"/>
    <w:rsid w:val="00B926AC"/>
    <w:rsid w:val="00B97185"/>
    <w:rsid w:val="00C23102"/>
    <w:rsid w:val="00C34E9E"/>
    <w:rsid w:val="00C658D0"/>
    <w:rsid w:val="00CD3D37"/>
    <w:rsid w:val="00CE0648"/>
    <w:rsid w:val="00CF448E"/>
    <w:rsid w:val="00D62803"/>
    <w:rsid w:val="00D7380F"/>
    <w:rsid w:val="00DC2F89"/>
    <w:rsid w:val="00DD19A4"/>
    <w:rsid w:val="00E475E5"/>
    <w:rsid w:val="00E91830"/>
    <w:rsid w:val="00E9566A"/>
    <w:rsid w:val="00EC4E93"/>
    <w:rsid w:val="00F83662"/>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qFormat/>
    <w:rsid w:val="00152ADB"/>
    <w:pPr>
      <w:suppressAutoHyphens/>
      <w:spacing w:after="0" w:line="240" w:lineRule="atLeast"/>
      <w:ind w:leftChars="400" w:left="840"/>
    </w:pPr>
    <w:rPr>
      <w:rFonts w:ascii="Times New Roman" w:eastAsia="MS Mincho"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qFormat/>
    <w:rsid w:val="00152ADB"/>
    <w:pPr>
      <w:suppressAutoHyphens/>
      <w:spacing w:after="0" w:line="240" w:lineRule="atLeast"/>
      <w:ind w:leftChars="400" w:left="840"/>
    </w:pPr>
    <w:rPr>
      <w:rFonts w:ascii="Times New Roman" w:eastAsia="MS Mincho"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5538</Characters>
  <Application>Microsoft Office Word</Application>
  <DocSecurity>0</DocSecurity>
  <Lines>93</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 E. Guichard</cp:lastModifiedBy>
  <cp:revision>3</cp:revision>
  <cp:lastPrinted>2016-06-17T14:33:00Z</cp:lastPrinted>
  <dcterms:created xsi:type="dcterms:W3CDTF">2017-03-13T08:16:00Z</dcterms:created>
  <dcterms:modified xsi:type="dcterms:W3CDTF">2017-03-13T08:20:00Z</dcterms:modified>
</cp:coreProperties>
</file>