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5235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5235A" w:rsidP="0075235A">
            <w:pPr>
              <w:jc w:val="right"/>
            </w:pPr>
            <w:r w:rsidRPr="0075235A">
              <w:rPr>
                <w:sz w:val="40"/>
              </w:rPr>
              <w:t>ECE</w:t>
            </w:r>
            <w:r>
              <w:t>/TRANS/WP.29/GRB/2017/5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5235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75235A" w:rsidRDefault="0075235A" w:rsidP="0075235A">
            <w:pPr>
              <w:spacing w:line="240" w:lineRule="exact"/>
            </w:pPr>
            <w:r>
              <w:t>16 juin 2017</w:t>
            </w:r>
          </w:p>
          <w:p w:rsidR="0075235A" w:rsidRDefault="0075235A" w:rsidP="0075235A">
            <w:pPr>
              <w:spacing w:line="240" w:lineRule="exact"/>
            </w:pPr>
            <w:r>
              <w:t>Français</w:t>
            </w:r>
          </w:p>
          <w:p w:rsidR="0075235A" w:rsidRPr="00DB58B5" w:rsidRDefault="0075235A" w:rsidP="0075235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5235A" w:rsidRDefault="0075235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5235A" w:rsidRDefault="0075235A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75235A" w:rsidRPr="00562287" w:rsidRDefault="0075235A" w:rsidP="0075235A">
      <w:pPr>
        <w:spacing w:before="120" w:line="240" w:lineRule="auto"/>
        <w:rPr>
          <w:b/>
        </w:rPr>
      </w:pPr>
      <w:r w:rsidRPr="00562287">
        <w:rPr>
          <w:b/>
          <w:lang w:val="fr-FR"/>
        </w:rPr>
        <w:t>Soixante-sixième session</w:t>
      </w:r>
    </w:p>
    <w:p w:rsidR="0075235A" w:rsidRPr="00B74FCB" w:rsidRDefault="0075235A" w:rsidP="0075235A">
      <w:pPr>
        <w:spacing w:line="240" w:lineRule="auto"/>
      </w:pPr>
      <w:r>
        <w:rPr>
          <w:lang w:val="fr-FR"/>
        </w:rPr>
        <w:t>Genève, 4-6 septembre 2017</w:t>
      </w:r>
    </w:p>
    <w:p w:rsidR="0075235A" w:rsidRPr="00B74FCB" w:rsidRDefault="0075235A" w:rsidP="0075235A">
      <w:pPr>
        <w:spacing w:line="240" w:lineRule="auto"/>
      </w:pPr>
      <w:r>
        <w:rPr>
          <w:lang w:val="fr-FR"/>
        </w:rPr>
        <w:t>Point 4 b) de l’ordre du jour provisoire</w:t>
      </w:r>
    </w:p>
    <w:p w:rsidR="0075235A" w:rsidRDefault="0075235A" w:rsidP="0075235A">
      <w:pPr>
        <w:spacing w:line="240" w:lineRule="auto"/>
        <w:rPr>
          <w:b/>
          <w:lang w:val="fr-FR"/>
        </w:rPr>
      </w:pPr>
      <w:r w:rsidRPr="00562287">
        <w:rPr>
          <w:b/>
          <w:lang w:val="fr-FR"/>
        </w:rPr>
        <w:t xml:space="preserve">Règlement </w:t>
      </w:r>
      <w:r w:rsidR="00DE6D24" w:rsidRPr="00DE6D24">
        <w:rPr>
          <w:rFonts w:eastAsia="MS Mincho"/>
          <w:b/>
          <w:lang w:val="fr-FR"/>
        </w:rPr>
        <w:t>n</w:t>
      </w:r>
      <w:r w:rsidR="00DE6D24" w:rsidRPr="00DE6D24">
        <w:rPr>
          <w:rFonts w:eastAsia="MS Mincho"/>
          <w:b/>
          <w:vertAlign w:val="superscript"/>
          <w:lang w:val="fr-FR"/>
        </w:rPr>
        <w:t>o</w:t>
      </w:r>
      <w:r w:rsidR="00DE6D24">
        <w:rPr>
          <w:b/>
          <w:lang w:val="fr-FR"/>
        </w:rPr>
        <w:t> </w:t>
      </w:r>
      <w:r w:rsidRPr="00562287">
        <w:rPr>
          <w:b/>
          <w:lang w:val="fr-FR"/>
        </w:rPr>
        <w:t>51 (Bruit des véhicules des catégories M et N)</w:t>
      </w:r>
      <w:r>
        <w:rPr>
          <w:b/>
          <w:lang w:val="fr-FR"/>
        </w:rPr>
        <w:t> :</w:t>
      </w:r>
    </w:p>
    <w:p w:rsidR="0075235A" w:rsidRDefault="0075235A" w:rsidP="0075235A">
      <w:pPr>
        <w:spacing w:line="240" w:lineRule="auto"/>
        <w:rPr>
          <w:b/>
        </w:rPr>
      </w:pPr>
      <w:r>
        <w:rPr>
          <w:b/>
          <w:lang w:val="fr-FR"/>
        </w:rPr>
        <w:t>P</w:t>
      </w:r>
      <w:r w:rsidRPr="00562287">
        <w:rPr>
          <w:b/>
          <w:lang w:val="fr-FR"/>
        </w:rPr>
        <w:t>rescriptions supplémentaires concernant les émissions sonores</w:t>
      </w:r>
    </w:p>
    <w:p w:rsidR="0075235A" w:rsidRPr="0055193B" w:rsidRDefault="0075235A" w:rsidP="00B04F5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3 à la série 03 d’amendements </w:t>
      </w:r>
      <w:r w:rsidR="00B04F56">
        <w:rPr>
          <w:lang w:val="fr-FR"/>
        </w:rPr>
        <w:br/>
      </w:r>
      <w:r>
        <w:rPr>
          <w:lang w:val="fr-FR"/>
        </w:rPr>
        <w:t xml:space="preserve">au Règlement </w:t>
      </w:r>
      <w:r w:rsidR="00DE6D24" w:rsidRPr="00DE6D24">
        <w:rPr>
          <w:rFonts w:eastAsia="MS Mincho"/>
          <w:lang w:val="fr-FR"/>
        </w:rPr>
        <w:t>n</w:t>
      </w:r>
      <w:r w:rsidR="00DE6D24" w:rsidRPr="00DE6D24">
        <w:rPr>
          <w:rFonts w:eastAsia="MS Mincho"/>
          <w:vertAlign w:val="superscript"/>
          <w:lang w:val="fr-FR"/>
        </w:rPr>
        <w:t>o</w:t>
      </w:r>
      <w:r w:rsidR="00DE6D24">
        <w:rPr>
          <w:lang w:val="fr-FR"/>
        </w:rPr>
        <w:t> </w:t>
      </w:r>
      <w:r>
        <w:rPr>
          <w:lang w:val="fr-FR"/>
        </w:rPr>
        <w:t>51</w:t>
      </w:r>
    </w:p>
    <w:p w:rsidR="0075235A" w:rsidRPr="00B74FCB" w:rsidRDefault="0075235A" w:rsidP="005A16F9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groupe de travail informel des prescriptions supplémentaires concernant les émissions sonores</w:t>
      </w:r>
      <w:r w:rsidRPr="00A71879">
        <w:rPr>
          <w:b w:val="0"/>
          <w:sz w:val="20"/>
          <w:lang w:val="fr-FR"/>
        </w:rPr>
        <w:footnoteReference w:customMarkFollows="1" w:id="2"/>
        <w:t>*</w:t>
      </w:r>
    </w:p>
    <w:p w:rsidR="0075235A" w:rsidRPr="004468F3" w:rsidRDefault="0075235A" w:rsidP="005A16F9">
      <w:pPr>
        <w:pStyle w:val="SingleTxtG"/>
        <w:ind w:firstLine="567"/>
        <w:rPr>
          <w:b/>
          <w:bCs/>
        </w:rPr>
      </w:pPr>
      <w:r>
        <w:rPr>
          <w:lang w:val="fr-FR"/>
        </w:rPr>
        <w:t>Le texte ci-après a été établi par le groupe de travail informel des prescriptions supplémentaires concernant les émissions sonores afin de mettre à jour et de réviser la série</w:t>
      </w:r>
      <w:r w:rsidR="005A16F9">
        <w:rPr>
          <w:lang w:val="fr-FR"/>
        </w:rPr>
        <w:t> </w:t>
      </w:r>
      <w:r>
        <w:rPr>
          <w:lang w:val="fr-FR"/>
        </w:rPr>
        <w:t xml:space="preserve">03 d’amendements au Règlement </w:t>
      </w:r>
      <w:r w:rsidR="005A16F9" w:rsidRPr="005A16F9">
        <w:rPr>
          <w:rFonts w:eastAsia="MS Mincho"/>
          <w:lang w:val="fr-FR"/>
        </w:rPr>
        <w:t>n</w:t>
      </w:r>
      <w:r w:rsidR="005A16F9" w:rsidRPr="005A16F9">
        <w:rPr>
          <w:rFonts w:eastAsia="MS Mincho"/>
          <w:vertAlign w:val="superscript"/>
          <w:lang w:val="fr-FR"/>
        </w:rPr>
        <w:t>o</w:t>
      </w:r>
      <w:r w:rsidR="005A16F9">
        <w:rPr>
          <w:lang w:val="fr-FR"/>
        </w:rPr>
        <w:t> </w:t>
      </w:r>
      <w:r>
        <w:rPr>
          <w:lang w:val="fr-FR"/>
        </w:rPr>
        <w:t>51. Les modifications qu’il est proposé d’apporter au texte actuel du Règlement figurent en caractères gras pour les ajouts et biffés pour les suppressions.</w:t>
      </w:r>
    </w:p>
    <w:p w:rsidR="0075235A" w:rsidRDefault="0075235A" w:rsidP="005D5AA7">
      <w:pPr>
        <w:pStyle w:val="HChG"/>
      </w:pPr>
      <w:r>
        <w:br w:type="page"/>
      </w:r>
      <w:r w:rsidR="005D5AA7">
        <w:lastRenderedPageBreak/>
        <w:tab/>
      </w:r>
      <w:r w:rsidR="005D5AA7">
        <w:rPr>
          <w:lang w:val="fr-FR"/>
        </w:rPr>
        <w:t>I.</w:t>
      </w:r>
      <w:r>
        <w:rPr>
          <w:lang w:val="fr-FR"/>
        </w:rPr>
        <w:tab/>
        <w:t>Proposition</w:t>
      </w:r>
    </w:p>
    <w:p w:rsidR="0075235A" w:rsidRDefault="0075235A" w:rsidP="005D5AA7">
      <w:pPr>
        <w:pStyle w:val="SingleTxtG"/>
      </w:pPr>
      <w:r>
        <w:rPr>
          <w:i/>
          <w:iCs/>
          <w:lang w:val="fr-FR"/>
        </w:rPr>
        <w:t>Paragraphe 1</w:t>
      </w:r>
      <w:r w:rsidR="005D5AA7">
        <w:rPr>
          <w:lang w:val="fr-FR"/>
        </w:rPr>
        <w:t>, modifier comme suit </w:t>
      </w:r>
    </w:p>
    <w:p w:rsidR="0075235A" w:rsidRPr="00562287" w:rsidRDefault="0075235A" w:rsidP="005D5AA7">
      <w:pPr>
        <w:pStyle w:val="SingleTxtG"/>
        <w:ind w:left="2268" w:hanging="1134"/>
      </w:pPr>
      <w:r>
        <w:rPr>
          <w:lang w:val="fr-FR"/>
        </w:rPr>
        <w:t>« 1.</w:t>
      </w:r>
      <w:r>
        <w:rPr>
          <w:lang w:val="fr-FR"/>
        </w:rPr>
        <w:tab/>
      </w:r>
      <w:r w:rsidRPr="00562287">
        <w:rPr>
          <w:lang w:val="fr-FR"/>
        </w:rPr>
        <w:t xml:space="preserve">… </w:t>
      </w:r>
    </w:p>
    <w:p w:rsidR="0075235A" w:rsidRPr="00562287" w:rsidRDefault="0075235A" w:rsidP="005D5AA7">
      <w:pPr>
        <w:pStyle w:val="SingleTxtG"/>
        <w:ind w:left="2268"/>
        <w:rPr>
          <w:b/>
        </w:rPr>
      </w:pPr>
      <w:r w:rsidRPr="00562287">
        <w:rPr>
          <w:lang w:val="fr-FR"/>
        </w:rPr>
        <w:t xml:space="preserve">Les spécifications du présent Règlement visent à reproduire les niveaux sonores produits par les véhicules en conduite normale dans la circulation urbaine. </w:t>
      </w:r>
    </w:p>
    <w:p w:rsidR="0075235A" w:rsidRPr="00562287" w:rsidRDefault="0075235A" w:rsidP="005D5AA7">
      <w:pPr>
        <w:pStyle w:val="SingleTxtG"/>
        <w:ind w:left="2268"/>
      </w:pPr>
      <w:r w:rsidRPr="005D5AA7">
        <w:rPr>
          <w:b/>
          <w:bCs/>
          <w:lang w:val="fr-FR"/>
        </w:rPr>
        <w:t>Le présent Règlement énonce également des prescriptions supplémentaires concernant les émissions sonores relatives aux véhicules des catégories M</w:t>
      </w:r>
      <w:r w:rsidRPr="005D5AA7">
        <w:rPr>
          <w:b/>
          <w:bCs/>
          <w:vertAlign w:val="subscript"/>
          <w:lang w:val="fr-FR"/>
        </w:rPr>
        <w:t>1</w:t>
      </w:r>
      <w:r w:rsidRPr="005D5AA7">
        <w:rPr>
          <w:b/>
          <w:bCs/>
          <w:lang w:val="fr-FR"/>
        </w:rPr>
        <w:t xml:space="preserve"> et N</w:t>
      </w:r>
      <w:r w:rsidRPr="005D5AA7">
        <w:rPr>
          <w:b/>
          <w:bCs/>
          <w:vertAlign w:val="subscript"/>
          <w:lang w:val="fr-FR"/>
        </w:rPr>
        <w:t>1</w:t>
      </w:r>
      <w:r w:rsidRPr="005D5AA7">
        <w:rPr>
          <w:b/>
          <w:bCs/>
          <w:lang w:val="fr-FR"/>
        </w:rPr>
        <w:t xml:space="preserve"> représentatives de la circulation urbaine et suburbaine, se caractérisant par de très fortes accélérations dans une plage de vitesses élargie.</w:t>
      </w:r>
      <w:r w:rsidRPr="00820625">
        <w:rPr>
          <w:bCs/>
          <w:lang w:val="fr-FR"/>
        </w:rPr>
        <w:t> »</w:t>
      </w:r>
      <w:r>
        <w:rPr>
          <w:bCs/>
          <w:lang w:val="fr-FR"/>
        </w:rPr>
        <w:t>.</w:t>
      </w:r>
    </w:p>
    <w:p w:rsidR="0075235A" w:rsidRDefault="0075235A" w:rsidP="005D5AA7">
      <w:pPr>
        <w:pStyle w:val="SingleTxtG"/>
      </w:pPr>
      <w:r w:rsidRPr="008431C7">
        <w:rPr>
          <w:i/>
          <w:lang w:val="fr-FR"/>
        </w:rPr>
        <w:t>Paragraphe 2.24</w:t>
      </w:r>
      <w:r>
        <w:rPr>
          <w:lang w:val="fr-FR"/>
        </w:rPr>
        <w:t>, tableau, modifier comme suit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95"/>
        <w:gridCol w:w="975"/>
        <w:gridCol w:w="1342"/>
        <w:gridCol w:w="2826"/>
      </w:tblGrid>
      <w:tr w:rsidR="00B845DC" w:rsidRPr="00B845DC" w:rsidTr="00B845DC">
        <w:trPr>
          <w:cantSplit/>
          <w:tblHeader/>
        </w:trPr>
        <w:tc>
          <w:tcPr>
            <w:tcW w:w="1532" w:type="dxa"/>
            <w:shd w:val="clear" w:color="auto" w:fill="auto"/>
            <w:vAlign w:val="bottom"/>
            <w:hideMark/>
          </w:tcPr>
          <w:p w:rsidR="0075235A" w:rsidRPr="00B845DC" w:rsidRDefault="0075235A" w:rsidP="00B845DC">
            <w:pPr>
              <w:spacing w:before="60" w:after="60" w:line="200" w:lineRule="exact"/>
              <w:ind w:left="57" w:right="113"/>
              <w:rPr>
                <w:i/>
                <w:sz w:val="16"/>
              </w:rPr>
            </w:pPr>
            <w:r w:rsidRPr="00B845DC">
              <w:rPr>
                <w:i/>
                <w:sz w:val="16"/>
                <w:lang w:val="fr-FR"/>
              </w:rPr>
              <w:t>Symbole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75235A" w:rsidRPr="00B845DC" w:rsidRDefault="0075235A" w:rsidP="00B845DC">
            <w:pPr>
              <w:spacing w:before="60" w:after="60" w:line="200" w:lineRule="exact"/>
              <w:ind w:left="57" w:right="113"/>
              <w:rPr>
                <w:i/>
                <w:sz w:val="16"/>
              </w:rPr>
            </w:pPr>
            <w:r w:rsidRPr="00B845DC">
              <w:rPr>
                <w:i/>
                <w:sz w:val="16"/>
                <w:lang w:val="fr-FR"/>
              </w:rPr>
              <w:t>Unité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75235A" w:rsidRPr="00B845DC" w:rsidRDefault="0075235A" w:rsidP="00B845DC">
            <w:pPr>
              <w:spacing w:before="60" w:after="60" w:line="200" w:lineRule="exact"/>
              <w:ind w:left="57" w:right="113"/>
              <w:rPr>
                <w:i/>
                <w:sz w:val="16"/>
              </w:rPr>
            </w:pPr>
            <w:r w:rsidRPr="00B845DC">
              <w:rPr>
                <w:i/>
                <w:sz w:val="16"/>
                <w:lang w:val="fr-FR"/>
              </w:rPr>
              <w:t>Annexe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75235A" w:rsidRPr="00B845DC" w:rsidRDefault="0075235A" w:rsidP="00B845DC">
            <w:pPr>
              <w:spacing w:before="60" w:after="60" w:line="200" w:lineRule="exact"/>
              <w:ind w:left="57" w:right="113"/>
              <w:rPr>
                <w:i/>
                <w:sz w:val="16"/>
              </w:rPr>
            </w:pPr>
            <w:r w:rsidRPr="00B845DC">
              <w:rPr>
                <w:i/>
                <w:sz w:val="16"/>
                <w:lang w:val="fr-FR"/>
              </w:rPr>
              <w:t>Paragraphe</w:t>
            </w: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5235A" w:rsidRPr="00B845DC" w:rsidRDefault="0075235A" w:rsidP="00B845DC">
            <w:pPr>
              <w:spacing w:before="60" w:after="60" w:line="200" w:lineRule="exact"/>
              <w:ind w:left="57" w:right="113"/>
              <w:rPr>
                <w:i/>
                <w:sz w:val="16"/>
              </w:rPr>
            </w:pPr>
            <w:r w:rsidRPr="00B845DC">
              <w:rPr>
                <w:i/>
                <w:sz w:val="16"/>
                <w:lang w:val="fr-FR"/>
              </w:rPr>
              <w:t>Explication</w:t>
            </w:r>
          </w:p>
        </w:tc>
      </w:tr>
      <w:tr w:rsidR="00B845DC" w:rsidRPr="00B845DC" w:rsidTr="00B845DC">
        <w:trPr>
          <w:cantSplit/>
        </w:trPr>
        <w:tc>
          <w:tcPr>
            <w:tcW w:w="1532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  <w:tc>
          <w:tcPr>
            <w:tcW w:w="695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  <w:tc>
          <w:tcPr>
            <w:tcW w:w="975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  <w:tc>
          <w:tcPr>
            <w:tcW w:w="1342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  <w:tc>
          <w:tcPr>
            <w:tcW w:w="2826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</w:tr>
      <w:tr w:rsidR="00B845DC" w:rsidRPr="00B845DC" w:rsidTr="00B845DC">
        <w:trPr>
          <w:cantSplit/>
        </w:trPr>
        <w:tc>
          <w:tcPr>
            <w:tcW w:w="1532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BB</w:t>
            </w:r>
            <w:r w:rsidR="00B845DC">
              <w:rPr>
                <w:lang w:val="fr-FR"/>
              </w:rPr>
              <w:sym w:font="Symbol" w:char="F0A2"/>
            </w:r>
          </w:p>
        </w:tc>
        <w:tc>
          <w:tcPr>
            <w:tcW w:w="695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Annexe 3</w:t>
            </w:r>
          </w:p>
        </w:tc>
        <w:tc>
          <w:tcPr>
            <w:tcW w:w="1342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3.1.1</w:t>
            </w:r>
          </w:p>
        </w:tc>
        <w:tc>
          <w:tcPr>
            <w:tcW w:w="2826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Ligne perpendiculaire à la trajectoire du véhicule</w:t>
            </w:r>
            <w:r w:rsidR="00B658AF">
              <w:rPr>
                <w:lang w:val="fr-FR"/>
              </w:rPr>
              <w:t xml:space="preserve"> </w:t>
            </w:r>
            <w:r w:rsidRPr="00B845DC">
              <w:rPr>
                <w:b/>
                <w:bCs/>
                <w:lang w:val="fr-FR"/>
              </w:rPr>
              <w:t>située 10</w:t>
            </w:r>
            <w:r w:rsidR="00B658AF">
              <w:rPr>
                <w:b/>
                <w:bCs/>
                <w:lang w:val="fr-FR"/>
              </w:rPr>
              <w:t> </w:t>
            </w:r>
            <w:r w:rsidRPr="00B845DC">
              <w:rPr>
                <w:b/>
                <w:bCs/>
                <w:lang w:val="fr-FR"/>
              </w:rPr>
              <w:t>m en arrière de la ligne PP</w:t>
            </w:r>
            <w:r w:rsidR="00B658AF">
              <w:rPr>
                <w:b/>
                <w:bCs/>
                <w:lang w:val="fr-FR"/>
              </w:rPr>
              <w:sym w:font="Symbol" w:char="F0A2"/>
            </w:r>
          </w:p>
          <w:p w:rsidR="0075235A" w:rsidRPr="00B845DC" w:rsidRDefault="0075235A" w:rsidP="00B845DC">
            <w:pPr>
              <w:spacing w:before="60" w:after="60"/>
              <w:ind w:left="57" w:right="113"/>
              <w:rPr>
                <w:b/>
                <w:strike/>
              </w:rPr>
            </w:pPr>
            <w:r w:rsidRPr="00B845DC">
              <w:rPr>
                <w:strike/>
                <w:lang w:val="fr-FR"/>
              </w:rPr>
              <w:t>indiquant la fin de la zone dans laquelle le niveau de pression sonore doit être relevé pendant l’essai</w:t>
            </w:r>
          </w:p>
        </w:tc>
      </w:tr>
      <w:tr w:rsidR="00B845DC" w:rsidRPr="00B845DC" w:rsidTr="00B845DC">
        <w:trPr>
          <w:cantSplit/>
        </w:trPr>
        <w:tc>
          <w:tcPr>
            <w:tcW w:w="1532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  <w:tc>
          <w:tcPr>
            <w:tcW w:w="695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  <w:tc>
          <w:tcPr>
            <w:tcW w:w="975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  <w:tc>
          <w:tcPr>
            <w:tcW w:w="1342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  <w:tc>
          <w:tcPr>
            <w:tcW w:w="2826" w:type="dxa"/>
            <w:shd w:val="clear" w:color="auto" w:fill="auto"/>
          </w:tcPr>
          <w:p w:rsidR="0075235A" w:rsidRPr="00B845DC" w:rsidRDefault="0075235A" w:rsidP="00B845DC">
            <w:pPr>
              <w:spacing w:before="60" w:after="60"/>
              <w:ind w:left="57" w:right="113"/>
            </w:pPr>
            <w:r w:rsidRPr="00B845DC">
              <w:rPr>
                <w:lang w:val="fr-FR"/>
              </w:rPr>
              <w:t>…</w:t>
            </w:r>
          </w:p>
        </w:tc>
      </w:tr>
    </w:tbl>
    <w:p w:rsidR="0075235A" w:rsidRDefault="0075235A" w:rsidP="00B658AF">
      <w:pPr>
        <w:pStyle w:val="SingleTxtG"/>
        <w:spacing w:before="240" w:line="240" w:lineRule="auto"/>
      </w:pPr>
      <w:r>
        <w:rPr>
          <w:i/>
          <w:iCs/>
          <w:lang w:val="fr-FR"/>
        </w:rPr>
        <w:t>Paragraphe 6.2.3</w:t>
      </w:r>
      <w:r>
        <w:rPr>
          <w:lang w:val="fr-FR"/>
        </w:rPr>
        <w:t>, modifier comme suit :</w:t>
      </w:r>
    </w:p>
    <w:p w:rsidR="0075235A" w:rsidRDefault="0075235A" w:rsidP="0075235A">
      <w:pPr>
        <w:spacing w:after="120" w:line="240" w:lineRule="auto"/>
        <w:ind w:left="1134" w:right="1134"/>
      </w:pPr>
      <w:r>
        <w:rPr>
          <w:lang w:val="fr-FR"/>
        </w:rPr>
        <w:t>« 6.2.3</w:t>
      </w:r>
      <w:r w:rsidR="00467972">
        <w:rPr>
          <w:lang w:val="fr-FR"/>
        </w:rPr>
        <w:tab/>
      </w:r>
      <w:r>
        <w:rPr>
          <w:lang w:val="fr-FR"/>
        </w:rPr>
        <w:tab/>
        <w:t xml:space="preserve">… </w:t>
      </w:r>
    </w:p>
    <w:p w:rsidR="0075235A" w:rsidRPr="00391C09" w:rsidRDefault="0075235A" w:rsidP="00CB60F0">
      <w:pPr>
        <w:pStyle w:val="SingleTxtG"/>
        <w:ind w:left="2268"/>
        <w:rPr>
          <w:b/>
          <w:szCs w:val="24"/>
        </w:rPr>
      </w:pPr>
      <w:r>
        <w:rPr>
          <w:b/>
          <w:bCs/>
          <w:lang w:val="fr-FR"/>
        </w:rPr>
        <w:t xml:space="preserve">Si le véhicule est équipé d’un dispositif électrique </w:t>
      </w:r>
      <w:r w:rsidRPr="00B01E3C">
        <w:rPr>
          <w:b/>
          <w:bCs/>
          <w:lang w:val="fr-FR"/>
        </w:rPr>
        <w:t>servant à renforcer sa présence</w:t>
      </w:r>
      <w:r w:rsidRPr="00B01E3C">
        <w:rPr>
          <w:b/>
          <w:bCs/>
        </w:rPr>
        <w:t xml:space="preserve"> sonore</w:t>
      </w:r>
      <w:r w:rsidRPr="00B01E3C">
        <w:rPr>
          <w:b/>
          <w:bCs/>
          <w:lang w:val="fr-FR"/>
        </w:rPr>
        <w:t>, ledit dispositif doit être activé pendant l</w:t>
      </w:r>
      <w:r>
        <w:rPr>
          <w:b/>
          <w:bCs/>
          <w:lang w:val="fr-FR"/>
        </w:rPr>
        <w:t>’</w:t>
      </w:r>
      <w:r w:rsidRPr="00B01E3C">
        <w:rPr>
          <w:b/>
          <w:bCs/>
          <w:lang w:val="fr-FR"/>
        </w:rPr>
        <w:t>essai d</w:t>
      </w:r>
      <w:r>
        <w:rPr>
          <w:b/>
          <w:bCs/>
          <w:lang w:val="fr-FR"/>
        </w:rPr>
        <w:t>’</w:t>
      </w:r>
      <w:r w:rsidRPr="00B01E3C">
        <w:rPr>
          <w:b/>
          <w:bCs/>
          <w:lang w:val="fr-FR"/>
        </w:rPr>
        <w:t>homologation de type.</w:t>
      </w:r>
      <w:r w:rsidRPr="00B01E3C">
        <w:rPr>
          <w:lang w:val="fr-FR"/>
        </w:rPr>
        <w:t> »</w:t>
      </w:r>
      <w:r>
        <w:rPr>
          <w:lang w:val="fr-FR"/>
        </w:rPr>
        <w:t>.</w:t>
      </w:r>
    </w:p>
    <w:p w:rsidR="0075235A" w:rsidRDefault="0075235A" w:rsidP="0075235A">
      <w:pPr>
        <w:spacing w:after="120" w:line="240" w:lineRule="auto"/>
        <w:ind w:left="1134" w:right="1134"/>
        <w:rPr>
          <w:i/>
        </w:rPr>
      </w:pPr>
      <w:r>
        <w:rPr>
          <w:i/>
          <w:iCs/>
          <w:lang w:val="fr-FR"/>
        </w:rPr>
        <w:t>Annexe 3</w:t>
      </w:r>
      <w:r w:rsidRPr="00467972">
        <w:rPr>
          <w:iCs/>
          <w:lang w:val="fr-FR"/>
        </w:rPr>
        <w:t>,</w:t>
      </w:r>
      <w:r>
        <w:rPr>
          <w:lang w:val="fr-FR"/>
        </w:rPr>
        <w:t xml:space="preserve"> </w:t>
      </w:r>
    </w:p>
    <w:p w:rsidR="0075235A" w:rsidRDefault="0075235A" w:rsidP="0075235A">
      <w:pPr>
        <w:spacing w:after="120" w:line="240" w:lineRule="auto"/>
        <w:ind w:left="1134" w:right="1134"/>
        <w:jc w:val="both"/>
      </w:pPr>
      <w:r>
        <w:rPr>
          <w:i/>
          <w:iCs/>
          <w:lang w:val="fr-FR"/>
        </w:rPr>
        <w:t>Paragraphe 3.1.2.1</w:t>
      </w:r>
      <w:r>
        <w:rPr>
          <w:lang w:val="fr-FR"/>
        </w:rPr>
        <w:t>, modifier comme suit :</w:t>
      </w:r>
    </w:p>
    <w:p w:rsidR="0075235A" w:rsidRDefault="0075235A" w:rsidP="00B658AF">
      <w:pPr>
        <w:pStyle w:val="SingleTxtG"/>
        <w:ind w:left="2268" w:hanging="1134"/>
      </w:pPr>
      <w:r>
        <w:rPr>
          <w:lang w:val="fr-FR"/>
        </w:rPr>
        <w:t>« 3.1.2.1</w:t>
      </w:r>
      <w:r>
        <w:rPr>
          <w:lang w:val="fr-FR"/>
        </w:rPr>
        <w:tab/>
        <w:t>…</w:t>
      </w:r>
    </w:p>
    <w:p w:rsidR="0075235A" w:rsidRDefault="0075235A" w:rsidP="00CB60F0">
      <w:pPr>
        <w:pStyle w:val="SingleTxtG"/>
        <w:ind w:left="2268"/>
      </w:pPr>
      <w:r>
        <w:rPr>
          <w:lang w:val="fr-FR"/>
        </w:rPr>
        <w:t>La trace de l’axe médian du véhicule doit suivre la ligne CC</w:t>
      </w:r>
      <w:r w:rsidR="00467972">
        <w:rPr>
          <w:lang w:val="fr-FR"/>
        </w:rPr>
        <w:sym w:font="Symbol" w:char="F0A2"/>
      </w:r>
      <w:r>
        <w:rPr>
          <w:lang w:val="fr-FR"/>
        </w:rPr>
        <w:t xml:space="preserve"> d’aussi près que possible pendant toute la durée de l’essai, c’est-à-dire entre le moment où le véhicule s’approche de la ligne AA</w:t>
      </w:r>
      <w:r w:rsidR="00467972">
        <w:rPr>
          <w:lang w:val="fr-FR"/>
        </w:rPr>
        <w:sym w:font="Symbol" w:char="F0A2"/>
      </w:r>
      <w:r>
        <w:rPr>
          <w:lang w:val="fr-FR"/>
        </w:rPr>
        <w:t xml:space="preserve"> et celui où l’arrière du véhicule </w:t>
      </w:r>
      <w:r w:rsidR="00467972">
        <w:rPr>
          <w:b/>
          <w:lang w:val="fr-FR"/>
        </w:rPr>
        <w:t>a parcouru une distance de 20 </w:t>
      </w:r>
      <w:r w:rsidRPr="007A6644">
        <w:rPr>
          <w:b/>
          <w:lang w:val="fr-FR"/>
        </w:rPr>
        <w:t>m après avoir franchi</w:t>
      </w:r>
      <w:r>
        <w:rPr>
          <w:lang w:val="fr-FR"/>
        </w:rPr>
        <w:t xml:space="preserve"> </w:t>
      </w:r>
      <w:r w:rsidRPr="007A6644">
        <w:rPr>
          <w:strike/>
          <w:lang w:val="fr-FR"/>
        </w:rPr>
        <w:t>franchisse</w:t>
      </w:r>
      <w:r>
        <w:rPr>
          <w:lang w:val="fr-FR"/>
        </w:rPr>
        <w:t xml:space="preserve"> la ligne BB</w:t>
      </w:r>
      <w:r w:rsidR="00467972">
        <w:rPr>
          <w:lang w:val="fr-FR"/>
        </w:rPr>
        <w:sym w:font="Symbol" w:char="F0A2"/>
      </w:r>
      <w:r>
        <w:rPr>
          <w:lang w:val="fr-FR"/>
        </w:rPr>
        <w:t>… ».</w:t>
      </w:r>
    </w:p>
    <w:p w:rsidR="0075235A" w:rsidRDefault="0075235A" w:rsidP="0075235A">
      <w:pPr>
        <w:spacing w:after="120" w:line="240" w:lineRule="auto"/>
        <w:ind w:left="1134" w:right="1134"/>
        <w:jc w:val="both"/>
      </w:pPr>
      <w:r w:rsidRPr="007A6644">
        <w:rPr>
          <w:i/>
          <w:lang w:val="fr-FR"/>
        </w:rPr>
        <w:t>Paragraphe 3.1.2.1.5</w:t>
      </w:r>
      <w:r>
        <w:rPr>
          <w:lang w:val="fr-FR"/>
        </w:rPr>
        <w:t>, modifier comme suit :</w:t>
      </w:r>
    </w:p>
    <w:p w:rsidR="0075235A" w:rsidRDefault="00467972" w:rsidP="00B658AF">
      <w:pPr>
        <w:pStyle w:val="SingleTxtG"/>
        <w:ind w:left="2268" w:hanging="1134"/>
      </w:pPr>
      <w:r>
        <w:rPr>
          <w:lang w:val="fr-FR"/>
        </w:rPr>
        <w:t>« </w:t>
      </w:r>
      <w:r w:rsidR="0075235A">
        <w:rPr>
          <w:lang w:val="fr-FR"/>
        </w:rPr>
        <w:t>3.1.2.1.5</w:t>
      </w:r>
      <w:r w:rsidR="0075235A">
        <w:rPr>
          <w:lang w:val="fr-FR"/>
        </w:rPr>
        <w:tab/>
        <w:t xml:space="preserve">… </w:t>
      </w:r>
    </w:p>
    <w:p w:rsidR="0075235A" w:rsidRDefault="00215936" w:rsidP="00CB60F0">
      <w:pPr>
        <w:pStyle w:val="SingleTxtG"/>
        <w:ind w:left="2268"/>
      </w:pPr>
      <w:r>
        <w:rPr>
          <w:lang w:val="fr-FR"/>
        </w:rPr>
        <w:t xml:space="preserve">… </w:t>
      </w:r>
      <w:r w:rsidR="0075235A">
        <w:rPr>
          <w:lang w:val="fr-FR"/>
        </w:rPr>
        <w:t xml:space="preserve">L’accélérateur doit alors être relâché aussi vite que possible. </w:t>
      </w:r>
      <w:r w:rsidR="0075235A">
        <w:rPr>
          <w:b/>
          <w:bCs/>
          <w:lang w:val="fr-FR"/>
        </w:rPr>
        <w:t>La mesure prend fin lorsque l’arrière du véhicule a parcouru une distance de 20</w:t>
      </w:r>
      <w:r>
        <w:rPr>
          <w:b/>
          <w:bCs/>
          <w:lang w:val="fr-FR"/>
        </w:rPr>
        <w:t> </w:t>
      </w:r>
      <w:r w:rsidR="0075235A">
        <w:rPr>
          <w:b/>
          <w:bCs/>
          <w:lang w:val="fr-FR"/>
        </w:rPr>
        <w:t>m après avoir franchi la ligne BB’, conformément à la prescription du 3.1.2.1.</w:t>
      </w:r>
      <w:r w:rsidR="0075235A">
        <w:rPr>
          <w:lang w:val="fr-FR"/>
        </w:rPr>
        <w:t xml:space="preserve"> </w:t>
      </w:r>
      <w:r>
        <w:rPr>
          <w:lang w:val="fr-FR"/>
        </w:rPr>
        <w:t>(</w:t>
      </w:r>
      <w:r w:rsidR="0075235A">
        <w:rPr>
          <w:lang w:val="fr-FR"/>
        </w:rPr>
        <w:t>...</w:t>
      </w:r>
      <w:r>
        <w:rPr>
          <w:lang w:val="fr-FR"/>
        </w:rPr>
        <w:t>)</w:t>
      </w:r>
      <w:r w:rsidR="0075235A">
        <w:rPr>
          <w:lang w:val="fr-FR"/>
        </w:rPr>
        <w:t xml:space="preserve"> ». </w:t>
      </w:r>
    </w:p>
    <w:p w:rsidR="0075235A" w:rsidRDefault="0075235A" w:rsidP="000B607C">
      <w:pPr>
        <w:keepNext/>
        <w:spacing w:after="120" w:line="240" w:lineRule="auto"/>
        <w:ind w:left="1134" w:right="1134"/>
        <w:jc w:val="both"/>
        <w:rPr>
          <w:i/>
        </w:rPr>
      </w:pPr>
      <w:r w:rsidRPr="007A6644">
        <w:rPr>
          <w:i/>
          <w:lang w:val="fr-FR"/>
        </w:rPr>
        <w:lastRenderedPageBreak/>
        <w:t>Annexe</w:t>
      </w:r>
      <w:r>
        <w:rPr>
          <w:lang w:val="fr-FR"/>
        </w:rPr>
        <w:t xml:space="preserve"> 7, </w:t>
      </w:r>
    </w:p>
    <w:p w:rsidR="0075235A" w:rsidRDefault="0075235A" w:rsidP="000B607C">
      <w:pPr>
        <w:keepNext/>
        <w:spacing w:after="120" w:line="240" w:lineRule="auto"/>
        <w:ind w:left="1134" w:right="1134"/>
        <w:jc w:val="both"/>
      </w:pPr>
      <w:r>
        <w:rPr>
          <w:i/>
          <w:iCs/>
          <w:lang w:val="fr-FR"/>
        </w:rPr>
        <w:t>Paragraphe 3.1,</w:t>
      </w:r>
      <w:r>
        <w:rPr>
          <w:lang w:val="fr-FR"/>
        </w:rPr>
        <w:t xml:space="preserve"> modifier comme suit</w:t>
      </w:r>
      <w:r w:rsidR="000B607C">
        <w:rPr>
          <w:lang w:val="fr-FR"/>
        </w:rPr>
        <w:t> </w:t>
      </w:r>
      <w:r>
        <w:rPr>
          <w:lang w:val="fr-FR"/>
        </w:rPr>
        <w:t>:</w:t>
      </w:r>
    </w:p>
    <w:p w:rsidR="0075235A" w:rsidRPr="00AE51BC" w:rsidRDefault="0075235A" w:rsidP="000B607C">
      <w:pPr>
        <w:pStyle w:val="SingleTxtG"/>
        <w:keepNext/>
        <w:ind w:left="2268" w:hanging="1134"/>
        <w:jc w:val="left"/>
        <w:rPr>
          <w:lang w:val="fr-FR"/>
        </w:rPr>
      </w:pPr>
      <w:r>
        <w:rPr>
          <w:lang w:val="fr-FR"/>
        </w:rPr>
        <w:t>« 3.1</w:t>
      </w:r>
      <w:r>
        <w:rPr>
          <w:lang w:val="fr-FR"/>
        </w:rPr>
        <w:tab/>
      </w:r>
      <w:r w:rsidRPr="00AE51BC">
        <w:rPr>
          <w:lang w:val="fr-FR"/>
        </w:rPr>
        <w:t>Détermination du point d</w:t>
      </w:r>
      <w:r>
        <w:rPr>
          <w:lang w:val="fr-FR"/>
        </w:rPr>
        <w:t>’</w:t>
      </w:r>
      <w:r w:rsidRPr="00AE51BC">
        <w:rPr>
          <w:lang w:val="fr-FR"/>
        </w:rPr>
        <w:t>alignement</w:t>
      </w:r>
    </w:p>
    <w:p w:rsidR="0075235A" w:rsidRDefault="0075235A" w:rsidP="000B607C">
      <w:pPr>
        <w:pStyle w:val="SingleTxtG"/>
        <w:keepNext/>
        <w:ind w:left="2268"/>
      </w:pPr>
      <w:r w:rsidRPr="00AE51BC">
        <w:rPr>
          <w:lang w:val="fr-FR"/>
        </w:rPr>
        <w:t>Le point d</w:t>
      </w:r>
      <w:r>
        <w:rPr>
          <w:lang w:val="fr-FR"/>
        </w:rPr>
        <w:t>’</w:t>
      </w:r>
      <w:r w:rsidRPr="00AE51BC">
        <w:rPr>
          <w:lang w:val="fr-FR"/>
        </w:rPr>
        <w:t>alignement est le même pour chaque rapport κ compris dans la plage de contrôle visée au paragraphe 2.3. Les paramètres du point d</w:t>
      </w:r>
      <w:r>
        <w:rPr>
          <w:lang w:val="fr-FR"/>
        </w:rPr>
        <w:t>’</w:t>
      </w:r>
      <w:r w:rsidRPr="00AE51BC">
        <w:rPr>
          <w:lang w:val="fr-FR"/>
        </w:rPr>
        <w:t>alignement sont relevés lors de l</w:t>
      </w:r>
      <w:r>
        <w:rPr>
          <w:lang w:val="fr-FR"/>
        </w:rPr>
        <w:t>’</w:t>
      </w:r>
      <w:r w:rsidRPr="00AE51BC">
        <w:rPr>
          <w:lang w:val="fr-FR"/>
        </w:rPr>
        <w:t>essai d</w:t>
      </w:r>
      <w:r>
        <w:rPr>
          <w:lang w:val="fr-FR"/>
        </w:rPr>
        <w:t>’</w:t>
      </w:r>
      <w:r w:rsidRPr="00AE51BC">
        <w:rPr>
          <w:lang w:val="fr-FR"/>
        </w:rPr>
        <w:t>accélération de l</w:t>
      </w:r>
      <w:r>
        <w:rPr>
          <w:lang w:val="fr-FR"/>
        </w:rPr>
        <w:t>’</w:t>
      </w:r>
      <w:r w:rsidRPr="00AE51BC">
        <w:rPr>
          <w:lang w:val="fr-FR"/>
        </w:rPr>
        <w:t>annexe 3 comme suit :</w:t>
      </w:r>
      <w:r>
        <w:rPr>
          <w:lang w:val="fr-FR"/>
        </w:rPr>
        <w:t xml:space="preserve"> </w:t>
      </w:r>
    </w:p>
    <w:p w:rsidR="0075235A" w:rsidRPr="00855475" w:rsidRDefault="0075235A" w:rsidP="000B607C">
      <w:pPr>
        <w:pStyle w:val="SingleTxtG"/>
        <w:keepNext/>
        <w:ind w:left="2268"/>
        <w:rPr>
          <w:b/>
        </w:rPr>
      </w:pPr>
      <w:r>
        <w:rPr>
          <w:b/>
          <w:bCs/>
          <w:lang w:val="fr-FR"/>
        </w:rPr>
        <w:t>Si l’essai a été réalisé avec deux rapports de boîte de vitesses :</w:t>
      </w:r>
    </w:p>
    <w:p w:rsidR="0075235A" w:rsidRPr="00A368C6" w:rsidRDefault="0075235A" w:rsidP="00CB60F0">
      <w:pPr>
        <w:pStyle w:val="SingleTxtG"/>
        <w:ind w:left="2268"/>
      </w:pPr>
      <w:proofErr w:type="spellStart"/>
      <w:r w:rsidRPr="00A368C6">
        <w:rPr>
          <w:bCs/>
          <w:lang w:val="fr-FR"/>
        </w:rPr>
        <w:t>L</w:t>
      </w:r>
      <w:r w:rsidRPr="00A368C6">
        <w:rPr>
          <w:bCs/>
          <w:vertAlign w:val="subscript"/>
          <w:lang w:val="fr-FR"/>
        </w:rPr>
        <w:t>anchor</w:t>
      </w:r>
      <w:proofErr w:type="spellEnd"/>
      <w:r w:rsidRPr="00A368C6">
        <w:rPr>
          <w:bCs/>
          <w:lang w:val="fr-FR"/>
        </w:rPr>
        <w:t xml:space="preserve"> est le niveau de pression acoustique le plus élevé pour </w:t>
      </w:r>
      <w:proofErr w:type="spellStart"/>
      <w:r w:rsidRPr="00A368C6">
        <w:rPr>
          <w:bCs/>
          <w:lang w:val="fr-FR"/>
        </w:rPr>
        <w:t>L</w:t>
      </w:r>
      <w:r w:rsidRPr="00A368C6">
        <w:rPr>
          <w:bCs/>
          <w:vertAlign w:val="subscript"/>
          <w:lang w:val="fr-FR"/>
        </w:rPr>
        <w:t>wot</w:t>
      </w:r>
      <w:proofErr w:type="spellEnd"/>
      <w:proofErr w:type="gramStart"/>
      <w:r w:rsidRPr="00A368C6">
        <w:rPr>
          <w:bCs/>
          <w:vertAlign w:val="subscript"/>
          <w:lang w:val="fr-FR"/>
        </w:rPr>
        <w:t>,(</w:t>
      </w:r>
      <w:proofErr w:type="gramEnd"/>
      <w:r w:rsidRPr="00A368C6">
        <w:rPr>
          <w:bCs/>
          <w:vertAlign w:val="subscript"/>
          <w:lang w:val="fr-FR"/>
        </w:rPr>
        <w:t xml:space="preserve">i) </w:t>
      </w:r>
      <w:r w:rsidRPr="00A368C6">
        <w:rPr>
          <w:bCs/>
          <w:lang w:val="fr-FR"/>
        </w:rPr>
        <w:t>sur les côtés gauche et droit</w:t>
      </w:r>
      <w:r>
        <w:rPr>
          <w:bCs/>
          <w:lang w:val="fr-FR"/>
        </w:rPr>
        <w:t xml:space="preserve"> </w:t>
      </w:r>
      <w:r w:rsidRPr="00A368C6">
        <w:rPr>
          <w:bCs/>
          <w:lang w:val="fr-FR"/>
        </w:rPr>
        <w:t>sur le rapport i ;</w:t>
      </w:r>
    </w:p>
    <w:p w:rsidR="0075235A" w:rsidRPr="00A368C6" w:rsidRDefault="0075235A" w:rsidP="00CB60F0">
      <w:pPr>
        <w:pStyle w:val="SingleTxtG"/>
        <w:ind w:left="2268"/>
      </w:pPr>
      <w:proofErr w:type="spellStart"/>
      <w:r w:rsidRPr="00A368C6">
        <w:rPr>
          <w:bCs/>
          <w:lang w:val="fr-FR"/>
        </w:rPr>
        <w:t>n</w:t>
      </w:r>
      <w:r w:rsidRPr="00A368C6">
        <w:rPr>
          <w:bCs/>
          <w:vertAlign w:val="subscript"/>
          <w:lang w:val="fr-FR"/>
        </w:rPr>
        <w:t>anchor</w:t>
      </w:r>
      <w:proofErr w:type="spellEnd"/>
      <w:r w:rsidRPr="00A368C6">
        <w:rPr>
          <w:bCs/>
          <w:lang w:val="fr-FR"/>
        </w:rPr>
        <w:t xml:space="preserve"> est la moyenne de </w:t>
      </w:r>
      <w:proofErr w:type="spellStart"/>
      <w:r w:rsidRPr="00A368C6">
        <w:rPr>
          <w:bCs/>
          <w:lang w:val="fr-FR"/>
        </w:rPr>
        <w:t>n</w:t>
      </w:r>
      <w:r w:rsidRPr="00A368C6">
        <w:rPr>
          <w:bCs/>
          <w:vertAlign w:val="subscript"/>
          <w:lang w:val="fr-FR"/>
        </w:rPr>
        <w:t>BB</w:t>
      </w:r>
      <w:proofErr w:type="gramStart"/>
      <w:r w:rsidRPr="00A368C6">
        <w:rPr>
          <w:bCs/>
          <w:vertAlign w:val="subscript"/>
          <w:lang w:val="fr-FR"/>
        </w:rPr>
        <w:t>,wot</w:t>
      </w:r>
      <w:r w:rsidRPr="00A368C6">
        <w:rPr>
          <w:bCs/>
          <w:strike/>
          <w:vertAlign w:val="subscript"/>
          <w:lang w:val="fr-FR"/>
        </w:rPr>
        <w:t>,i</w:t>
      </w:r>
      <w:proofErr w:type="spellEnd"/>
      <w:proofErr w:type="gramEnd"/>
      <w:r w:rsidRPr="00A368C6">
        <w:rPr>
          <w:bCs/>
          <w:lang w:val="fr-FR"/>
        </w:rPr>
        <w:t xml:space="preserve"> sur les quatre essais sur le rapport i, obtenue en suivant les prescriptions de l</w:t>
      </w:r>
      <w:r>
        <w:rPr>
          <w:bCs/>
          <w:lang w:val="fr-FR"/>
        </w:rPr>
        <w:t>’</w:t>
      </w:r>
      <w:r w:rsidRPr="00A368C6">
        <w:rPr>
          <w:bCs/>
          <w:lang w:val="fr-FR"/>
        </w:rPr>
        <w:t>annexe 3 ;</w:t>
      </w:r>
    </w:p>
    <w:p w:rsidR="0075235A" w:rsidRPr="00855475" w:rsidRDefault="0075235A" w:rsidP="00CB60F0">
      <w:pPr>
        <w:pStyle w:val="SingleTxtG"/>
        <w:ind w:left="2268"/>
        <w:rPr>
          <w:rFonts w:eastAsiaTheme="minorHAnsi"/>
          <w:b/>
        </w:rPr>
      </w:pPr>
      <w:r>
        <w:rPr>
          <w:b/>
          <w:bCs/>
          <w:lang w:val="fr-FR"/>
        </w:rPr>
        <w:t>Si l’essai a été réalisé avec un seul rapport de boîte de vitesses :</w:t>
      </w:r>
    </w:p>
    <w:p w:rsidR="0075235A" w:rsidRPr="00855475" w:rsidRDefault="0075235A" w:rsidP="00CB60F0">
      <w:pPr>
        <w:pStyle w:val="SingleTxtG"/>
        <w:ind w:left="2268"/>
        <w:rPr>
          <w:b/>
        </w:rPr>
      </w:pPr>
      <w:proofErr w:type="spellStart"/>
      <w:r>
        <w:rPr>
          <w:b/>
          <w:bCs/>
          <w:lang w:val="fr-FR"/>
        </w:rPr>
        <w:t>L</w:t>
      </w:r>
      <w:r>
        <w:rPr>
          <w:b/>
          <w:bCs/>
          <w:vertAlign w:val="subscript"/>
          <w:lang w:val="fr-FR"/>
        </w:rPr>
        <w:t>anchor</w:t>
      </w:r>
      <w:proofErr w:type="spellEnd"/>
      <w:r>
        <w:rPr>
          <w:b/>
          <w:bCs/>
          <w:vertAlign w:val="subscript"/>
          <w:lang w:val="fr-FR"/>
        </w:rPr>
        <w:t xml:space="preserve"> </w:t>
      </w:r>
      <w:r>
        <w:rPr>
          <w:b/>
          <w:bCs/>
          <w:lang w:val="fr-FR"/>
        </w:rPr>
        <w:t xml:space="preserve">est le niveau de pression acoustique le plus élevé pour </w:t>
      </w:r>
      <w:proofErr w:type="spellStart"/>
      <w:r>
        <w:rPr>
          <w:b/>
          <w:bCs/>
          <w:lang w:val="fr-FR"/>
        </w:rPr>
        <w:t>L</w:t>
      </w:r>
      <w:r>
        <w:rPr>
          <w:b/>
          <w:bCs/>
          <w:vertAlign w:val="subscript"/>
          <w:lang w:val="fr-FR"/>
        </w:rPr>
        <w:t>wot</w:t>
      </w:r>
      <w:proofErr w:type="spellEnd"/>
      <w:r>
        <w:rPr>
          <w:b/>
          <w:bCs/>
          <w:lang w:val="fr-FR"/>
        </w:rPr>
        <w:t xml:space="preserve"> sur les côtés gauche et droit sur le rapport sélectionné pour l’essai ;</w:t>
      </w:r>
    </w:p>
    <w:p w:rsidR="0075235A" w:rsidRPr="00855475" w:rsidRDefault="0075235A" w:rsidP="00CB60F0">
      <w:pPr>
        <w:pStyle w:val="SingleTxtG"/>
        <w:ind w:left="2268"/>
        <w:rPr>
          <w:b/>
        </w:rPr>
      </w:pPr>
      <w:proofErr w:type="spellStart"/>
      <w:r>
        <w:rPr>
          <w:b/>
          <w:bCs/>
          <w:lang w:val="fr-FR"/>
        </w:rPr>
        <w:t>n</w:t>
      </w:r>
      <w:r>
        <w:rPr>
          <w:b/>
          <w:bCs/>
          <w:vertAlign w:val="subscript"/>
          <w:lang w:val="fr-FR"/>
        </w:rPr>
        <w:t>anchor</w:t>
      </w:r>
      <w:proofErr w:type="spellEnd"/>
      <w:r>
        <w:rPr>
          <w:b/>
          <w:bCs/>
          <w:lang w:val="fr-FR"/>
        </w:rPr>
        <w:t xml:space="preserve"> est la moyenne de </w:t>
      </w:r>
      <w:proofErr w:type="spellStart"/>
      <w:r>
        <w:rPr>
          <w:b/>
          <w:bCs/>
          <w:lang w:val="fr-FR"/>
        </w:rPr>
        <w:t>n</w:t>
      </w:r>
      <w:r>
        <w:rPr>
          <w:b/>
          <w:bCs/>
          <w:vertAlign w:val="subscript"/>
          <w:lang w:val="fr-FR"/>
        </w:rPr>
        <w:t>BB,wot</w:t>
      </w:r>
      <w:proofErr w:type="spellEnd"/>
      <w:r>
        <w:rPr>
          <w:b/>
          <w:bCs/>
          <w:lang w:val="fr-FR"/>
        </w:rPr>
        <w:t xml:space="preserve"> sur les quatre essais sur le rapport sélectionné pour l’essai, obtenue en suivant les prescriptions de l’annexe</w:t>
      </w:r>
      <w:r w:rsidR="00A71879">
        <w:rPr>
          <w:b/>
          <w:bCs/>
          <w:lang w:val="fr-FR"/>
        </w:rPr>
        <w:t> </w:t>
      </w:r>
      <w:r>
        <w:rPr>
          <w:b/>
          <w:bCs/>
          <w:lang w:val="fr-FR"/>
        </w:rPr>
        <w:t>3 ;</w:t>
      </w:r>
      <w:r w:rsidR="000B607C" w:rsidRPr="000B607C">
        <w:rPr>
          <w:bCs/>
          <w:lang w:val="fr-FR"/>
        </w:rPr>
        <w:t>…</w:t>
      </w:r>
      <w:r>
        <w:rPr>
          <w:b/>
          <w:bCs/>
          <w:lang w:val="fr-FR"/>
        </w:rPr>
        <w:t> </w:t>
      </w:r>
      <w:r w:rsidRPr="000B607C">
        <w:rPr>
          <w:bCs/>
          <w:lang w:val="fr-FR"/>
        </w:rPr>
        <w:t>»</w:t>
      </w:r>
      <w:r w:rsidR="000B607C">
        <w:rPr>
          <w:bCs/>
          <w:lang w:val="fr-FR"/>
        </w:rPr>
        <w:t>.</w:t>
      </w:r>
    </w:p>
    <w:p w:rsidR="0075235A" w:rsidRPr="007A6644" w:rsidRDefault="000B607C" w:rsidP="000B607C">
      <w:pPr>
        <w:pStyle w:val="HChG"/>
        <w:rPr>
          <w:lang w:val="fr-FR"/>
        </w:rPr>
      </w:pPr>
      <w:r>
        <w:rPr>
          <w:lang w:val="fr-FR"/>
        </w:rPr>
        <w:tab/>
      </w:r>
      <w:r w:rsidR="0075235A">
        <w:rPr>
          <w:lang w:val="fr-FR"/>
        </w:rPr>
        <w:t>II.</w:t>
      </w:r>
      <w:r w:rsidR="0075235A">
        <w:rPr>
          <w:lang w:val="fr-FR"/>
        </w:rPr>
        <w:tab/>
        <w:t>Justification</w:t>
      </w:r>
    </w:p>
    <w:p w:rsidR="0075235A" w:rsidRPr="000B607C" w:rsidRDefault="000B607C" w:rsidP="000B607C">
      <w:pPr>
        <w:pStyle w:val="SingleTxtG"/>
        <w:rPr>
          <w:i/>
        </w:rPr>
      </w:pPr>
      <w:r w:rsidRPr="000B607C">
        <w:rPr>
          <w:i/>
          <w:lang w:val="fr-FR"/>
        </w:rPr>
        <w:t>Paragraphe 1</w:t>
      </w:r>
    </w:p>
    <w:p w:rsidR="0075235A" w:rsidRDefault="0075235A" w:rsidP="000B607C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 xml:space="preserve">Le Règlement devrait s’appliquer indépendamment de la technologie utilisée et tenir compte des </w:t>
      </w:r>
      <w:r w:rsidRPr="002F6BAF">
        <w:rPr>
          <w:lang w:val="fr-FR"/>
        </w:rPr>
        <w:t>situations d</w:t>
      </w:r>
      <w:r>
        <w:rPr>
          <w:lang w:val="fr-FR"/>
        </w:rPr>
        <w:t>e conduite visées.</w:t>
      </w:r>
    </w:p>
    <w:p w:rsidR="0075235A" w:rsidRPr="000B607C" w:rsidRDefault="0075235A" w:rsidP="000B607C">
      <w:pPr>
        <w:pStyle w:val="SingleTxtG"/>
        <w:rPr>
          <w:i/>
        </w:rPr>
      </w:pPr>
      <w:r w:rsidRPr="000B607C">
        <w:rPr>
          <w:i/>
          <w:lang w:val="fr-FR"/>
        </w:rPr>
        <w:t xml:space="preserve">Paragraphe 6.2.3 </w:t>
      </w:r>
    </w:p>
    <w:p w:rsidR="0075235A" w:rsidRDefault="0075235A" w:rsidP="000B607C">
      <w:pPr>
        <w:pStyle w:val="SingleTxtG"/>
      </w:pPr>
      <w:r w:rsidRPr="009D2FE9">
        <w:rPr>
          <w:lang w:val="fr-FR"/>
        </w:rPr>
        <w:t>2.</w:t>
      </w:r>
      <w:r w:rsidRPr="009D2FE9">
        <w:rPr>
          <w:lang w:val="fr-FR"/>
        </w:rPr>
        <w:tab/>
        <w:t>Cette phrase vise à souligner que les prescriptions supplémentaires concernant les émissions sonores s</w:t>
      </w:r>
      <w:r>
        <w:rPr>
          <w:lang w:val="fr-FR"/>
        </w:rPr>
        <w:t>’</w:t>
      </w:r>
      <w:r w:rsidRPr="009D2FE9">
        <w:rPr>
          <w:lang w:val="fr-FR"/>
        </w:rPr>
        <w:t>appliquent aux véhicules et aux dispositifs électriques sonores qui les équipent, tels que les s</w:t>
      </w:r>
      <w:r w:rsidRPr="00C141B8">
        <w:rPr>
          <w:lang w:val="fr-FR"/>
        </w:rPr>
        <w:t>ystèmes avertisseurs sonores</w:t>
      </w:r>
      <w:r>
        <w:rPr>
          <w:lang w:val="fr-FR"/>
        </w:rPr>
        <w:t xml:space="preserve"> </w:t>
      </w:r>
      <w:r w:rsidRPr="00C141B8">
        <w:rPr>
          <w:lang w:val="fr-FR"/>
        </w:rPr>
        <w:t>de présence du véhicule</w:t>
      </w:r>
      <w:r w:rsidRPr="009D2FE9">
        <w:rPr>
          <w:lang w:val="fr-FR"/>
        </w:rPr>
        <w:t>, et aux silencieux équipés d</w:t>
      </w:r>
      <w:r>
        <w:rPr>
          <w:lang w:val="fr-FR"/>
        </w:rPr>
        <w:t>’</w:t>
      </w:r>
      <w:r w:rsidRPr="009D2FE9">
        <w:rPr>
          <w:lang w:val="fr-FR"/>
        </w:rPr>
        <w:t>un système actif d</w:t>
      </w:r>
      <w:r>
        <w:rPr>
          <w:lang w:val="fr-FR"/>
        </w:rPr>
        <w:t>’</w:t>
      </w:r>
      <w:r w:rsidRPr="009D2FE9">
        <w:rPr>
          <w:lang w:val="fr-FR"/>
        </w:rPr>
        <w:t>annulation du bruit.</w:t>
      </w:r>
    </w:p>
    <w:p w:rsidR="0075235A" w:rsidRPr="000B607C" w:rsidRDefault="0075235A" w:rsidP="000B607C">
      <w:pPr>
        <w:pStyle w:val="SingleTxtG"/>
        <w:rPr>
          <w:i/>
        </w:rPr>
      </w:pPr>
      <w:r w:rsidRPr="000B607C">
        <w:rPr>
          <w:i/>
          <w:lang w:val="fr-FR"/>
        </w:rPr>
        <w:t xml:space="preserve">Paragraphe 2.24 et annexe 3, paragraphes 3.1.2.1 et 3.1.2.1.5 </w:t>
      </w:r>
    </w:p>
    <w:p w:rsidR="0075235A" w:rsidRDefault="0075235A" w:rsidP="000B607C">
      <w:pPr>
        <w:pStyle w:val="SingleTxtG"/>
      </w:pPr>
      <w:r w:rsidRPr="004F6E59">
        <w:rPr>
          <w:lang w:val="fr-FR"/>
        </w:rPr>
        <w:t>3.</w:t>
      </w:r>
      <w:r w:rsidRPr="004F6E59">
        <w:rPr>
          <w:lang w:val="fr-FR"/>
        </w:rPr>
        <w:tab/>
        <w:t>Cette disposition élargit les conditions d</w:t>
      </w:r>
      <w:r>
        <w:rPr>
          <w:lang w:val="fr-FR"/>
        </w:rPr>
        <w:t>’</w:t>
      </w:r>
      <w:r w:rsidRPr="004F6E59">
        <w:rPr>
          <w:lang w:val="fr-FR"/>
        </w:rPr>
        <w:t>essai pour que l</w:t>
      </w:r>
      <w:r>
        <w:rPr>
          <w:lang w:val="fr-FR"/>
        </w:rPr>
        <w:t>’</w:t>
      </w:r>
      <w:r w:rsidRPr="004F6E59">
        <w:rPr>
          <w:lang w:val="fr-FR"/>
        </w:rPr>
        <w:t>évaluation des ratés d</w:t>
      </w:r>
      <w:r>
        <w:rPr>
          <w:lang w:val="fr-FR"/>
        </w:rPr>
        <w:t>’</w:t>
      </w:r>
      <w:r w:rsidRPr="004F6E59">
        <w:rPr>
          <w:lang w:val="fr-FR"/>
        </w:rPr>
        <w:t>allumage soit prise en compte. La mesure prend fin lorsque l</w:t>
      </w:r>
      <w:r>
        <w:rPr>
          <w:lang w:val="fr-FR"/>
        </w:rPr>
        <w:t>’</w:t>
      </w:r>
      <w:r w:rsidRPr="004F6E59">
        <w:rPr>
          <w:lang w:val="fr-FR"/>
        </w:rPr>
        <w:t>arrière du véhicule a franchi la ligne DD</w:t>
      </w:r>
      <w:r w:rsidR="00021012">
        <w:rPr>
          <w:lang w:val="fr-FR"/>
        </w:rPr>
        <w:sym w:font="Symbol" w:char="F0A2"/>
      </w:r>
      <w:r w:rsidRPr="004F6E59">
        <w:rPr>
          <w:lang w:val="fr-FR"/>
        </w:rPr>
        <w:t>. Cela doit permettre d</w:t>
      </w:r>
      <w:r>
        <w:rPr>
          <w:lang w:val="fr-FR"/>
        </w:rPr>
        <w:t>’</w:t>
      </w:r>
      <w:r w:rsidRPr="004F6E59">
        <w:rPr>
          <w:lang w:val="fr-FR"/>
        </w:rPr>
        <w:t>évaluer convenablement les ratés d</w:t>
      </w:r>
      <w:r>
        <w:rPr>
          <w:lang w:val="fr-FR"/>
        </w:rPr>
        <w:t>’</w:t>
      </w:r>
      <w:r w:rsidRPr="004F6E59">
        <w:rPr>
          <w:lang w:val="fr-FR"/>
        </w:rPr>
        <w:t>allumage avec les systèmes d</w:t>
      </w:r>
      <w:r>
        <w:rPr>
          <w:lang w:val="fr-FR"/>
        </w:rPr>
        <w:t>’</w:t>
      </w:r>
      <w:r w:rsidRPr="004F6E59">
        <w:rPr>
          <w:lang w:val="fr-FR"/>
        </w:rPr>
        <w:t>essai modernes.</w:t>
      </w:r>
    </w:p>
    <w:p w:rsidR="0075235A" w:rsidRPr="000B607C" w:rsidRDefault="0075235A" w:rsidP="000B607C">
      <w:pPr>
        <w:pStyle w:val="SingleTxtG"/>
        <w:rPr>
          <w:i/>
        </w:rPr>
      </w:pPr>
      <w:r w:rsidRPr="000B607C">
        <w:rPr>
          <w:i/>
          <w:lang w:val="fr-FR"/>
        </w:rPr>
        <w:t xml:space="preserve">Annexe 7, paragraphe 3.1 </w:t>
      </w:r>
    </w:p>
    <w:p w:rsidR="0075235A" w:rsidRPr="004F6E59" w:rsidRDefault="0075235A" w:rsidP="000B607C">
      <w:pPr>
        <w:pStyle w:val="SingleTxtG"/>
      </w:pPr>
      <w:r w:rsidRPr="004F6E59">
        <w:rPr>
          <w:lang w:val="fr-FR"/>
        </w:rPr>
        <w:t>4.</w:t>
      </w:r>
      <w:r w:rsidRPr="004F6E59">
        <w:rPr>
          <w:lang w:val="fr-FR"/>
        </w:rPr>
        <w:tab/>
        <w:t>Selon le libellé initial, il était possible d</w:t>
      </w:r>
      <w:r>
        <w:rPr>
          <w:lang w:val="fr-FR"/>
        </w:rPr>
        <w:t>’</w:t>
      </w:r>
      <w:r w:rsidRPr="004F6E59">
        <w:rPr>
          <w:lang w:val="fr-FR"/>
        </w:rPr>
        <w:t>utiliser comme point d</w:t>
      </w:r>
      <w:r>
        <w:rPr>
          <w:lang w:val="fr-FR"/>
        </w:rPr>
        <w:t>’</w:t>
      </w:r>
      <w:r w:rsidRPr="004F6E59">
        <w:rPr>
          <w:lang w:val="fr-FR"/>
        </w:rPr>
        <w:t>ancrage un rapport de boîte de vitesses qui pouvait ne pas avoir été pris en compte dans l</w:t>
      </w:r>
      <w:r>
        <w:rPr>
          <w:lang w:val="fr-FR"/>
        </w:rPr>
        <w:t>’</w:t>
      </w:r>
      <w:r w:rsidRPr="004F6E59">
        <w:rPr>
          <w:lang w:val="fr-FR"/>
        </w:rPr>
        <w:t>essai d</w:t>
      </w:r>
      <w:r>
        <w:rPr>
          <w:lang w:val="fr-FR"/>
        </w:rPr>
        <w:t>’</w:t>
      </w:r>
      <w:r w:rsidRPr="004F6E59">
        <w:rPr>
          <w:lang w:val="fr-FR"/>
        </w:rPr>
        <w:t>homologation de type présenté à l</w:t>
      </w:r>
      <w:r>
        <w:rPr>
          <w:lang w:val="fr-FR"/>
        </w:rPr>
        <w:t>’</w:t>
      </w:r>
      <w:r w:rsidRPr="004F6E59">
        <w:rPr>
          <w:lang w:val="fr-FR"/>
        </w:rPr>
        <w:t>annexe 3. Cela peut être le cas lorsque la capacité d</w:t>
      </w:r>
      <w:r>
        <w:rPr>
          <w:lang w:val="fr-FR"/>
        </w:rPr>
        <w:t>’</w:t>
      </w:r>
      <w:r w:rsidRPr="004F6E59">
        <w:rPr>
          <w:lang w:val="fr-FR"/>
        </w:rPr>
        <w:t>accélération dans le rapport i dépasse 2 m/s².</w:t>
      </w:r>
    </w:p>
    <w:p w:rsidR="0075235A" w:rsidRPr="004F6E59" w:rsidRDefault="0075235A" w:rsidP="000B607C">
      <w:pPr>
        <w:pStyle w:val="SingleTxtG"/>
      </w:pPr>
      <w:r w:rsidRPr="004F6E59">
        <w:rPr>
          <w:lang w:val="fr-FR"/>
        </w:rPr>
        <w:t>5.</w:t>
      </w:r>
      <w:r w:rsidRPr="004F6E59">
        <w:rPr>
          <w:lang w:val="fr-FR"/>
        </w:rPr>
        <w:tab/>
        <w:t>Il convient de s</w:t>
      </w:r>
      <w:r>
        <w:rPr>
          <w:lang w:val="fr-FR"/>
        </w:rPr>
        <w:t>’</w:t>
      </w:r>
      <w:r w:rsidRPr="004F6E59">
        <w:rPr>
          <w:lang w:val="fr-FR"/>
        </w:rPr>
        <w:t>assurer que le point d</w:t>
      </w:r>
      <w:r>
        <w:rPr>
          <w:lang w:val="fr-FR"/>
        </w:rPr>
        <w:t>’</w:t>
      </w:r>
      <w:r w:rsidRPr="004F6E59">
        <w:rPr>
          <w:lang w:val="fr-FR"/>
        </w:rPr>
        <w:t>ancrage est fondé sur un rapport utilisé pour l</w:t>
      </w:r>
      <w:r>
        <w:rPr>
          <w:lang w:val="fr-FR"/>
        </w:rPr>
        <w:t>’</w:t>
      </w:r>
      <w:r w:rsidRPr="004F6E59">
        <w:rPr>
          <w:lang w:val="fr-FR"/>
        </w:rPr>
        <w:t>évaluation du son telle que présentée à l</w:t>
      </w:r>
      <w:r>
        <w:rPr>
          <w:lang w:val="fr-FR"/>
        </w:rPr>
        <w:t>’</w:t>
      </w:r>
      <w:r w:rsidRPr="004F6E59">
        <w:rPr>
          <w:lang w:val="fr-FR"/>
        </w:rPr>
        <w:t>annexe 3 et se situant dans les limites applicables au résultat d</w:t>
      </w:r>
      <w:r>
        <w:rPr>
          <w:lang w:val="fr-FR"/>
        </w:rPr>
        <w:t>’</w:t>
      </w:r>
      <w:r w:rsidRPr="004F6E59">
        <w:rPr>
          <w:lang w:val="fr-FR"/>
        </w:rPr>
        <w:t>essai conformément à l</w:t>
      </w:r>
      <w:r>
        <w:rPr>
          <w:lang w:val="fr-FR"/>
        </w:rPr>
        <w:t>’</w:t>
      </w:r>
      <w:r w:rsidRPr="004F6E59">
        <w:rPr>
          <w:lang w:val="fr-FR"/>
        </w:rPr>
        <w:t>annexe 3.</w:t>
      </w:r>
    </w:p>
    <w:p w:rsidR="0075235A" w:rsidRPr="006550C6" w:rsidRDefault="0075235A" w:rsidP="000B607C">
      <w:pPr>
        <w:pStyle w:val="SingleTxtG"/>
      </w:pPr>
      <w:r w:rsidRPr="004F6E59">
        <w:rPr>
          <w:lang w:val="fr-FR"/>
        </w:rPr>
        <w:t>6.</w:t>
      </w:r>
      <w:r w:rsidRPr="004F6E59">
        <w:rPr>
          <w:lang w:val="fr-FR"/>
        </w:rPr>
        <w:tab/>
        <w:t>Le libellé initial est correct pour tous les essais où deux rapports sont</w:t>
      </w:r>
      <w:r>
        <w:rPr>
          <w:lang w:val="fr-FR"/>
        </w:rPr>
        <w:t xml:space="preserve"> utilisés, tels que spécifiés dans le paragraphe 3.1.2.1.4 et dans ses sous-paragraphes.</w:t>
      </w:r>
    </w:p>
    <w:p w:rsidR="00F9573C" w:rsidRDefault="0075235A" w:rsidP="000B607C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Dans le cas où un seul rapport est utilisé, la spécification supplémentaire suggérée est nécessaire.</w:t>
      </w:r>
    </w:p>
    <w:p w:rsidR="00021012" w:rsidRPr="00021012" w:rsidRDefault="00021012" w:rsidP="0002101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1012" w:rsidRPr="00021012" w:rsidSect="007523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96" w:rsidRDefault="00E91996" w:rsidP="00F95C08">
      <w:pPr>
        <w:spacing w:line="240" w:lineRule="auto"/>
      </w:pPr>
    </w:p>
  </w:endnote>
  <w:endnote w:type="continuationSeparator" w:id="0">
    <w:p w:rsidR="00E91996" w:rsidRPr="00AC3823" w:rsidRDefault="00E91996" w:rsidP="00AC3823">
      <w:pPr>
        <w:pStyle w:val="Footer"/>
      </w:pPr>
    </w:p>
  </w:endnote>
  <w:endnote w:type="continuationNotice" w:id="1">
    <w:p w:rsidR="00E91996" w:rsidRDefault="00E919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5A" w:rsidRPr="0075235A" w:rsidRDefault="0075235A" w:rsidP="0075235A">
    <w:pPr>
      <w:pStyle w:val="Footer"/>
      <w:tabs>
        <w:tab w:val="right" w:pos="9638"/>
      </w:tabs>
    </w:pPr>
    <w:r w:rsidRPr="0075235A">
      <w:rPr>
        <w:b/>
        <w:sz w:val="18"/>
      </w:rPr>
      <w:fldChar w:fldCharType="begin"/>
    </w:r>
    <w:r w:rsidRPr="0075235A">
      <w:rPr>
        <w:b/>
        <w:sz w:val="18"/>
      </w:rPr>
      <w:instrText xml:space="preserve"> PAGE  \* MERGEFORMAT </w:instrText>
    </w:r>
    <w:r w:rsidRPr="0075235A">
      <w:rPr>
        <w:b/>
        <w:sz w:val="18"/>
      </w:rPr>
      <w:fldChar w:fldCharType="separate"/>
    </w:r>
    <w:r w:rsidR="00364AD0">
      <w:rPr>
        <w:b/>
        <w:noProof/>
        <w:sz w:val="18"/>
      </w:rPr>
      <w:t>2</w:t>
    </w:r>
    <w:r w:rsidRPr="0075235A">
      <w:rPr>
        <w:b/>
        <w:sz w:val="18"/>
      </w:rPr>
      <w:fldChar w:fldCharType="end"/>
    </w:r>
    <w:r>
      <w:rPr>
        <w:b/>
        <w:sz w:val="18"/>
      </w:rPr>
      <w:tab/>
    </w:r>
    <w:r>
      <w:t>GE.17-09957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5A" w:rsidRPr="0075235A" w:rsidRDefault="0075235A" w:rsidP="0075235A">
    <w:pPr>
      <w:pStyle w:val="Footer"/>
      <w:tabs>
        <w:tab w:val="right" w:pos="9638"/>
      </w:tabs>
      <w:rPr>
        <w:b/>
        <w:sz w:val="18"/>
      </w:rPr>
    </w:pPr>
    <w:r>
      <w:t>GE.17-09957</w:t>
    </w:r>
    <w:r>
      <w:tab/>
    </w:r>
    <w:r w:rsidRPr="0075235A">
      <w:rPr>
        <w:b/>
        <w:sz w:val="18"/>
      </w:rPr>
      <w:fldChar w:fldCharType="begin"/>
    </w:r>
    <w:r w:rsidRPr="0075235A">
      <w:rPr>
        <w:b/>
        <w:sz w:val="18"/>
      </w:rPr>
      <w:instrText xml:space="preserve"> PAGE  \* MERGEFORMAT </w:instrText>
    </w:r>
    <w:r w:rsidRPr="0075235A">
      <w:rPr>
        <w:b/>
        <w:sz w:val="18"/>
      </w:rPr>
      <w:fldChar w:fldCharType="separate"/>
    </w:r>
    <w:r w:rsidR="00364AD0">
      <w:rPr>
        <w:b/>
        <w:noProof/>
        <w:sz w:val="18"/>
      </w:rPr>
      <w:t>3</w:t>
    </w:r>
    <w:r w:rsidRPr="007523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75235A" w:rsidRDefault="0075235A" w:rsidP="0075235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17-09957  (F)</w:t>
    </w:r>
    <w:r w:rsidR="005A16F9">
      <w:rPr>
        <w:sz w:val="20"/>
      </w:rPr>
      <w:t xml:space="preserve">    120717    130717</w:t>
    </w:r>
    <w:r>
      <w:rPr>
        <w:sz w:val="20"/>
      </w:rPr>
      <w:br/>
    </w:r>
    <w:r w:rsidRPr="0075235A">
      <w:rPr>
        <w:rFonts w:ascii="C39T30Lfz" w:hAnsi="C39T30Lfz"/>
        <w:sz w:val="56"/>
      </w:rPr>
      <w:t></w:t>
    </w:r>
    <w:r w:rsidRPr="0075235A">
      <w:rPr>
        <w:rFonts w:ascii="C39T30Lfz" w:hAnsi="C39T30Lfz"/>
        <w:sz w:val="56"/>
      </w:rPr>
      <w:t></w:t>
    </w:r>
    <w:r w:rsidRPr="0075235A">
      <w:rPr>
        <w:rFonts w:ascii="C39T30Lfz" w:hAnsi="C39T30Lfz"/>
        <w:sz w:val="56"/>
      </w:rPr>
      <w:t></w:t>
    </w:r>
    <w:r w:rsidRPr="0075235A">
      <w:rPr>
        <w:rFonts w:ascii="C39T30Lfz" w:hAnsi="C39T30Lfz"/>
        <w:sz w:val="56"/>
      </w:rPr>
      <w:t></w:t>
    </w:r>
    <w:r w:rsidRPr="0075235A">
      <w:rPr>
        <w:rFonts w:ascii="C39T30Lfz" w:hAnsi="C39T30Lfz"/>
        <w:sz w:val="56"/>
      </w:rPr>
      <w:t></w:t>
    </w:r>
    <w:r w:rsidRPr="0075235A">
      <w:rPr>
        <w:rFonts w:ascii="C39T30Lfz" w:hAnsi="C39T30Lfz"/>
        <w:sz w:val="56"/>
      </w:rPr>
      <w:t></w:t>
    </w:r>
    <w:r w:rsidRPr="0075235A">
      <w:rPr>
        <w:rFonts w:ascii="C39T30Lfz" w:hAnsi="C39T30Lfz"/>
        <w:sz w:val="56"/>
      </w:rPr>
      <w:t></w:t>
    </w:r>
    <w:r w:rsidRPr="0075235A">
      <w:rPr>
        <w:rFonts w:ascii="C39T30Lfz" w:hAnsi="C39T30Lfz"/>
        <w:sz w:val="56"/>
      </w:rPr>
      <w:t></w:t>
    </w:r>
    <w:r w:rsidRPr="0075235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7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96" w:rsidRPr="00AC3823" w:rsidRDefault="00E919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1996" w:rsidRPr="00AC3823" w:rsidRDefault="00E919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91996" w:rsidRPr="00AC3823" w:rsidRDefault="00E91996">
      <w:pPr>
        <w:spacing w:line="240" w:lineRule="auto"/>
        <w:rPr>
          <w:sz w:val="2"/>
          <w:szCs w:val="2"/>
        </w:rPr>
      </w:pPr>
    </w:p>
  </w:footnote>
  <w:footnote w:id="2">
    <w:p w:rsidR="0075235A" w:rsidRDefault="0075235A" w:rsidP="0075235A">
      <w:pPr>
        <w:pStyle w:val="FootnoteText"/>
      </w:pPr>
      <w:r>
        <w:rPr>
          <w:lang w:val="fr-FR"/>
        </w:rPr>
        <w:tab/>
      </w:r>
      <w:r w:rsidRPr="005A16F9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la période 2016</w:t>
      </w:r>
      <w:r w:rsidR="005A16F9">
        <w:rPr>
          <w:lang w:val="fr-FR"/>
        </w:rPr>
        <w:noBreakHyphen/>
      </w:r>
      <w:r>
        <w:rPr>
          <w:lang w:val="fr-FR"/>
        </w:rPr>
        <w:t xml:space="preserve">2017 (ECE/TRANS/254, par. 159, et ECE/TRANS/2016/28/Add.1, module 3.2), le Forum mondial a pour mission d’élaborer, d’harmoniser et de mettre à jour les Règlements en vue d’améliorer les caractéristiques fonctionnelles des véhicules. Le présent document est soumis </w:t>
      </w:r>
      <w:r w:rsidR="005A16F9">
        <w:rPr>
          <w:lang w:val="fr-FR"/>
        </w:rPr>
        <w:br/>
      </w:r>
      <w:r>
        <w:rPr>
          <w:lang w:val="fr-FR"/>
        </w:rPr>
        <w:t>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5A" w:rsidRPr="0075235A" w:rsidRDefault="00364AD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E6D24">
      <w:t>ECE/TRANS/WP.29/GRB/2017/5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5A" w:rsidRPr="0075235A" w:rsidRDefault="00364AD0" w:rsidP="0075235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E6D24">
      <w:t>ECE/TRANS/WP.29/GRB/2017/5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96"/>
    <w:rsid w:val="00017F94"/>
    <w:rsid w:val="00021012"/>
    <w:rsid w:val="00023842"/>
    <w:rsid w:val="000334F9"/>
    <w:rsid w:val="00045FEB"/>
    <w:rsid w:val="0007796D"/>
    <w:rsid w:val="000B607C"/>
    <w:rsid w:val="000B7790"/>
    <w:rsid w:val="00111F2F"/>
    <w:rsid w:val="001326CB"/>
    <w:rsid w:val="0014365E"/>
    <w:rsid w:val="00143C66"/>
    <w:rsid w:val="00176178"/>
    <w:rsid w:val="001F525A"/>
    <w:rsid w:val="00215936"/>
    <w:rsid w:val="00223272"/>
    <w:rsid w:val="0024779E"/>
    <w:rsid w:val="00257168"/>
    <w:rsid w:val="002744B8"/>
    <w:rsid w:val="002832AC"/>
    <w:rsid w:val="002D7C93"/>
    <w:rsid w:val="00305801"/>
    <w:rsid w:val="00364AD0"/>
    <w:rsid w:val="003916DE"/>
    <w:rsid w:val="00441C3B"/>
    <w:rsid w:val="00446FE5"/>
    <w:rsid w:val="00452396"/>
    <w:rsid w:val="00467972"/>
    <w:rsid w:val="004837D8"/>
    <w:rsid w:val="004E468C"/>
    <w:rsid w:val="005505B7"/>
    <w:rsid w:val="00573BE5"/>
    <w:rsid w:val="00586ED3"/>
    <w:rsid w:val="00596AA9"/>
    <w:rsid w:val="005A16F9"/>
    <w:rsid w:val="005D5AA7"/>
    <w:rsid w:val="0071601D"/>
    <w:rsid w:val="0075235A"/>
    <w:rsid w:val="007A62E6"/>
    <w:rsid w:val="007F20FA"/>
    <w:rsid w:val="0080684C"/>
    <w:rsid w:val="008431C7"/>
    <w:rsid w:val="00871C75"/>
    <w:rsid w:val="008776DC"/>
    <w:rsid w:val="009446C0"/>
    <w:rsid w:val="009705C8"/>
    <w:rsid w:val="009C1CF4"/>
    <w:rsid w:val="009F6B74"/>
    <w:rsid w:val="00A30353"/>
    <w:rsid w:val="00A71879"/>
    <w:rsid w:val="00AC3823"/>
    <w:rsid w:val="00AE323C"/>
    <w:rsid w:val="00AF0CB5"/>
    <w:rsid w:val="00B00181"/>
    <w:rsid w:val="00B00B0D"/>
    <w:rsid w:val="00B04F56"/>
    <w:rsid w:val="00B658AF"/>
    <w:rsid w:val="00B765F7"/>
    <w:rsid w:val="00B845DC"/>
    <w:rsid w:val="00BA0CA9"/>
    <w:rsid w:val="00C02897"/>
    <w:rsid w:val="00C97039"/>
    <w:rsid w:val="00CB60F0"/>
    <w:rsid w:val="00D3439C"/>
    <w:rsid w:val="00DB1831"/>
    <w:rsid w:val="00DD3BFD"/>
    <w:rsid w:val="00DE6D24"/>
    <w:rsid w:val="00DF6678"/>
    <w:rsid w:val="00E85C74"/>
    <w:rsid w:val="00E91996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75235A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75235A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5235A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75235A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75235A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5235A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ECE/TRANS/WP.29/GRB/2017/5</vt:lpstr>
      <vt:lpstr>ECE/TRANS/WP.29/GRB/2017/5</vt:lpstr>
    </vt:vector>
  </TitlesOfParts>
  <Company>DCM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ECE/TRANS/WP.29/GRB/2017/5</dc:title>
  <dc:creator>Nath VITTOZ</dc:creator>
  <cp:lastModifiedBy>Benedicte Boudol</cp:lastModifiedBy>
  <cp:revision>2</cp:revision>
  <cp:lastPrinted>2017-07-13T10:53:00Z</cp:lastPrinted>
  <dcterms:created xsi:type="dcterms:W3CDTF">2017-07-13T12:59:00Z</dcterms:created>
  <dcterms:modified xsi:type="dcterms:W3CDTF">2017-07-13T12:59:00Z</dcterms:modified>
</cp:coreProperties>
</file>