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546D49" w:rsidTr="007F20FA">
        <w:trPr>
          <w:trHeight w:hRule="exact" w:val="851"/>
        </w:trPr>
        <w:tc>
          <w:tcPr>
            <w:tcW w:w="1276" w:type="dxa"/>
            <w:tcBorders>
              <w:bottom w:val="single" w:sz="4" w:space="0" w:color="auto"/>
            </w:tcBorders>
          </w:tcPr>
          <w:p w:rsidR="00F35BAF" w:rsidRPr="00546D49" w:rsidRDefault="00F35BAF" w:rsidP="008F46E2">
            <w:bookmarkStart w:id="0" w:name="_GoBack"/>
            <w:bookmarkEnd w:id="0"/>
          </w:p>
        </w:tc>
        <w:tc>
          <w:tcPr>
            <w:tcW w:w="2268" w:type="dxa"/>
            <w:tcBorders>
              <w:bottom w:val="single" w:sz="4" w:space="0" w:color="auto"/>
            </w:tcBorders>
            <w:vAlign w:val="bottom"/>
          </w:tcPr>
          <w:p w:rsidR="00F35BAF" w:rsidRPr="00546D49" w:rsidRDefault="00F35BAF" w:rsidP="00892A2F">
            <w:pPr>
              <w:spacing w:after="80" w:line="300" w:lineRule="exact"/>
              <w:rPr>
                <w:sz w:val="28"/>
              </w:rPr>
            </w:pPr>
            <w:r w:rsidRPr="00546D49">
              <w:rPr>
                <w:sz w:val="28"/>
              </w:rPr>
              <w:t>Nations Unies</w:t>
            </w:r>
          </w:p>
        </w:tc>
        <w:tc>
          <w:tcPr>
            <w:tcW w:w="6095" w:type="dxa"/>
            <w:gridSpan w:val="2"/>
            <w:tcBorders>
              <w:bottom w:val="single" w:sz="4" w:space="0" w:color="auto"/>
            </w:tcBorders>
            <w:vAlign w:val="bottom"/>
          </w:tcPr>
          <w:p w:rsidR="00F35BAF" w:rsidRPr="00546D49" w:rsidRDefault="008F46E2" w:rsidP="008F46E2">
            <w:pPr>
              <w:jc w:val="right"/>
            </w:pPr>
            <w:r w:rsidRPr="00546D49">
              <w:rPr>
                <w:sz w:val="40"/>
              </w:rPr>
              <w:t>ECE</w:t>
            </w:r>
            <w:r w:rsidRPr="00546D49">
              <w:t>/TRANS/WP.29/GRE/2017/2</w:t>
            </w:r>
          </w:p>
        </w:tc>
      </w:tr>
      <w:tr w:rsidR="00F35BAF" w:rsidRPr="00546D49" w:rsidTr="00892A2F">
        <w:trPr>
          <w:trHeight w:hRule="exact" w:val="2835"/>
        </w:trPr>
        <w:tc>
          <w:tcPr>
            <w:tcW w:w="1276" w:type="dxa"/>
            <w:tcBorders>
              <w:top w:val="single" w:sz="4" w:space="0" w:color="auto"/>
              <w:bottom w:val="single" w:sz="12" w:space="0" w:color="auto"/>
            </w:tcBorders>
          </w:tcPr>
          <w:p w:rsidR="00F35BAF" w:rsidRPr="00546D49" w:rsidRDefault="00F35BAF" w:rsidP="00892A2F">
            <w:pPr>
              <w:spacing w:before="120"/>
              <w:jc w:val="center"/>
            </w:pPr>
            <w:r w:rsidRPr="00546D49">
              <w:rPr>
                <w:noProof/>
                <w:lang w:eastAsia="fr-CH"/>
              </w:rPr>
              <w:drawing>
                <wp:inline distT="0" distB="0" distL="0" distR="0" wp14:anchorId="563B0DA3" wp14:editId="3286FEB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546D49" w:rsidRDefault="00F35BAF" w:rsidP="00892A2F">
            <w:pPr>
              <w:spacing w:before="120" w:line="420" w:lineRule="exact"/>
              <w:rPr>
                <w:b/>
                <w:sz w:val="40"/>
                <w:szCs w:val="40"/>
              </w:rPr>
            </w:pPr>
            <w:r w:rsidRPr="00546D49">
              <w:rPr>
                <w:b/>
                <w:sz w:val="40"/>
                <w:szCs w:val="40"/>
              </w:rPr>
              <w:t>Conseil économique et social</w:t>
            </w:r>
          </w:p>
        </w:tc>
        <w:tc>
          <w:tcPr>
            <w:tcW w:w="2835" w:type="dxa"/>
            <w:tcBorders>
              <w:top w:val="single" w:sz="4" w:space="0" w:color="auto"/>
              <w:bottom w:val="single" w:sz="12" w:space="0" w:color="auto"/>
            </w:tcBorders>
          </w:tcPr>
          <w:p w:rsidR="00F35BAF" w:rsidRPr="00546D49" w:rsidRDefault="008F46E2" w:rsidP="00892A2F">
            <w:pPr>
              <w:spacing w:before="240"/>
            </w:pPr>
            <w:r w:rsidRPr="00546D49">
              <w:t>Distr. générale</w:t>
            </w:r>
          </w:p>
          <w:p w:rsidR="008F46E2" w:rsidRPr="00546D49" w:rsidRDefault="008F46E2" w:rsidP="008F46E2">
            <w:pPr>
              <w:spacing w:line="240" w:lineRule="exact"/>
            </w:pPr>
            <w:r w:rsidRPr="00546D49">
              <w:t>17 janvier 2017</w:t>
            </w:r>
          </w:p>
          <w:p w:rsidR="008F46E2" w:rsidRPr="00546D49" w:rsidRDefault="008F46E2" w:rsidP="008F46E2">
            <w:pPr>
              <w:spacing w:line="240" w:lineRule="exact"/>
            </w:pPr>
            <w:r w:rsidRPr="00546D49">
              <w:t>Français</w:t>
            </w:r>
          </w:p>
          <w:p w:rsidR="008F46E2" w:rsidRPr="00546D49" w:rsidRDefault="008F46E2" w:rsidP="008F46E2">
            <w:pPr>
              <w:spacing w:line="240" w:lineRule="exact"/>
            </w:pPr>
            <w:r w:rsidRPr="00546D49">
              <w:t>Original : anglais</w:t>
            </w:r>
          </w:p>
        </w:tc>
      </w:tr>
    </w:tbl>
    <w:p w:rsidR="007F20FA" w:rsidRPr="00546D49" w:rsidRDefault="007F20FA" w:rsidP="007F20FA">
      <w:pPr>
        <w:spacing w:before="120"/>
        <w:rPr>
          <w:b/>
          <w:sz w:val="28"/>
          <w:szCs w:val="28"/>
        </w:rPr>
      </w:pPr>
      <w:r w:rsidRPr="00546D49">
        <w:rPr>
          <w:b/>
          <w:sz w:val="28"/>
          <w:szCs w:val="28"/>
        </w:rPr>
        <w:t>Commission économique pour l’Europe</w:t>
      </w:r>
    </w:p>
    <w:p w:rsidR="007F20FA" w:rsidRPr="00546D49" w:rsidRDefault="007F20FA" w:rsidP="007F20FA">
      <w:pPr>
        <w:spacing w:before="120"/>
        <w:rPr>
          <w:sz w:val="28"/>
          <w:szCs w:val="28"/>
        </w:rPr>
      </w:pPr>
      <w:r w:rsidRPr="00546D49">
        <w:rPr>
          <w:sz w:val="28"/>
          <w:szCs w:val="28"/>
        </w:rPr>
        <w:t>Comité des transports intérieurs</w:t>
      </w:r>
    </w:p>
    <w:p w:rsidR="00546D49" w:rsidRPr="00546D49" w:rsidRDefault="00546D49" w:rsidP="00AF0CB5">
      <w:pPr>
        <w:spacing w:before="120"/>
        <w:rPr>
          <w:b/>
          <w:sz w:val="24"/>
          <w:szCs w:val="24"/>
        </w:rPr>
      </w:pPr>
      <w:r w:rsidRPr="00546D49">
        <w:rPr>
          <w:b/>
          <w:sz w:val="24"/>
          <w:szCs w:val="24"/>
        </w:rPr>
        <w:t>Forum mondial de l’harmonisation</w:t>
      </w:r>
      <w:r w:rsidRPr="00546D49">
        <w:rPr>
          <w:b/>
          <w:sz w:val="24"/>
          <w:szCs w:val="24"/>
        </w:rPr>
        <w:br/>
        <w:t>des Règlements concernant les véhicules</w:t>
      </w:r>
    </w:p>
    <w:p w:rsidR="00546D49" w:rsidRPr="00546D49" w:rsidRDefault="00546D49" w:rsidP="00257168">
      <w:pPr>
        <w:spacing w:before="120" w:after="120" w:line="240" w:lineRule="exact"/>
        <w:rPr>
          <w:b/>
        </w:rPr>
      </w:pPr>
      <w:r w:rsidRPr="00546D49">
        <w:rPr>
          <w:b/>
        </w:rPr>
        <w:t>Groupe de travail de l’éclairage et de la signalisation lumineuse</w:t>
      </w:r>
    </w:p>
    <w:p w:rsidR="00546D49" w:rsidRPr="00546D49" w:rsidRDefault="00546D49" w:rsidP="00546D49">
      <w:pPr>
        <w:spacing w:line="240" w:lineRule="exact"/>
        <w:rPr>
          <w:b/>
        </w:rPr>
      </w:pPr>
      <w:r w:rsidRPr="00546D49">
        <w:rPr>
          <w:b/>
        </w:rPr>
        <w:t>Soixante-dix-septième session</w:t>
      </w:r>
    </w:p>
    <w:p w:rsidR="00546D49" w:rsidRPr="00546D49" w:rsidRDefault="00546D49" w:rsidP="00546D49">
      <w:pPr>
        <w:spacing w:line="240" w:lineRule="exact"/>
        <w:rPr>
          <w:bCs/>
        </w:rPr>
      </w:pPr>
      <w:r w:rsidRPr="00546D49">
        <w:t>Genève</w:t>
      </w:r>
      <w:r w:rsidRPr="00546D49">
        <w:rPr>
          <w:bCs/>
        </w:rPr>
        <w:t>, 4-7 avril 2017</w:t>
      </w:r>
    </w:p>
    <w:p w:rsidR="00546D49" w:rsidRPr="00546D49" w:rsidRDefault="00546D49" w:rsidP="00546D49">
      <w:pPr>
        <w:spacing w:line="240" w:lineRule="exact"/>
        <w:rPr>
          <w:bCs/>
        </w:rPr>
      </w:pPr>
      <w:r w:rsidRPr="00546D49">
        <w:rPr>
          <w:bCs/>
        </w:rPr>
        <w:t xml:space="preserve">Point 5 de l’ordre du jour provisoire </w:t>
      </w:r>
    </w:p>
    <w:p w:rsidR="00546D49" w:rsidRPr="00546D49" w:rsidRDefault="00546D49" w:rsidP="00546D49">
      <w:pPr>
        <w:spacing w:line="240" w:lineRule="exact"/>
      </w:pPr>
      <w:r w:rsidRPr="00546D49">
        <w:rPr>
          <w:b/>
          <w:bCs/>
        </w:rPr>
        <w:t xml:space="preserve">Règlements </w:t>
      </w:r>
      <w:r w:rsidRPr="00546D49">
        <w:rPr>
          <w:rFonts w:eastAsia="MS Mincho"/>
          <w:b/>
          <w:bCs/>
          <w:szCs w:val="22"/>
        </w:rPr>
        <w:t>n</w:t>
      </w:r>
      <w:r w:rsidRPr="00546D49">
        <w:rPr>
          <w:rFonts w:eastAsia="MS Mincho"/>
          <w:b/>
          <w:bCs/>
          <w:szCs w:val="22"/>
          <w:vertAlign w:val="superscript"/>
        </w:rPr>
        <w:t>o</w:t>
      </w:r>
      <w:r w:rsidRPr="00546D49">
        <w:rPr>
          <w:b/>
          <w:bCs/>
        </w:rPr>
        <w:t> 37 (</w:t>
      </w:r>
      <w:r w:rsidRPr="00546D49">
        <w:rPr>
          <w:b/>
        </w:rPr>
        <w:t>Lampes à incandescence</w:t>
      </w:r>
      <w:r w:rsidRPr="00546D49">
        <w:rPr>
          <w:b/>
          <w:bCs/>
        </w:rPr>
        <w:t>), 99 (</w:t>
      </w:r>
      <w:r w:rsidRPr="00546D49">
        <w:rPr>
          <w:b/>
        </w:rPr>
        <w:t xml:space="preserve">Sources lumineuses </w:t>
      </w:r>
      <w:r w:rsidRPr="00546D49">
        <w:rPr>
          <w:b/>
        </w:rPr>
        <w:br/>
        <w:t>à décharge</w:t>
      </w:r>
      <w:r w:rsidRPr="00546D49">
        <w:rPr>
          <w:b/>
          <w:bCs/>
        </w:rPr>
        <w:t>), 128 (</w:t>
      </w:r>
      <w:r w:rsidRPr="00546D49">
        <w:rPr>
          <w:b/>
        </w:rPr>
        <w:t>Sources lumineuses à diodes électroluminescentes</w:t>
      </w:r>
      <w:r w:rsidRPr="00546D49">
        <w:rPr>
          <w:b/>
          <w:bCs/>
        </w:rPr>
        <w:t xml:space="preserve">) </w:t>
      </w:r>
      <w:r w:rsidRPr="00546D49">
        <w:rPr>
          <w:b/>
          <w:bCs/>
        </w:rPr>
        <w:br/>
        <w:t xml:space="preserve">et Résolution d’ensemble sur une spécification commune </w:t>
      </w:r>
      <w:r w:rsidRPr="00546D49">
        <w:rPr>
          <w:b/>
          <w:bCs/>
        </w:rPr>
        <w:br/>
        <w:t xml:space="preserve">des catégories de sources lumineuses </w:t>
      </w:r>
    </w:p>
    <w:p w:rsidR="00546D49" w:rsidRPr="00546D49" w:rsidRDefault="00546D49" w:rsidP="00546D49">
      <w:pPr>
        <w:pStyle w:val="HChG"/>
      </w:pPr>
      <w:r w:rsidRPr="00546D49">
        <w:tab/>
      </w:r>
      <w:r w:rsidRPr="00546D49">
        <w:tab/>
        <w:t>Proposition de complé</w:t>
      </w:r>
      <w:r w:rsidR="00D97173">
        <w:t>ment </w:t>
      </w:r>
      <w:r w:rsidRPr="00546D49">
        <w:t xml:space="preserve">7 à la version originale </w:t>
      </w:r>
      <w:r w:rsidR="00D97173">
        <w:br/>
      </w:r>
      <w:r w:rsidRPr="00546D49">
        <w:t xml:space="preserve">du Règlement </w:t>
      </w:r>
      <w:r w:rsidR="00D97173" w:rsidRPr="002D76F4">
        <w:rPr>
          <w:rFonts w:eastAsia="MS Mincho"/>
          <w:szCs w:val="22"/>
        </w:rPr>
        <w:t>n</w:t>
      </w:r>
      <w:r w:rsidR="00D97173" w:rsidRPr="002D76F4">
        <w:rPr>
          <w:rFonts w:eastAsia="MS Mincho"/>
          <w:szCs w:val="22"/>
          <w:vertAlign w:val="superscript"/>
        </w:rPr>
        <w:t>o</w:t>
      </w:r>
      <w:r w:rsidR="00D97173">
        <w:t> </w:t>
      </w:r>
      <w:r w:rsidRPr="00546D49">
        <w:t xml:space="preserve">128 (Sources lumineuses </w:t>
      </w:r>
      <w:r w:rsidR="00AA15E8">
        <w:br/>
      </w:r>
      <w:r w:rsidRPr="00546D49">
        <w:t>à diodes électroluminescentes)</w:t>
      </w:r>
    </w:p>
    <w:p w:rsidR="00546D49" w:rsidRPr="00546D49" w:rsidRDefault="00546D49" w:rsidP="00546D49">
      <w:pPr>
        <w:pStyle w:val="H1G"/>
      </w:pPr>
      <w:r w:rsidRPr="00546D49">
        <w:tab/>
      </w:r>
      <w:r w:rsidRPr="00546D49">
        <w:tab/>
        <w:t xml:space="preserve">Communication de l’expert du Groupe de travail </w:t>
      </w:r>
      <w:r w:rsidRPr="00546D49">
        <w:br/>
        <w:t>« Bruxelles 1952 » (GTB)</w:t>
      </w:r>
      <w:r w:rsidRPr="00546D49">
        <w:rPr>
          <w:b w:val="0"/>
          <w:sz w:val="18"/>
          <w:szCs w:val="18"/>
        </w:rPr>
        <w:footnoteReference w:customMarkFollows="1" w:id="2"/>
        <w:t>*</w:t>
      </w:r>
      <w:r w:rsidRPr="00546D49">
        <w:t xml:space="preserve"> </w:t>
      </w:r>
    </w:p>
    <w:p w:rsidR="00546D49" w:rsidRPr="00546D49" w:rsidRDefault="00546D49" w:rsidP="00546D49">
      <w:pPr>
        <w:pStyle w:val="SingleTxtG"/>
        <w:ind w:firstLine="567"/>
      </w:pPr>
      <w:r w:rsidRPr="00546D49">
        <w:t>Le texte reproduit ci-après, établi par l’expert du GTB, vise à introduire des prescriptions et des</w:t>
      </w:r>
      <w:r w:rsidR="00862E30">
        <w:t xml:space="preserve"> </w:t>
      </w:r>
      <w:r w:rsidRPr="00546D49">
        <w:t>critères d’essai pour les sources lumineuses à diodes électroluminescentes (DEL) de substitution. Les modifications qu’il est proposé d’apporter au texte actuel du Règlement apparaissent en caractères gras pour les ajouts et en caractères biffés pour les suppressions.</w:t>
      </w:r>
    </w:p>
    <w:p w:rsidR="00546D49" w:rsidRPr="00546D49" w:rsidRDefault="00546D49" w:rsidP="00546D49">
      <w:pPr>
        <w:pStyle w:val="HChG"/>
      </w:pPr>
      <w:r w:rsidRPr="00546D49">
        <w:br w:type="page"/>
      </w:r>
      <w:r w:rsidRPr="00546D49">
        <w:lastRenderedPageBreak/>
        <w:tab/>
        <w:t>I.</w:t>
      </w:r>
      <w:r w:rsidRPr="00546D49">
        <w:tab/>
        <w:t>Proposition</w:t>
      </w:r>
    </w:p>
    <w:p w:rsidR="00546D49" w:rsidRPr="00546D49" w:rsidRDefault="00546D49" w:rsidP="00546D49">
      <w:pPr>
        <w:pStyle w:val="SingleTxtG"/>
        <w:keepNext/>
        <w:keepLines/>
      </w:pPr>
      <w:r w:rsidRPr="00546D49">
        <w:rPr>
          <w:bCs/>
          <w:i/>
        </w:rPr>
        <w:t>Insérer un nouveau paragraphe 2.1.2.4, ainsi conçu </w:t>
      </w:r>
      <w:r w:rsidRPr="00546D49">
        <w:t>:</w:t>
      </w:r>
    </w:p>
    <w:p w:rsidR="00546D49" w:rsidRPr="00546D49" w:rsidRDefault="00546D49" w:rsidP="00546D49">
      <w:pPr>
        <w:pStyle w:val="SingleTxtG"/>
        <w:ind w:left="2268" w:hanging="1134"/>
        <w:rPr>
          <w:b/>
          <w:bCs/>
        </w:rPr>
      </w:pPr>
      <w:r w:rsidRPr="00546D49">
        <w:t>«</w:t>
      </w:r>
      <w:r w:rsidR="00AA15E8">
        <w:t> </w:t>
      </w:r>
      <w:r w:rsidRPr="00546D49">
        <w:rPr>
          <w:b/>
          <w:bCs/>
        </w:rPr>
        <w:t>2.1.2.4</w:t>
      </w:r>
      <w:r w:rsidRPr="00546D49">
        <w:rPr>
          <w:b/>
          <w:bCs/>
        </w:rPr>
        <w:tab/>
        <w:t xml:space="preserve">La température de couleur proximale*, </w:t>
      </w:r>
      <w:r w:rsidRPr="00546D49">
        <w:rPr>
          <w:b/>
        </w:rPr>
        <w:t>en ce qui concerne les sources lumineuses à DEL de substitution</w:t>
      </w:r>
      <w:r w:rsidR="001807A8">
        <w:rPr>
          <w:b/>
        </w:rPr>
        <w:t> </w:t>
      </w:r>
      <w:r w:rsidRPr="00546D49">
        <w:rPr>
          <w:b/>
          <w:bCs/>
        </w:rPr>
        <w:t>;</w:t>
      </w:r>
    </w:p>
    <w:p w:rsidR="00546D49" w:rsidRPr="00546D49" w:rsidRDefault="00546D49" w:rsidP="00546D49">
      <w:pPr>
        <w:pStyle w:val="SingleTxtG"/>
        <w:ind w:left="2268"/>
        <w:rPr>
          <w:b/>
          <w:bCs/>
        </w:rPr>
      </w:pPr>
      <w:r w:rsidRPr="00546D49">
        <w:rPr>
          <w:b/>
          <w:bCs/>
        </w:rPr>
        <w:t xml:space="preserve">Les sources lumineuses à DEL de substitution de couleur blanche avec une température de couleur proximale </w:t>
      </w:r>
      <w:r w:rsidR="00B5207E">
        <w:rPr>
          <w:b/>
          <w:bCs/>
        </w:rPr>
        <w:t>supérieure à 3 000 K ou ne dépassant pas 3 </w:t>
      </w:r>
      <w:r w:rsidRPr="00546D49">
        <w:rPr>
          <w:b/>
          <w:bCs/>
        </w:rPr>
        <w:t>000</w:t>
      </w:r>
      <w:r w:rsidR="00B5207E">
        <w:rPr>
          <w:b/>
          <w:bCs/>
        </w:rPr>
        <w:t> </w:t>
      </w:r>
      <w:r w:rsidRPr="00546D49">
        <w:rPr>
          <w:b/>
          <w:bCs/>
        </w:rPr>
        <w:t>K sont considérées comme étant de types différents.</w:t>
      </w:r>
    </w:p>
    <w:p w:rsidR="00546D49" w:rsidRPr="00546D49" w:rsidRDefault="00546D49" w:rsidP="00546D49">
      <w:pPr>
        <w:pStyle w:val="SingleTxtG"/>
        <w:ind w:left="2268"/>
        <w:rPr>
          <w:bCs/>
          <w:sz w:val="18"/>
          <w:szCs w:val="18"/>
        </w:rPr>
      </w:pPr>
      <w:r w:rsidRPr="00546D49">
        <w:rPr>
          <w:sz w:val="18"/>
          <w:szCs w:val="18"/>
        </w:rPr>
        <w:t>*</w:t>
      </w:r>
      <w:r w:rsidR="00862E30">
        <w:rPr>
          <w:b/>
          <w:sz w:val="18"/>
          <w:szCs w:val="18"/>
        </w:rPr>
        <w:t xml:space="preserve"> </w:t>
      </w:r>
      <w:r w:rsidRPr="00546D49">
        <w:rPr>
          <w:b/>
          <w:sz w:val="18"/>
          <w:szCs w:val="18"/>
        </w:rPr>
        <w:t>CIE</w:t>
      </w:r>
      <w:r w:rsidR="001807A8">
        <w:rPr>
          <w:b/>
          <w:sz w:val="18"/>
          <w:szCs w:val="18"/>
        </w:rPr>
        <w:t> </w:t>
      </w:r>
      <w:r w:rsidRPr="00546D49">
        <w:rPr>
          <w:b/>
          <w:sz w:val="18"/>
          <w:szCs w:val="18"/>
        </w:rPr>
        <w:t>S</w:t>
      </w:r>
      <w:r w:rsidR="001807A8">
        <w:rPr>
          <w:b/>
          <w:sz w:val="18"/>
          <w:szCs w:val="18"/>
        </w:rPr>
        <w:t> </w:t>
      </w:r>
      <w:r w:rsidRPr="00546D49">
        <w:rPr>
          <w:b/>
          <w:sz w:val="18"/>
          <w:szCs w:val="18"/>
        </w:rPr>
        <w:t>017/E:2011:</w:t>
      </w:r>
      <w:r w:rsidR="001807A8">
        <w:rPr>
          <w:b/>
          <w:sz w:val="18"/>
          <w:szCs w:val="18"/>
        </w:rPr>
        <w:t> </w:t>
      </w:r>
      <w:r w:rsidRPr="00546D49">
        <w:rPr>
          <w:b/>
          <w:sz w:val="18"/>
          <w:szCs w:val="18"/>
        </w:rPr>
        <w:t>ILV</w:t>
      </w:r>
      <w:r w:rsidR="001807A8">
        <w:rPr>
          <w:b/>
          <w:sz w:val="18"/>
          <w:szCs w:val="18"/>
        </w:rPr>
        <w:t> </w:t>
      </w:r>
      <w:r w:rsidRPr="00546D49">
        <w:rPr>
          <w:b/>
          <w:sz w:val="18"/>
          <w:szCs w:val="18"/>
        </w:rPr>
        <w:t xml:space="preserve">: International </w:t>
      </w:r>
      <w:proofErr w:type="spellStart"/>
      <w:r w:rsidRPr="00546D49">
        <w:rPr>
          <w:b/>
          <w:sz w:val="18"/>
          <w:szCs w:val="18"/>
        </w:rPr>
        <w:t>Lighting</w:t>
      </w:r>
      <w:proofErr w:type="spellEnd"/>
      <w:r w:rsidRPr="00546D49">
        <w:rPr>
          <w:b/>
          <w:sz w:val="18"/>
          <w:szCs w:val="18"/>
        </w:rPr>
        <w:t xml:space="preserve"> </w:t>
      </w:r>
      <w:proofErr w:type="spellStart"/>
      <w:r w:rsidRPr="00546D49">
        <w:rPr>
          <w:b/>
          <w:sz w:val="18"/>
          <w:szCs w:val="18"/>
        </w:rPr>
        <w:t>Vocabulary</w:t>
      </w:r>
      <w:proofErr w:type="spellEnd"/>
      <w:r w:rsidRPr="00546D49">
        <w:rPr>
          <w:b/>
          <w:sz w:val="18"/>
          <w:szCs w:val="18"/>
        </w:rPr>
        <w:t xml:space="preserve">, ou </w:t>
      </w:r>
      <w:hyperlink r:id="rId10" w:history="1">
        <w:r w:rsidRPr="00AA15E8">
          <w:rPr>
            <w:rStyle w:val="Lienhypertexte"/>
            <w:b/>
            <w:color w:val="auto"/>
            <w:sz w:val="18"/>
            <w:szCs w:val="18"/>
          </w:rPr>
          <w:t>eILV</w:t>
        </w:r>
      </w:hyperlink>
      <w:r w:rsidRPr="00546D49">
        <w:rPr>
          <w:sz w:val="18"/>
          <w:szCs w:val="18"/>
        </w:rPr>
        <w:t> </w:t>
      </w:r>
      <w:r w:rsidRPr="00546D49">
        <w:rPr>
          <w:b/>
          <w:sz w:val="18"/>
          <w:szCs w:val="18"/>
        </w:rPr>
        <w:t>; terme 17-258</w:t>
      </w:r>
      <w:r>
        <w:rPr>
          <w:b/>
          <w:sz w:val="18"/>
          <w:szCs w:val="18"/>
        </w:rPr>
        <w:t> </w:t>
      </w:r>
      <w:r w:rsidRPr="00546D49">
        <w:t>»</w:t>
      </w:r>
      <w:r>
        <w:rPr>
          <w:b/>
          <w:sz w:val="18"/>
          <w:szCs w:val="18"/>
        </w:rPr>
        <w:t>.</w:t>
      </w:r>
    </w:p>
    <w:p w:rsidR="00546D49" w:rsidRPr="00546D49" w:rsidRDefault="00546D49" w:rsidP="00546D49">
      <w:pPr>
        <w:pStyle w:val="SingleTxtG"/>
        <w:keepNext/>
        <w:keepLines/>
        <w:rPr>
          <w:bCs/>
        </w:rPr>
      </w:pPr>
      <w:r w:rsidRPr="00546D49">
        <w:rPr>
          <w:bCs/>
          <w:i/>
        </w:rPr>
        <w:t>Paragraphe</w:t>
      </w:r>
      <w:r>
        <w:rPr>
          <w:bCs/>
          <w:i/>
        </w:rPr>
        <w:t xml:space="preserve"> 2.2.2</w:t>
      </w:r>
      <w:r w:rsidR="001807A8">
        <w:rPr>
          <w:bCs/>
          <w:i/>
        </w:rPr>
        <w:t>.2</w:t>
      </w:r>
      <w:r w:rsidRPr="00546D49">
        <w:t>,</w:t>
      </w:r>
      <w:r w:rsidRPr="00546D49">
        <w:rPr>
          <w:bCs/>
        </w:rPr>
        <w:t xml:space="preserve"> modifier comme suit</w:t>
      </w:r>
      <w:r>
        <w:rPr>
          <w:bCs/>
        </w:rPr>
        <w:t> :</w:t>
      </w:r>
    </w:p>
    <w:p w:rsidR="00546D49" w:rsidRPr="00546D49" w:rsidRDefault="00546D49" w:rsidP="00546D49">
      <w:pPr>
        <w:pStyle w:val="SingleTxtG"/>
        <w:ind w:left="2268" w:hanging="1134"/>
        <w:rPr>
          <w:b/>
        </w:rPr>
      </w:pPr>
      <w:r w:rsidRPr="00546D49">
        <w:rPr>
          <w:bCs/>
        </w:rPr>
        <w:t>«</w:t>
      </w:r>
      <w:r w:rsidR="00DA432F">
        <w:rPr>
          <w:bCs/>
        </w:rPr>
        <w:t> </w:t>
      </w:r>
      <w:r w:rsidRPr="00546D49">
        <w:rPr>
          <w:bCs/>
        </w:rPr>
        <w:t>2.2.2.2</w:t>
      </w:r>
      <w:r w:rsidRPr="00546D49">
        <w:rPr>
          <w:bCs/>
        </w:rPr>
        <w:tab/>
      </w:r>
      <w:r w:rsidRPr="00546D49">
        <w:t xml:space="preserve">D’une description technique succincte </w:t>
      </w:r>
      <w:r w:rsidRPr="00546D49">
        <w:rPr>
          <w:b/>
        </w:rPr>
        <w:t>comprenant la température de couleur proximale de la lumière émise dans le cas d'une</w:t>
      </w:r>
      <w:r w:rsidR="00862E30">
        <w:rPr>
          <w:b/>
        </w:rPr>
        <w:t xml:space="preserve"> </w:t>
      </w:r>
      <w:r w:rsidRPr="00546D49">
        <w:rPr>
          <w:b/>
        </w:rPr>
        <w:t>source lumineuse à DEL de substitution émettant une lumière blanche</w:t>
      </w:r>
      <w:r w:rsidR="00AA15E8">
        <w:rPr>
          <w:b/>
        </w:rPr>
        <w:t> </w:t>
      </w:r>
      <w:r w:rsidRPr="00546D49">
        <w:rPr>
          <w:b/>
          <w:bCs/>
        </w:rPr>
        <w:t>;</w:t>
      </w:r>
      <w:r w:rsidR="00AA15E8">
        <w:rPr>
          <w:b/>
          <w:bCs/>
        </w:rPr>
        <w:t> </w:t>
      </w:r>
      <w:r w:rsidRPr="00546D49">
        <w:t>»</w:t>
      </w:r>
    </w:p>
    <w:p w:rsidR="00546D49" w:rsidRPr="00546D49" w:rsidRDefault="00546D49" w:rsidP="00546D49">
      <w:pPr>
        <w:pStyle w:val="SingleTxtG"/>
        <w:keepNext/>
        <w:keepLines/>
        <w:rPr>
          <w:i/>
        </w:rPr>
      </w:pPr>
      <w:r w:rsidRPr="00546D49">
        <w:rPr>
          <w:i/>
        </w:rPr>
        <w:t>Ajouter</w:t>
      </w:r>
      <w:r w:rsidR="00862E30">
        <w:rPr>
          <w:i/>
        </w:rPr>
        <w:t xml:space="preserve"> </w:t>
      </w:r>
      <w:r w:rsidRPr="00546D49">
        <w:rPr>
          <w:i/>
        </w:rPr>
        <w:t>un nouveau paragraphe</w:t>
      </w:r>
      <w:r>
        <w:rPr>
          <w:i/>
        </w:rPr>
        <w:t> </w:t>
      </w:r>
      <w:r w:rsidRPr="00546D49">
        <w:rPr>
          <w:i/>
        </w:rPr>
        <w:t>2.3.1.5</w:t>
      </w:r>
      <w:r w:rsidRPr="00546D49">
        <w:t>, ainsi conçu</w:t>
      </w:r>
      <w:r>
        <w:t> :</w:t>
      </w:r>
    </w:p>
    <w:p w:rsidR="00546D49" w:rsidRPr="00546D49" w:rsidRDefault="00546D49" w:rsidP="00546D49">
      <w:pPr>
        <w:pStyle w:val="SingleTxtG"/>
        <w:rPr>
          <w:b/>
        </w:rPr>
      </w:pPr>
      <w:r w:rsidRPr="00546D49">
        <w:t>«</w:t>
      </w:r>
      <w:r w:rsidR="00DA432F">
        <w:t> </w:t>
      </w:r>
      <w:r w:rsidRPr="00546D49">
        <w:rPr>
          <w:b/>
        </w:rPr>
        <w:t>2.3.1.5</w:t>
      </w:r>
      <w:r w:rsidRPr="00546D49">
        <w:rPr>
          <w:b/>
        </w:rPr>
        <w:tab/>
        <w:t>Le cas échéant, la marque indiquée au paragraphe 2.3.3.</w:t>
      </w:r>
      <w:r w:rsidR="00862E30">
        <w:rPr>
          <w:b/>
        </w:rPr>
        <w:t> </w:t>
      </w:r>
      <w:r w:rsidRPr="00862E30">
        <w:t>»</w:t>
      </w:r>
    </w:p>
    <w:p w:rsidR="00546D49" w:rsidRPr="00546D49" w:rsidRDefault="00546D49" w:rsidP="00546D49">
      <w:pPr>
        <w:pStyle w:val="SingleTxtG"/>
        <w:keepNext/>
        <w:keepLines/>
      </w:pPr>
      <w:r w:rsidRPr="00546D49">
        <w:rPr>
          <w:i/>
        </w:rPr>
        <w:t>Ajouter un nouveau paragraphe 2.3.3 et renuméroter en conséquence le</w:t>
      </w:r>
      <w:r w:rsidR="00862E30">
        <w:rPr>
          <w:i/>
        </w:rPr>
        <w:t xml:space="preserve"> </w:t>
      </w:r>
      <w:r w:rsidRPr="00546D49">
        <w:rPr>
          <w:i/>
        </w:rPr>
        <w:t>paragraphe qui le</w:t>
      </w:r>
      <w:r w:rsidR="00862E30">
        <w:rPr>
          <w:i/>
        </w:rPr>
        <w:t> </w:t>
      </w:r>
      <w:r w:rsidRPr="00546D49">
        <w:rPr>
          <w:i/>
        </w:rPr>
        <w:t>suit</w:t>
      </w:r>
      <w:r w:rsidR="00862E30">
        <w:rPr>
          <w:i/>
        </w:rPr>
        <w:t> </w:t>
      </w:r>
      <w:r w:rsidR="00862E30">
        <w:t>:</w:t>
      </w:r>
    </w:p>
    <w:p w:rsidR="00546D49" w:rsidRPr="00546D49" w:rsidRDefault="00546D49" w:rsidP="00862E30">
      <w:pPr>
        <w:pStyle w:val="SingleTxtG"/>
        <w:ind w:left="2268" w:hanging="1134"/>
        <w:rPr>
          <w:bCs/>
        </w:rPr>
      </w:pPr>
      <w:r w:rsidRPr="00546D49">
        <w:rPr>
          <w:bCs/>
        </w:rPr>
        <w:t>«</w:t>
      </w:r>
      <w:r w:rsidR="00DA432F">
        <w:rPr>
          <w:bCs/>
        </w:rPr>
        <w:t> </w:t>
      </w:r>
      <w:r w:rsidRPr="00546D49">
        <w:rPr>
          <w:bCs/>
        </w:rPr>
        <w:t>2.3.3</w:t>
      </w:r>
      <w:r w:rsidRPr="00546D49">
        <w:rPr>
          <w:bCs/>
        </w:rPr>
        <w:tab/>
      </w:r>
      <w:r w:rsidRPr="00546D49">
        <w:rPr>
          <w:b/>
          <w:bCs/>
        </w:rPr>
        <w:t xml:space="preserve">Les sources lumineuses à DEL de substitution de couleur blanche ayant une température de couleur proximale ne dépassant pas 3000 K doivent être indiquées par un </w:t>
      </w:r>
      <w:r w:rsidR="00862E30">
        <w:rPr>
          <w:b/>
          <w:bCs/>
          <w:lang w:val="en-GB"/>
        </w:rPr>
        <w:t>“</w:t>
      </w:r>
      <w:r w:rsidRPr="00546D49">
        <w:rPr>
          <w:b/>
          <w:bCs/>
        </w:rPr>
        <w:t>G</w:t>
      </w:r>
      <w:r w:rsidR="00862E30">
        <w:rPr>
          <w:b/>
          <w:bCs/>
          <w:lang w:val="en-GB"/>
        </w:rPr>
        <w:t>”</w:t>
      </w:r>
      <w:r w:rsidRPr="00546D49">
        <w:rPr>
          <w:b/>
          <w:bCs/>
        </w:rPr>
        <w:t>, placé après la marque de catégorie de la</w:t>
      </w:r>
      <w:r w:rsidR="00862E30">
        <w:rPr>
          <w:b/>
          <w:bCs/>
        </w:rPr>
        <w:t> </w:t>
      </w:r>
      <w:r w:rsidRPr="00546D49">
        <w:rPr>
          <w:b/>
          <w:bCs/>
        </w:rPr>
        <w:t>source lumineuse à DEL de substitution dont il sera séparé par un espace.</w:t>
      </w:r>
    </w:p>
    <w:p w:rsidR="00546D49" w:rsidRPr="00546D49" w:rsidRDefault="00546D49" w:rsidP="00862E30">
      <w:pPr>
        <w:pStyle w:val="SingleTxtG"/>
        <w:ind w:left="2268" w:hanging="1134"/>
        <w:rPr>
          <w:bCs/>
        </w:rPr>
      </w:pPr>
      <w:r w:rsidRPr="00546D49">
        <w:rPr>
          <w:b/>
          <w:bCs/>
        </w:rPr>
        <w:t>2.3.4</w:t>
      </w:r>
      <w:r w:rsidRPr="00546D49">
        <w:rPr>
          <w:bCs/>
        </w:rPr>
        <w:tab/>
      </w:r>
      <w:r w:rsidRPr="00546D49">
        <w:t>D’autres inscriptions que celles prévues aux paragraphes 2.3.1</w:t>
      </w:r>
      <w:r w:rsidRPr="00546D49">
        <w:rPr>
          <w:b/>
          <w:bCs/>
        </w:rPr>
        <w:t xml:space="preserve">, 2.3.3 </w:t>
      </w:r>
      <w:r w:rsidRPr="00546D49">
        <w:t>et 2.4.4 peuvent être apportées, à condition qu’elles n’affectent pas l’ef</w:t>
      </w:r>
      <w:r w:rsidR="00862E30">
        <w:t>fet lumineux de manière gênante</w:t>
      </w:r>
      <w:r w:rsidR="00723147">
        <w:t> </w:t>
      </w:r>
      <w:r w:rsidRPr="00546D49">
        <w:t>».</w:t>
      </w:r>
    </w:p>
    <w:p w:rsidR="00546D49" w:rsidRPr="00546D49" w:rsidRDefault="00546D49" w:rsidP="00546D49">
      <w:pPr>
        <w:pStyle w:val="SingleTxtG"/>
        <w:keepNext/>
        <w:keepLines/>
      </w:pPr>
      <w:r w:rsidRPr="00546D49">
        <w:rPr>
          <w:i/>
        </w:rPr>
        <w:t>Ajouter un nouveau paragraphe</w:t>
      </w:r>
      <w:r w:rsidR="00862E30">
        <w:rPr>
          <w:i/>
        </w:rPr>
        <w:t> </w:t>
      </w:r>
      <w:r w:rsidRPr="00546D49">
        <w:rPr>
          <w:i/>
        </w:rPr>
        <w:t>3.10</w:t>
      </w:r>
      <w:r w:rsidRPr="00862E30">
        <w:t>,</w:t>
      </w:r>
      <w:r w:rsidRPr="00546D49">
        <w:rPr>
          <w:i/>
        </w:rPr>
        <w:t xml:space="preserve"> </w:t>
      </w:r>
      <w:r w:rsidRPr="00546D49">
        <w:t>ainsi conçu</w:t>
      </w:r>
      <w:r w:rsidR="00862E30">
        <w:t> :</w:t>
      </w:r>
    </w:p>
    <w:p w:rsidR="00546D49" w:rsidRPr="00546D49" w:rsidRDefault="00546D49" w:rsidP="00862E30">
      <w:pPr>
        <w:pStyle w:val="SingleTxtG"/>
        <w:ind w:left="2268" w:hanging="1134"/>
        <w:rPr>
          <w:b/>
          <w:bCs/>
        </w:rPr>
      </w:pPr>
      <w:r w:rsidRPr="00862E30">
        <w:t>«</w:t>
      </w:r>
      <w:r w:rsidR="00723147">
        <w:t> </w:t>
      </w:r>
      <w:r w:rsidRPr="00546D49">
        <w:rPr>
          <w:b/>
          <w:bCs/>
        </w:rPr>
        <w:t>3.10</w:t>
      </w:r>
      <w:r w:rsidRPr="00546D49">
        <w:rPr>
          <w:b/>
          <w:bCs/>
        </w:rPr>
        <w:tab/>
        <w:t xml:space="preserve">Sources lumineuses à DEL de substitution </w:t>
      </w:r>
      <w:r w:rsidR="00862E30">
        <w:rPr>
          <w:b/>
          <w:bCs/>
        </w:rPr>
        <w:t>–</w:t>
      </w:r>
      <w:r w:rsidRPr="00546D49">
        <w:rPr>
          <w:b/>
          <w:bCs/>
        </w:rPr>
        <w:t xml:space="preserve"> prescriptions supplémentaires</w:t>
      </w:r>
    </w:p>
    <w:p w:rsidR="00546D49" w:rsidRPr="00546D49" w:rsidRDefault="00546D49" w:rsidP="00862E30">
      <w:pPr>
        <w:pStyle w:val="SingleTxtG"/>
        <w:ind w:left="2268" w:hanging="1134"/>
        <w:rPr>
          <w:b/>
          <w:bCs/>
        </w:rPr>
      </w:pPr>
      <w:r w:rsidRPr="00546D49">
        <w:rPr>
          <w:b/>
          <w:bCs/>
        </w:rPr>
        <w:t>3.10.1</w:t>
      </w:r>
      <w:r w:rsidRPr="00546D49">
        <w:rPr>
          <w:b/>
          <w:bCs/>
        </w:rPr>
        <w:tab/>
        <w:t xml:space="preserve">Le courant électrique de la source lumineuse à DEL de substitution doit être mesuré à température ambiante (23 ± 2) °C dans de l’air immobile après </w:t>
      </w:r>
      <w:r w:rsidR="00862E30">
        <w:rPr>
          <w:b/>
          <w:bCs/>
        </w:rPr>
        <w:t>1 </w:t>
      </w:r>
      <w:r w:rsidRPr="00546D49">
        <w:rPr>
          <w:b/>
          <w:bCs/>
        </w:rPr>
        <w:t xml:space="preserve">minute </w:t>
      </w:r>
      <w:r w:rsidR="00862E30">
        <w:rPr>
          <w:b/>
          <w:bCs/>
        </w:rPr>
        <w:t>et après 30 </w:t>
      </w:r>
      <w:r w:rsidRPr="00546D49">
        <w:rPr>
          <w:b/>
          <w:bCs/>
        </w:rPr>
        <w:t>minutes de fonctionnement à la tension d’essai</w:t>
      </w:r>
      <w:r w:rsidR="00862E30">
        <w:rPr>
          <w:b/>
          <w:bCs/>
        </w:rPr>
        <w:t xml:space="preserve">. </w:t>
      </w:r>
    </w:p>
    <w:p w:rsidR="00546D49" w:rsidRPr="00546D49" w:rsidRDefault="00546D49" w:rsidP="00862E30">
      <w:pPr>
        <w:pStyle w:val="SingleTxtG"/>
        <w:ind w:left="2268"/>
        <w:rPr>
          <w:b/>
          <w:bCs/>
        </w:rPr>
      </w:pPr>
      <w:r w:rsidRPr="00546D49">
        <w:rPr>
          <w:b/>
          <w:bCs/>
        </w:rPr>
        <w:t xml:space="preserve">Les valeurs mesurées du courant électrique doivent se situer dans les limites indiquées sur la feuille de </w:t>
      </w:r>
      <w:r w:rsidRPr="00546D49">
        <w:rPr>
          <w:b/>
        </w:rPr>
        <w:t xml:space="preserve">caractéristiques appropriée </w:t>
      </w:r>
      <w:r w:rsidRPr="00546D49">
        <w:rPr>
          <w:b/>
          <w:bCs/>
        </w:rPr>
        <w:t>de l’annexe</w:t>
      </w:r>
      <w:r w:rsidR="00862E30">
        <w:rPr>
          <w:b/>
          <w:bCs/>
        </w:rPr>
        <w:t> </w:t>
      </w:r>
      <w:r w:rsidRPr="00546D49">
        <w:rPr>
          <w:b/>
          <w:bCs/>
        </w:rPr>
        <w:t>1.</w:t>
      </w:r>
      <w:r w:rsidR="00862E30">
        <w:rPr>
          <w:b/>
          <w:bCs/>
        </w:rPr>
        <w:t xml:space="preserve"> </w:t>
      </w:r>
    </w:p>
    <w:p w:rsidR="00546D49" w:rsidRPr="00546D49" w:rsidRDefault="00546D49" w:rsidP="00862E30">
      <w:pPr>
        <w:pStyle w:val="SingleTxtG"/>
        <w:ind w:left="2268" w:hanging="1134"/>
        <w:rPr>
          <w:b/>
        </w:rPr>
      </w:pPr>
      <w:r w:rsidRPr="00546D49">
        <w:rPr>
          <w:b/>
          <w:bCs/>
        </w:rPr>
        <w:t>3.10.2</w:t>
      </w:r>
      <w:r w:rsidRPr="00546D49">
        <w:rPr>
          <w:b/>
          <w:bCs/>
        </w:rPr>
        <w:tab/>
        <w:t>La source lumineuse à DE</w:t>
      </w:r>
      <w:r w:rsidRPr="00546D49">
        <w:rPr>
          <w:b/>
        </w:rPr>
        <w:t>L de substitution doit satisfaire aux prescriptions techniques</w:t>
      </w:r>
      <w:r w:rsidR="00862E30">
        <w:rPr>
          <w:b/>
        </w:rPr>
        <w:t xml:space="preserve"> </w:t>
      </w:r>
      <w:r w:rsidRPr="00546D49">
        <w:rPr>
          <w:b/>
        </w:rPr>
        <w:t>d’un sous-ensemble électrique/électronique (SEEE)</w:t>
      </w:r>
      <w:r w:rsidRPr="00546D49">
        <w:t xml:space="preserve"> </w:t>
      </w:r>
      <w:r w:rsidRPr="00546D49">
        <w:rPr>
          <w:b/>
        </w:rPr>
        <w:t>co</w:t>
      </w:r>
      <w:r w:rsidR="00DA432F">
        <w:rPr>
          <w:b/>
        </w:rPr>
        <w:t xml:space="preserve">mme indiqué par le Règlement </w:t>
      </w:r>
      <w:r w:rsidR="00DA432F" w:rsidRPr="00DA432F">
        <w:rPr>
          <w:rFonts w:eastAsia="MS Mincho"/>
          <w:b/>
          <w:szCs w:val="22"/>
        </w:rPr>
        <w:t>n</w:t>
      </w:r>
      <w:r w:rsidR="00DA432F" w:rsidRPr="00DA432F">
        <w:rPr>
          <w:rFonts w:eastAsia="MS Mincho"/>
          <w:b/>
          <w:szCs w:val="22"/>
          <w:vertAlign w:val="superscript"/>
        </w:rPr>
        <w:t>o</w:t>
      </w:r>
      <w:r w:rsidR="00DA432F">
        <w:rPr>
          <w:b/>
        </w:rPr>
        <w:t> </w:t>
      </w:r>
      <w:r w:rsidRPr="00546D49">
        <w:rPr>
          <w:b/>
        </w:rPr>
        <w:t>10 et ses séries d’amendements en vigueur à la date de la demande d’homologation de</w:t>
      </w:r>
      <w:r w:rsidR="00862E30">
        <w:rPr>
          <w:b/>
        </w:rPr>
        <w:t> </w:t>
      </w:r>
      <w:r w:rsidRPr="00546D49">
        <w:rPr>
          <w:b/>
        </w:rPr>
        <w:t>type.</w:t>
      </w:r>
    </w:p>
    <w:p w:rsidR="00546D49" w:rsidRPr="00DA432F" w:rsidRDefault="00546D49" w:rsidP="00862E30">
      <w:pPr>
        <w:pStyle w:val="SingleTxtG"/>
        <w:ind w:left="2268" w:hanging="1134"/>
      </w:pPr>
      <w:r w:rsidRPr="00546D49">
        <w:rPr>
          <w:b/>
        </w:rPr>
        <w:t>3.10.3</w:t>
      </w:r>
      <w:r w:rsidRPr="00546D49">
        <w:rPr>
          <w:b/>
        </w:rPr>
        <w:tab/>
        <w:t>La source lumineuse à DEL de substitution ne doit pas émettre de lumière</w:t>
      </w:r>
      <w:r w:rsidR="00862E30">
        <w:rPr>
          <w:b/>
        </w:rPr>
        <w:t xml:space="preserve"> </w:t>
      </w:r>
      <w:r w:rsidRPr="00546D49">
        <w:rPr>
          <w:b/>
        </w:rPr>
        <w:t>lorsque elle est activée</w:t>
      </w:r>
      <w:r w:rsidR="00862E30">
        <w:rPr>
          <w:b/>
        </w:rPr>
        <w:t xml:space="preserve"> </w:t>
      </w:r>
      <w:r w:rsidRPr="00546D49">
        <w:rPr>
          <w:b/>
        </w:rPr>
        <w:t>pendant 2 millisecondes ou moins</w:t>
      </w:r>
      <w:r w:rsidR="00862E30">
        <w:rPr>
          <w:b/>
        </w:rPr>
        <w:t> </w:t>
      </w:r>
      <w:r w:rsidR="00862E30" w:rsidRPr="00DA432F">
        <w:t>»</w:t>
      </w:r>
      <w:r w:rsidRPr="00DA432F">
        <w:t>.</w:t>
      </w:r>
    </w:p>
    <w:p w:rsidR="00546D49" w:rsidRPr="00546D49" w:rsidRDefault="00546D49" w:rsidP="00546D49">
      <w:pPr>
        <w:pStyle w:val="SingleTxtG"/>
        <w:keepNext/>
        <w:keepLines/>
        <w:rPr>
          <w:i/>
        </w:rPr>
      </w:pPr>
      <w:r w:rsidRPr="00546D49">
        <w:rPr>
          <w:i/>
        </w:rPr>
        <w:lastRenderedPageBreak/>
        <w:t>Annexe</w:t>
      </w:r>
      <w:r w:rsidR="00862E30">
        <w:rPr>
          <w:i/>
        </w:rPr>
        <w:t> </w:t>
      </w:r>
      <w:r w:rsidRPr="00546D49">
        <w:rPr>
          <w:i/>
        </w:rPr>
        <w:t>4, partie introductive</w:t>
      </w:r>
      <w:r w:rsidRPr="00862E30">
        <w:t>,</w:t>
      </w:r>
      <w:r w:rsidRPr="00546D49">
        <w:rPr>
          <w:i/>
        </w:rPr>
        <w:t xml:space="preserve"> </w:t>
      </w:r>
      <w:r w:rsidRPr="00546D49">
        <w:t>modifier comme suit</w:t>
      </w:r>
      <w:r w:rsidR="00862E30">
        <w:t> :</w:t>
      </w:r>
    </w:p>
    <w:p w:rsidR="00546D49" w:rsidRPr="00546D49" w:rsidRDefault="00546D49" w:rsidP="00546D49">
      <w:pPr>
        <w:pStyle w:val="SingleTxtG"/>
      </w:pPr>
      <w:r w:rsidRPr="00546D49">
        <w:rPr>
          <w:bCs/>
        </w:rPr>
        <w:t>«</w:t>
      </w:r>
      <w:r w:rsidR="00862E30">
        <w:rPr>
          <w:bCs/>
        </w:rPr>
        <w:t> </w:t>
      </w:r>
      <w:r w:rsidRPr="00546D49">
        <w:t>Dans le cas des sources lumineuses de toutes les catégories pourvues d’un dissipateur thermique, les mesures</w:t>
      </w:r>
      <w:r w:rsidR="00862E30">
        <w:t xml:space="preserve"> </w:t>
      </w:r>
      <w:r w:rsidRPr="00546D49">
        <w:t xml:space="preserve">doivent être effectuées </w:t>
      </w:r>
      <w:r w:rsidRPr="00546D49">
        <w:rPr>
          <w:b/>
        </w:rPr>
        <w:t>dans de l’air immobile</w:t>
      </w:r>
      <w:r w:rsidR="00862E30">
        <w:t xml:space="preserve"> </w:t>
      </w:r>
      <w:r w:rsidRPr="00546D49">
        <w:t xml:space="preserve">à température ambiante (23 ± 2 °C) </w:t>
      </w:r>
      <w:r w:rsidRPr="006F5CF5">
        <w:rPr>
          <w:strike/>
        </w:rPr>
        <w:t>dans de l’air immobile</w:t>
      </w:r>
      <w:r w:rsidR="00862E30">
        <w:t xml:space="preserve"> </w:t>
      </w:r>
      <w:r w:rsidRPr="00546D49">
        <w:rPr>
          <w:b/>
        </w:rPr>
        <w:t>ainsi qu’à une autre température ambiante si</w:t>
      </w:r>
      <w:r w:rsidR="00862E30">
        <w:rPr>
          <w:b/>
        </w:rPr>
        <w:t xml:space="preserve"> </w:t>
      </w:r>
      <w:r w:rsidRPr="00546D49">
        <w:rPr>
          <w:b/>
        </w:rPr>
        <w:t>c’est indiqué sur la feuille de caractéristiques correspondante</w:t>
      </w:r>
      <w:r w:rsidRPr="00546D49">
        <w:t>. Pour ces mesures, il convient de ménager un espace libre minimum, tel que défini dans les feuilles de données.</w:t>
      </w:r>
    </w:p>
    <w:p w:rsidR="00546D49" w:rsidRPr="00546D49" w:rsidRDefault="00546D49" w:rsidP="00546D49">
      <w:pPr>
        <w:pStyle w:val="SingleTxtG"/>
      </w:pPr>
      <w:r w:rsidRPr="00546D49">
        <w:t>Dans le cas des sources lumineuses de toutes les catégories pour lesquelles une température T</w:t>
      </w:r>
      <w:r w:rsidRPr="00546D49">
        <w:rPr>
          <w:vertAlign w:val="subscript"/>
        </w:rPr>
        <w:t>b</w:t>
      </w:r>
      <w:r w:rsidRPr="00546D49">
        <w:t xml:space="preserve"> a été définie, les mesures doivent être</w:t>
      </w:r>
      <w:r w:rsidR="00862E30">
        <w:t xml:space="preserve"> </w:t>
      </w:r>
      <w:r w:rsidRPr="00546D49">
        <w:t>effectuées par stabilisation du point T</w:t>
      </w:r>
      <w:r w:rsidRPr="00546D49">
        <w:rPr>
          <w:vertAlign w:val="subscript"/>
        </w:rPr>
        <w:t>b</w:t>
      </w:r>
      <w:r w:rsidRPr="00546D49">
        <w:t xml:space="preserve"> à la température précise définie dans la feuille de données correspondant à la catégorie...»</w:t>
      </w:r>
      <w:r w:rsidR="00862E30">
        <w:t>.</w:t>
      </w:r>
    </w:p>
    <w:p w:rsidR="00546D49" w:rsidRPr="00546D49" w:rsidRDefault="00546D49" w:rsidP="00546D49">
      <w:pPr>
        <w:pStyle w:val="SingleTxtG"/>
        <w:keepNext/>
        <w:keepLines/>
        <w:rPr>
          <w:i/>
        </w:rPr>
      </w:pPr>
      <w:r w:rsidRPr="00546D49">
        <w:rPr>
          <w:i/>
        </w:rPr>
        <w:t>Annexe 5, paragraphe</w:t>
      </w:r>
      <w:r w:rsidR="00862E30">
        <w:rPr>
          <w:i/>
        </w:rPr>
        <w:t> 1</w:t>
      </w:r>
      <w:r w:rsidRPr="00862E30">
        <w:t>,</w:t>
      </w:r>
      <w:r w:rsidRPr="00546D49">
        <w:rPr>
          <w:i/>
        </w:rPr>
        <w:t xml:space="preserve"> </w:t>
      </w:r>
      <w:r w:rsidRPr="00546D49">
        <w:t>modifier comme suit</w:t>
      </w:r>
      <w:r w:rsidR="00862E30">
        <w:t> :</w:t>
      </w:r>
    </w:p>
    <w:p w:rsidR="00546D49" w:rsidRPr="00546D49" w:rsidRDefault="00546D49" w:rsidP="00862E30">
      <w:pPr>
        <w:pStyle w:val="SingleTxtG"/>
        <w:ind w:left="2268" w:hanging="1134"/>
        <w:rPr>
          <w:bCs/>
        </w:rPr>
      </w:pPr>
      <w:r w:rsidRPr="00546D49">
        <w:rPr>
          <w:bCs/>
        </w:rPr>
        <w:t>«</w:t>
      </w:r>
      <w:r w:rsidR="00862E30">
        <w:rPr>
          <w:bCs/>
        </w:rPr>
        <w:t> </w:t>
      </w:r>
      <w:r w:rsidRPr="00546D49">
        <w:rPr>
          <w:bCs/>
        </w:rPr>
        <w:t>1.</w:t>
      </w:r>
      <w:r w:rsidRPr="00546D49">
        <w:rPr>
          <w:bCs/>
        </w:rPr>
        <w:tab/>
        <w:t>Généralités</w:t>
      </w:r>
    </w:p>
    <w:p w:rsidR="00546D49" w:rsidRPr="00546D49" w:rsidRDefault="00546D49" w:rsidP="00862E30">
      <w:pPr>
        <w:pStyle w:val="SingleTxtG"/>
        <w:ind w:left="2268"/>
        <w:rPr>
          <w:bCs/>
        </w:rPr>
      </w:pPr>
      <w:r w:rsidRPr="00546D49">
        <w:rPr>
          <w:bCs/>
        </w:rPr>
        <w:tab/>
      </w:r>
      <w:r w:rsidRPr="00546D49">
        <w:t>Les prescriptions relatives à la conformité sont considérées comme satisfaites du point de vue photométrique, géométrique, visuel et électrique si les tolérances spécifiées pour les sources lumineuses à DEL sur la feuille de caractéristiques pertinente de l’annexe 1</w:t>
      </w:r>
      <w:r w:rsidRPr="00546D49">
        <w:rPr>
          <w:b/>
        </w:rPr>
        <w:t>,</w:t>
      </w:r>
      <w:r w:rsidRPr="00546D49">
        <w:t xml:space="preserve"> </w:t>
      </w:r>
      <w:r w:rsidRPr="002E4F18">
        <w:rPr>
          <w:strike/>
        </w:rPr>
        <w:t>et</w:t>
      </w:r>
      <w:r w:rsidRPr="00546D49">
        <w:t xml:space="preserve"> sur la feuille de caractéristiques pour les culots </w:t>
      </w:r>
      <w:r w:rsidRPr="00546D49">
        <w:rPr>
          <w:b/>
        </w:rPr>
        <w:t>et, dans le cas des sources lumineuses à DEL de substitution, dans les prescription</w:t>
      </w:r>
      <w:r w:rsidR="00862E30">
        <w:rPr>
          <w:b/>
        </w:rPr>
        <w:t>s supplémentaires du paragraphe </w:t>
      </w:r>
      <w:r w:rsidRPr="00546D49">
        <w:rPr>
          <w:b/>
        </w:rPr>
        <w:t>3.10</w:t>
      </w:r>
      <w:r w:rsidRPr="00546D49">
        <w:t>, sont respectées</w:t>
      </w:r>
      <w:r w:rsidR="00862E30">
        <w:t> </w:t>
      </w:r>
      <w:r w:rsidRPr="00546D49">
        <w:t>».</w:t>
      </w:r>
    </w:p>
    <w:p w:rsidR="00546D49" w:rsidRPr="00546D49" w:rsidRDefault="00546D49" w:rsidP="00546D49">
      <w:pPr>
        <w:pStyle w:val="SingleTxtG"/>
        <w:keepNext/>
        <w:keepLines/>
        <w:rPr>
          <w:i/>
        </w:rPr>
      </w:pPr>
      <w:r w:rsidRPr="00546D49">
        <w:rPr>
          <w:i/>
        </w:rPr>
        <w:t>Annexe 6, tableau</w:t>
      </w:r>
      <w:r w:rsidR="00862E30">
        <w:rPr>
          <w:i/>
        </w:rPr>
        <w:t> </w:t>
      </w:r>
      <w:r w:rsidRPr="00546D49">
        <w:rPr>
          <w:i/>
        </w:rPr>
        <w:t>1</w:t>
      </w:r>
      <w:r w:rsidRPr="00862E30">
        <w:t xml:space="preserve">, </w:t>
      </w:r>
      <w:r w:rsidRPr="00546D49">
        <w:t>ajouter une ligne supplémentaire au bas du tableau</w:t>
      </w:r>
      <w:r w:rsidR="00862E30">
        <w:t> :</w:t>
      </w:r>
    </w:p>
    <w:p w:rsidR="00546D49" w:rsidRPr="00546D49" w:rsidRDefault="00546D49" w:rsidP="00862E30">
      <w:pPr>
        <w:pStyle w:val="Titre1"/>
      </w:pPr>
      <w:r w:rsidRPr="00546D49">
        <w:t>«</w:t>
      </w:r>
      <w:r w:rsidR="00862E30">
        <w:t> </w:t>
      </w:r>
      <w:r w:rsidRPr="00546D49">
        <w:t>Tableau</w:t>
      </w:r>
      <w:r w:rsidR="00862E30">
        <w:t> </w:t>
      </w:r>
      <w:r w:rsidRPr="00546D49">
        <w:t>1</w:t>
      </w:r>
      <w:r w:rsidR="00862E30">
        <w:t xml:space="preserve"> </w:t>
      </w:r>
    </w:p>
    <w:p w:rsidR="00F9573C" w:rsidRPr="00546D49" w:rsidRDefault="00546D49" w:rsidP="00862E30">
      <w:pPr>
        <w:pStyle w:val="Titre1"/>
        <w:spacing w:after="120"/>
        <w:rPr>
          <w:b/>
        </w:rPr>
      </w:pPr>
      <w:r w:rsidRPr="00546D49">
        <w:rPr>
          <w:b/>
        </w:rPr>
        <w:t>Caractéristiques</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9"/>
        <w:gridCol w:w="2419"/>
        <w:gridCol w:w="1266"/>
        <w:gridCol w:w="1266"/>
      </w:tblGrid>
      <w:tr w:rsidR="00546D49" w:rsidRPr="00862E30" w:rsidTr="00862E30">
        <w:trPr>
          <w:cantSplit/>
          <w:jc w:val="center"/>
        </w:trPr>
        <w:tc>
          <w:tcPr>
            <w:tcW w:w="2419" w:type="dxa"/>
            <w:tcBorders>
              <w:bottom w:val="single" w:sz="12" w:space="0" w:color="auto"/>
            </w:tcBorders>
            <w:vAlign w:val="bottom"/>
          </w:tcPr>
          <w:p w:rsidR="00546D49" w:rsidRPr="00862E30" w:rsidRDefault="00546D49" w:rsidP="00862E30">
            <w:pPr>
              <w:spacing w:before="80" w:after="80" w:line="200" w:lineRule="atLeast"/>
              <w:ind w:left="57" w:right="57"/>
              <w:rPr>
                <w:bCs/>
                <w:i/>
                <w:snapToGrid w:val="0"/>
                <w:sz w:val="16"/>
                <w:szCs w:val="16"/>
              </w:rPr>
            </w:pPr>
            <w:r w:rsidRPr="00862E30">
              <w:rPr>
                <w:i/>
                <w:sz w:val="16"/>
                <w:szCs w:val="16"/>
              </w:rPr>
              <w:t xml:space="preserve">Groupe </w:t>
            </w:r>
            <w:r w:rsidR="00862E30">
              <w:rPr>
                <w:i/>
                <w:sz w:val="16"/>
                <w:szCs w:val="16"/>
              </w:rPr>
              <w:br/>
            </w:r>
            <w:r w:rsidRPr="00862E30">
              <w:rPr>
                <w:i/>
                <w:sz w:val="16"/>
                <w:szCs w:val="16"/>
              </w:rPr>
              <w:t>de caractéristiques</w:t>
            </w:r>
          </w:p>
        </w:tc>
        <w:tc>
          <w:tcPr>
            <w:tcW w:w="2419" w:type="dxa"/>
            <w:tcBorders>
              <w:bottom w:val="single" w:sz="12" w:space="0" w:color="auto"/>
            </w:tcBorders>
            <w:vAlign w:val="bottom"/>
          </w:tcPr>
          <w:p w:rsidR="00546D49" w:rsidRPr="00862E30" w:rsidRDefault="00546D49" w:rsidP="00862E30">
            <w:pPr>
              <w:spacing w:before="80" w:after="80" w:line="200" w:lineRule="atLeast"/>
              <w:ind w:left="57" w:right="57"/>
              <w:rPr>
                <w:bCs/>
                <w:i/>
                <w:snapToGrid w:val="0"/>
                <w:sz w:val="16"/>
                <w:szCs w:val="16"/>
              </w:rPr>
            </w:pPr>
            <w:r w:rsidRPr="00862E30">
              <w:rPr>
                <w:i/>
                <w:sz w:val="16"/>
                <w:szCs w:val="16"/>
              </w:rPr>
              <w:t>Groupement</w:t>
            </w:r>
            <w:r w:rsidRPr="00862E30">
              <w:rPr>
                <w:sz w:val="16"/>
                <w:szCs w:val="16"/>
              </w:rPr>
              <w:t>*</w:t>
            </w:r>
            <w:r w:rsidR="00862E30">
              <w:rPr>
                <w:sz w:val="16"/>
                <w:szCs w:val="16"/>
              </w:rPr>
              <w:t xml:space="preserve"> </w:t>
            </w:r>
            <w:r w:rsidRPr="00862E30">
              <w:rPr>
                <w:i/>
                <w:sz w:val="16"/>
                <w:szCs w:val="16"/>
              </w:rPr>
              <w:br/>
              <w:t>des procès-verbaux</w:t>
            </w:r>
            <w:r w:rsidR="00862E30">
              <w:rPr>
                <w:i/>
                <w:sz w:val="16"/>
                <w:szCs w:val="16"/>
              </w:rPr>
              <w:t xml:space="preserve"> </w:t>
            </w:r>
            <w:r w:rsidRPr="00862E30">
              <w:rPr>
                <w:i/>
                <w:sz w:val="16"/>
                <w:szCs w:val="16"/>
              </w:rPr>
              <w:br/>
              <w:t xml:space="preserve">d’essai selon les types </w:t>
            </w:r>
            <w:r w:rsidR="00862E30">
              <w:rPr>
                <w:i/>
                <w:sz w:val="16"/>
                <w:szCs w:val="16"/>
              </w:rPr>
              <w:br/>
            </w:r>
            <w:r w:rsidRPr="00862E30">
              <w:rPr>
                <w:i/>
                <w:sz w:val="16"/>
                <w:szCs w:val="16"/>
              </w:rPr>
              <w:t>de lampes</w:t>
            </w:r>
          </w:p>
        </w:tc>
        <w:tc>
          <w:tcPr>
            <w:tcW w:w="1266" w:type="dxa"/>
            <w:tcBorders>
              <w:bottom w:val="single" w:sz="12" w:space="0" w:color="auto"/>
            </w:tcBorders>
            <w:vAlign w:val="bottom"/>
          </w:tcPr>
          <w:p w:rsidR="00546D49" w:rsidRPr="00862E30" w:rsidRDefault="00546D49" w:rsidP="00862E30">
            <w:pPr>
              <w:spacing w:before="80" w:after="80" w:line="200" w:lineRule="atLeast"/>
              <w:ind w:left="57" w:right="57"/>
              <w:jc w:val="right"/>
              <w:rPr>
                <w:bCs/>
                <w:i/>
                <w:snapToGrid w:val="0"/>
                <w:sz w:val="16"/>
                <w:szCs w:val="16"/>
              </w:rPr>
            </w:pPr>
            <w:r w:rsidRPr="00862E30">
              <w:rPr>
                <w:i/>
                <w:sz w:val="16"/>
                <w:szCs w:val="16"/>
              </w:rPr>
              <w:t>Échantillon annuel</w:t>
            </w:r>
            <w:r w:rsidR="00862E30">
              <w:rPr>
                <w:i/>
                <w:sz w:val="16"/>
                <w:szCs w:val="16"/>
              </w:rPr>
              <w:t xml:space="preserve"> </w:t>
            </w:r>
            <w:r w:rsidRPr="00862E30">
              <w:rPr>
                <w:i/>
                <w:sz w:val="16"/>
                <w:szCs w:val="16"/>
              </w:rPr>
              <w:t>minimal par groupe</w:t>
            </w:r>
            <w:r w:rsidRPr="00862E30">
              <w:rPr>
                <w:sz w:val="16"/>
                <w:szCs w:val="16"/>
              </w:rPr>
              <w:t>*</w:t>
            </w:r>
          </w:p>
        </w:tc>
        <w:tc>
          <w:tcPr>
            <w:tcW w:w="1266" w:type="dxa"/>
            <w:tcBorders>
              <w:bottom w:val="single" w:sz="12" w:space="0" w:color="auto"/>
            </w:tcBorders>
            <w:vAlign w:val="bottom"/>
          </w:tcPr>
          <w:p w:rsidR="00546D49" w:rsidRPr="00862E30" w:rsidRDefault="00862E30" w:rsidP="00862E30">
            <w:pPr>
              <w:spacing w:before="80" w:after="80" w:line="200" w:lineRule="atLeast"/>
              <w:ind w:left="57" w:right="57"/>
              <w:jc w:val="right"/>
              <w:rPr>
                <w:bCs/>
                <w:i/>
                <w:snapToGrid w:val="0"/>
                <w:sz w:val="16"/>
                <w:szCs w:val="16"/>
              </w:rPr>
            </w:pPr>
            <w:r>
              <w:rPr>
                <w:i/>
                <w:sz w:val="16"/>
                <w:szCs w:val="16"/>
              </w:rPr>
              <w:t>Niveau acceptable de non-</w:t>
            </w:r>
            <w:r w:rsidR="00546D49" w:rsidRPr="00862E30">
              <w:rPr>
                <w:i/>
                <w:sz w:val="16"/>
                <w:szCs w:val="16"/>
              </w:rPr>
              <w:t xml:space="preserve">conformité </w:t>
            </w:r>
            <w:r>
              <w:rPr>
                <w:i/>
                <w:sz w:val="16"/>
                <w:szCs w:val="16"/>
              </w:rPr>
              <w:br/>
            </w:r>
            <w:r w:rsidR="00546D49" w:rsidRPr="00862E30">
              <w:rPr>
                <w:i/>
                <w:sz w:val="16"/>
                <w:szCs w:val="16"/>
              </w:rPr>
              <w:t>par groupe</w:t>
            </w:r>
            <w:r>
              <w:rPr>
                <w:i/>
                <w:sz w:val="16"/>
                <w:szCs w:val="16"/>
              </w:rPr>
              <w:t xml:space="preserve"> de </w:t>
            </w:r>
            <w:r w:rsidR="00546D49" w:rsidRPr="00862E30">
              <w:rPr>
                <w:i/>
                <w:sz w:val="16"/>
                <w:szCs w:val="16"/>
              </w:rPr>
              <w:t>caractéristiques (</w:t>
            </w:r>
            <w:r>
              <w:rPr>
                <w:i/>
                <w:sz w:val="16"/>
                <w:szCs w:val="16"/>
              </w:rPr>
              <w:t>en pourcentage</w:t>
            </w:r>
            <w:r w:rsidR="00546D49" w:rsidRPr="00862E30">
              <w:rPr>
                <w:i/>
                <w:sz w:val="16"/>
                <w:szCs w:val="16"/>
              </w:rPr>
              <w:t>)</w:t>
            </w:r>
          </w:p>
        </w:tc>
      </w:tr>
      <w:tr w:rsidR="00546D49" w:rsidRPr="00546D49" w:rsidTr="00862E30">
        <w:trPr>
          <w:cantSplit/>
          <w:jc w:val="center"/>
        </w:trPr>
        <w:tc>
          <w:tcPr>
            <w:tcW w:w="2419" w:type="dxa"/>
            <w:tcBorders>
              <w:top w:val="single" w:sz="12" w:space="0" w:color="auto"/>
            </w:tcBorders>
          </w:tcPr>
          <w:p w:rsidR="00546D49" w:rsidRPr="00546D49" w:rsidRDefault="00546D49" w:rsidP="00862E30">
            <w:pPr>
              <w:spacing w:before="60" w:after="60"/>
              <w:ind w:left="57" w:right="57"/>
              <w:rPr>
                <w:bCs/>
                <w:snapToGrid w:val="0"/>
                <w:sz w:val="18"/>
                <w:szCs w:val="18"/>
              </w:rPr>
            </w:pPr>
            <w:r w:rsidRPr="00546D49">
              <w:rPr>
                <w:sz w:val="18"/>
                <w:szCs w:val="18"/>
              </w:rPr>
              <w:t>Marquage, lisibilité et durabilité</w:t>
            </w:r>
          </w:p>
        </w:tc>
        <w:tc>
          <w:tcPr>
            <w:tcW w:w="2419" w:type="dxa"/>
            <w:tcBorders>
              <w:top w:val="single" w:sz="12" w:space="0" w:color="auto"/>
            </w:tcBorders>
          </w:tcPr>
          <w:p w:rsidR="00546D49" w:rsidRPr="00546D49" w:rsidRDefault="00546D49" w:rsidP="00862E30">
            <w:pPr>
              <w:spacing w:before="60" w:after="60"/>
              <w:ind w:left="57" w:right="57"/>
              <w:rPr>
                <w:bCs/>
                <w:snapToGrid w:val="0"/>
                <w:sz w:val="18"/>
                <w:szCs w:val="18"/>
              </w:rPr>
            </w:pPr>
            <w:r w:rsidRPr="00546D49">
              <w:rPr>
                <w:sz w:val="18"/>
                <w:szCs w:val="18"/>
              </w:rPr>
              <w:t>Tous types possédant les mêmes dimensions extérieures</w:t>
            </w:r>
          </w:p>
        </w:tc>
        <w:tc>
          <w:tcPr>
            <w:tcW w:w="1266" w:type="dxa"/>
            <w:tcBorders>
              <w:top w:val="single" w:sz="12" w:space="0" w:color="auto"/>
            </w:tcBorders>
            <w:vAlign w:val="bottom"/>
          </w:tcPr>
          <w:p w:rsidR="00546D49" w:rsidRPr="00546D49" w:rsidRDefault="00546D49" w:rsidP="00862E30">
            <w:pPr>
              <w:spacing w:before="60" w:after="60"/>
              <w:ind w:left="57" w:right="57"/>
              <w:jc w:val="right"/>
              <w:rPr>
                <w:bCs/>
                <w:snapToGrid w:val="0"/>
                <w:sz w:val="18"/>
                <w:szCs w:val="18"/>
              </w:rPr>
            </w:pPr>
            <w:r w:rsidRPr="00546D49">
              <w:rPr>
                <w:bCs/>
                <w:snapToGrid w:val="0"/>
                <w:sz w:val="18"/>
                <w:szCs w:val="18"/>
              </w:rPr>
              <w:t>315</w:t>
            </w:r>
          </w:p>
        </w:tc>
        <w:tc>
          <w:tcPr>
            <w:tcW w:w="1266" w:type="dxa"/>
            <w:tcBorders>
              <w:top w:val="single" w:sz="12" w:space="0" w:color="auto"/>
            </w:tcBorders>
            <w:vAlign w:val="bottom"/>
          </w:tcPr>
          <w:p w:rsidR="00546D49" w:rsidRPr="00546D49" w:rsidRDefault="00546D49" w:rsidP="00862E30">
            <w:pPr>
              <w:spacing w:before="60" w:after="60"/>
              <w:ind w:left="57" w:right="57"/>
              <w:jc w:val="right"/>
              <w:rPr>
                <w:bCs/>
                <w:snapToGrid w:val="0"/>
                <w:sz w:val="18"/>
                <w:szCs w:val="18"/>
              </w:rPr>
            </w:pPr>
            <w:r w:rsidRPr="00546D49">
              <w:rPr>
                <w:bCs/>
                <w:snapToGrid w:val="0"/>
                <w:sz w:val="18"/>
                <w:szCs w:val="18"/>
              </w:rPr>
              <w:t>1</w:t>
            </w:r>
          </w:p>
        </w:tc>
      </w:tr>
      <w:tr w:rsidR="00546D49" w:rsidRPr="00546D49" w:rsidTr="00862E30">
        <w:trPr>
          <w:cantSplit/>
          <w:jc w:val="center"/>
        </w:trPr>
        <w:tc>
          <w:tcPr>
            <w:tcW w:w="2419" w:type="dxa"/>
          </w:tcPr>
          <w:p w:rsidR="00546D49" w:rsidRPr="00546D49" w:rsidRDefault="00546D49" w:rsidP="00862E30">
            <w:pPr>
              <w:spacing w:before="60" w:after="60"/>
              <w:ind w:left="57" w:right="57"/>
              <w:rPr>
                <w:bCs/>
                <w:snapToGrid w:val="0"/>
                <w:sz w:val="18"/>
                <w:szCs w:val="18"/>
              </w:rPr>
            </w:pPr>
            <w:r w:rsidRPr="00546D49">
              <w:rPr>
                <w:sz w:val="18"/>
                <w:szCs w:val="18"/>
              </w:rPr>
              <w:t>Dimensions extérieures de la lampe (compte non tenu du culot et de la base)</w:t>
            </w:r>
          </w:p>
        </w:tc>
        <w:tc>
          <w:tcPr>
            <w:tcW w:w="2419" w:type="dxa"/>
          </w:tcPr>
          <w:p w:rsidR="00546D49" w:rsidRPr="00546D49" w:rsidRDefault="00546D49" w:rsidP="00862E30">
            <w:pPr>
              <w:spacing w:before="60" w:after="60"/>
              <w:ind w:left="57" w:right="57"/>
              <w:rPr>
                <w:bCs/>
                <w:snapToGrid w:val="0"/>
                <w:sz w:val="18"/>
                <w:szCs w:val="18"/>
              </w:rPr>
            </w:pPr>
            <w:r w:rsidRPr="00546D49">
              <w:rPr>
                <w:sz w:val="18"/>
                <w:szCs w:val="18"/>
              </w:rPr>
              <w:t>Tous types de la même catégorie</w:t>
            </w:r>
          </w:p>
        </w:tc>
        <w:tc>
          <w:tcPr>
            <w:tcW w:w="1266" w:type="dxa"/>
            <w:vAlign w:val="bottom"/>
          </w:tcPr>
          <w:p w:rsidR="00546D49" w:rsidRPr="00546D49" w:rsidRDefault="00546D49" w:rsidP="00862E30">
            <w:pPr>
              <w:spacing w:before="60" w:after="60"/>
              <w:ind w:left="57" w:right="57"/>
              <w:jc w:val="right"/>
              <w:rPr>
                <w:bCs/>
                <w:snapToGrid w:val="0"/>
                <w:sz w:val="18"/>
                <w:szCs w:val="18"/>
              </w:rPr>
            </w:pPr>
            <w:r w:rsidRPr="00546D49">
              <w:rPr>
                <w:bCs/>
                <w:snapToGrid w:val="0"/>
                <w:sz w:val="18"/>
                <w:szCs w:val="18"/>
              </w:rPr>
              <w:t>200</w:t>
            </w:r>
          </w:p>
        </w:tc>
        <w:tc>
          <w:tcPr>
            <w:tcW w:w="1266" w:type="dxa"/>
            <w:vAlign w:val="bottom"/>
          </w:tcPr>
          <w:p w:rsidR="00546D49" w:rsidRPr="00546D49" w:rsidRDefault="00546D49" w:rsidP="00862E30">
            <w:pPr>
              <w:spacing w:before="60" w:after="60"/>
              <w:ind w:left="57" w:right="57"/>
              <w:jc w:val="right"/>
              <w:rPr>
                <w:bCs/>
                <w:snapToGrid w:val="0"/>
                <w:sz w:val="18"/>
                <w:szCs w:val="18"/>
              </w:rPr>
            </w:pPr>
            <w:r w:rsidRPr="00546D49">
              <w:rPr>
                <w:bCs/>
                <w:snapToGrid w:val="0"/>
                <w:sz w:val="18"/>
                <w:szCs w:val="18"/>
              </w:rPr>
              <w:t>1</w:t>
            </w:r>
          </w:p>
        </w:tc>
      </w:tr>
      <w:tr w:rsidR="00546D49" w:rsidRPr="00546D49" w:rsidTr="00862E30">
        <w:trPr>
          <w:cantSplit/>
          <w:jc w:val="center"/>
        </w:trPr>
        <w:tc>
          <w:tcPr>
            <w:tcW w:w="2419" w:type="dxa"/>
          </w:tcPr>
          <w:p w:rsidR="00546D49" w:rsidRPr="00546D49" w:rsidRDefault="00546D49" w:rsidP="00862E30">
            <w:pPr>
              <w:spacing w:before="60" w:after="60"/>
              <w:ind w:left="57" w:right="57"/>
              <w:rPr>
                <w:bCs/>
                <w:snapToGrid w:val="0"/>
                <w:sz w:val="18"/>
                <w:szCs w:val="18"/>
              </w:rPr>
            </w:pPr>
            <w:r w:rsidRPr="00546D49">
              <w:rPr>
                <w:sz w:val="18"/>
                <w:szCs w:val="18"/>
              </w:rPr>
              <w:t xml:space="preserve">Dimensions des culots </w:t>
            </w:r>
            <w:r w:rsidR="00862E30">
              <w:rPr>
                <w:sz w:val="18"/>
                <w:szCs w:val="18"/>
              </w:rPr>
              <w:br/>
            </w:r>
            <w:r w:rsidRPr="00546D49">
              <w:rPr>
                <w:sz w:val="18"/>
                <w:szCs w:val="18"/>
              </w:rPr>
              <w:t>et des bases</w:t>
            </w:r>
          </w:p>
        </w:tc>
        <w:tc>
          <w:tcPr>
            <w:tcW w:w="2419" w:type="dxa"/>
          </w:tcPr>
          <w:p w:rsidR="00546D49" w:rsidRPr="00546D49" w:rsidRDefault="00546D49" w:rsidP="00862E30">
            <w:pPr>
              <w:spacing w:before="60" w:after="60"/>
              <w:ind w:left="57" w:right="57"/>
              <w:rPr>
                <w:bCs/>
                <w:snapToGrid w:val="0"/>
                <w:sz w:val="18"/>
                <w:szCs w:val="18"/>
              </w:rPr>
            </w:pPr>
            <w:r w:rsidRPr="00546D49">
              <w:rPr>
                <w:sz w:val="18"/>
                <w:szCs w:val="18"/>
              </w:rPr>
              <w:t>Tous types de la même catégorie</w:t>
            </w:r>
          </w:p>
        </w:tc>
        <w:tc>
          <w:tcPr>
            <w:tcW w:w="1266" w:type="dxa"/>
            <w:vAlign w:val="bottom"/>
          </w:tcPr>
          <w:p w:rsidR="00546D49" w:rsidRPr="00546D49" w:rsidRDefault="00546D49" w:rsidP="00862E30">
            <w:pPr>
              <w:spacing w:before="60" w:after="60"/>
              <w:ind w:left="57" w:right="57"/>
              <w:jc w:val="right"/>
              <w:rPr>
                <w:bCs/>
                <w:snapToGrid w:val="0"/>
                <w:sz w:val="18"/>
                <w:szCs w:val="18"/>
              </w:rPr>
            </w:pPr>
            <w:r w:rsidRPr="00546D49">
              <w:rPr>
                <w:bCs/>
                <w:snapToGrid w:val="0"/>
                <w:sz w:val="18"/>
                <w:szCs w:val="18"/>
              </w:rPr>
              <w:t>200</w:t>
            </w:r>
          </w:p>
        </w:tc>
        <w:tc>
          <w:tcPr>
            <w:tcW w:w="1266" w:type="dxa"/>
            <w:vAlign w:val="bottom"/>
          </w:tcPr>
          <w:p w:rsidR="00546D49" w:rsidRPr="00546D49" w:rsidRDefault="00B5207E" w:rsidP="00862E30">
            <w:pPr>
              <w:spacing w:before="60" w:after="60"/>
              <w:ind w:left="57" w:right="57"/>
              <w:jc w:val="right"/>
              <w:rPr>
                <w:bCs/>
                <w:snapToGrid w:val="0"/>
                <w:sz w:val="18"/>
                <w:szCs w:val="18"/>
              </w:rPr>
            </w:pPr>
            <w:r>
              <w:rPr>
                <w:bCs/>
                <w:snapToGrid w:val="0"/>
                <w:sz w:val="18"/>
                <w:szCs w:val="18"/>
              </w:rPr>
              <w:t>6,</w:t>
            </w:r>
            <w:r w:rsidR="00546D49" w:rsidRPr="00546D49">
              <w:rPr>
                <w:bCs/>
                <w:snapToGrid w:val="0"/>
                <w:sz w:val="18"/>
                <w:szCs w:val="18"/>
              </w:rPr>
              <w:t>5</w:t>
            </w:r>
          </w:p>
        </w:tc>
      </w:tr>
      <w:tr w:rsidR="00546D49" w:rsidRPr="00546D49" w:rsidTr="00862E30">
        <w:trPr>
          <w:cantSplit/>
          <w:jc w:val="center"/>
        </w:trPr>
        <w:tc>
          <w:tcPr>
            <w:tcW w:w="2419" w:type="dxa"/>
          </w:tcPr>
          <w:p w:rsidR="00546D49" w:rsidRPr="00546D49" w:rsidRDefault="00546D49" w:rsidP="00862E30">
            <w:pPr>
              <w:spacing w:before="60" w:after="60"/>
              <w:ind w:left="57" w:right="57"/>
              <w:rPr>
                <w:bCs/>
                <w:snapToGrid w:val="0"/>
                <w:sz w:val="18"/>
                <w:szCs w:val="18"/>
              </w:rPr>
            </w:pPr>
            <w:r w:rsidRPr="00546D49">
              <w:rPr>
                <w:sz w:val="18"/>
                <w:szCs w:val="18"/>
              </w:rPr>
              <w:t>Dimensions relatives à la surface de sortie de la lumière et des éléments intérieurs**</w:t>
            </w:r>
          </w:p>
        </w:tc>
        <w:tc>
          <w:tcPr>
            <w:tcW w:w="2419" w:type="dxa"/>
          </w:tcPr>
          <w:p w:rsidR="00546D49" w:rsidRPr="00546D49" w:rsidRDefault="00546D49" w:rsidP="00EB66AD">
            <w:pPr>
              <w:spacing w:before="60" w:after="60"/>
              <w:ind w:left="57" w:right="57"/>
              <w:rPr>
                <w:bCs/>
                <w:snapToGrid w:val="0"/>
                <w:sz w:val="18"/>
                <w:szCs w:val="18"/>
              </w:rPr>
            </w:pPr>
            <w:r w:rsidRPr="00546D49">
              <w:rPr>
                <w:sz w:val="18"/>
                <w:szCs w:val="18"/>
              </w:rPr>
              <w:t>Toutes lampes du même type</w:t>
            </w:r>
          </w:p>
        </w:tc>
        <w:tc>
          <w:tcPr>
            <w:tcW w:w="1266" w:type="dxa"/>
            <w:vAlign w:val="bottom"/>
          </w:tcPr>
          <w:p w:rsidR="00546D49" w:rsidRPr="00546D49" w:rsidRDefault="00546D49" w:rsidP="00862E30">
            <w:pPr>
              <w:spacing w:before="60" w:after="60"/>
              <w:ind w:left="57" w:right="57"/>
              <w:jc w:val="right"/>
              <w:rPr>
                <w:bCs/>
                <w:snapToGrid w:val="0"/>
                <w:sz w:val="18"/>
                <w:szCs w:val="18"/>
              </w:rPr>
            </w:pPr>
            <w:r w:rsidRPr="00546D49">
              <w:rPr>
                <w:bCs/>
                <w:snapToGrid w:val="0"/>
                <w:sz w:val="18"/>
                <w:szCs w:val="18"/>
              </w:rPr>
              <w:t>200</w:t>
            </w:r>
          </w:p>
        </w:tc>
        <w:tc>
          <w:tcPr>
            <w:tcW w:w="1266" w:type="dxa"/>
            <w:vAlign w:val="bottom"/>
          </w:tcPr>
          <w:p w:rsidR="00546D49" w:rsidRPr="00546D49" w:rsidRDefault="00B5207E" w:rsidP="00862E30">
            <w:pPr>
              <w:spacing w:before="60" w:after="60"/>
              <w:ind w:left="57" w:right="57"/>
              <w:jc w:val="right"/>
              <w:rPr>
                <w:bCs/>
                <w:snapToGrid w:val="0"/>
                <w:sz w:val="18"/>
                <w:szCs w:val="18"/>
              </w:rPr>
            </w:pPr>
            <w:r>
              <w:rPr>
                <w:bCs/>
                <w:snapToGrid w:val="0"/>
                <w:sz w:val="18"/>
                <w:szCs w:val="18"/>
              </w:rPr>
              <w:t>6,</w:t>
            </w:r>
            <w:r w:rsidR="00546D49" w:rsidRPr="00546D49">
              <w:rPr>
                <w:bCs/>
                <w:snapToGrid w:val="0"/>
                <w:sz w:val="18"/>
                <w:szCs w:val="18"/>
              </w:rPr>
              <w:t>5</w:t>
            </w:r>
          </w:p>
        </w:tc>
      </w:tr>
      <w:tr w:rsidR="00546D49" w:rsidRPr="00546D49" w:rsidTr="00862E30">
        <w:trPr>
          <w:cantSplit/>
          <w:jc w:val="center"/>
        </w:trPr>
        <w:tc>
          <w:tcPr>
            <w:tcW w:w="2419" w:type="dxa"/>
          </w:tcPr>
          <w:p w:rsidR="00546D49" w:rsidRPr="00546D49" w:rsidRDefault="00546D49" w:rsidP="00862E30">
            <w:pPr>
              <w:spacing w:before="60" w:after="60"/>
              <w:ind w:left="57" w:right="57"/>
              <w:rPr>
                <w:bCs/>
                <w:snapToGrid w:val="0"/>
                <w:sz w:val="18"/>
                <w:szCs w:val="18"/>
              </w:rPr>
            </w:pPr>
            <w:r w:rsidRPr="00546D49">
              <w:rPr>
                <w:sz w:val="18"/>
                <w:szCs w:val="18"/>
              </w:rPr>
              <w:t>Lectures initiales, puissance, couleur et flux lumineux**</w:t>
            </w:r>
          </w:p>
        </w:tc>
        <w:tc>
          <w:tcPr>
            <w:tcW w:w="2419" w:type="dxa"/>
          </w:tcPr>
          <w:p w:rsidR="00546D49" w:rsidRPr="00546D49" w:rsidRDefault="00546D49" w:rsidP="00EB66AD">
            <w:pPr>
              <w:spacing w:before="60" w:after="60"/>
              <w:ind w:left="57" w:right="57"/>
              <w:rPr>
                <w:bCs/>
                <w:snapToGrid w:val="0"/>
                <w:sz w:val="18"/>
                <w:szCs w:val="18"/>
              </w:rPr>
            </w:pPr>
            <w:r w:rsidRPr="00546D49">
              <w:rPr>
                <w:sz w:val="18"/>
                <w:szCs w:val="18"/>
              </w:rPr>
              <w:t>Toutes lampes du même type</w:t>
            </w:r>
          </w:p>
        </w:tc>
        <w:tc>
          <w:tcPr>
            <w:tcW w:w="1266" w:type="dxa"/>
            <w:vAlign w:val="bottom"/>
          </w:tcPr>
          <w:p w:rsidR="00546D49" w:rsidRPr="00546D49" w:rsidRDefault="00546D49" w:rsidP="00862E30">
            <w:pPr>
              <w:spacing w:before="60" w:after="60"/>
              <w:ind w:left="57" w:right="57"/>
              <w:jc w:val="right"/>
              <w:rPr>
                <w:bCs/>
                <w:snapToGrid w:val="0"/>
                <w:sz w:val="18"/>
                <w:szCs w:val="18"/>
              </w:rPr>
            </w:pPr>
            <w:r w:rsidRPr="00546D49">
              <w:rPr>
                <w:bCs/>
                <w:snapToGrid w:val="0"/>
                <w:sz w:val="18"/>
                <w:szCs w:val="18"/>
              </w:rPr>
              <w:t>200</w:t>
            </w:r>
          </w:p>
        </w:tc>
        <w:tc>
          <w:tcPr>
            <w:tcW w:w="1266" w:type="dxa"/>
            <w:vAlign w:val="bottom"/>
          </w:tcPr>
          <w:p w:rsidR="00546D49" w:rsidRPr="00546D49" w:rsidRDefault="00546D49" w:rsidP="00862E30">
            <w:pPr>
              <w:spacing w:before="60" w:after="60"/>
              <w:ind w:left="57" w:right="57"/>
              <w:jc w:val="right"/>
              <w:rPr>
                <w:bCs/>
                <w:snapToGrid w:val="0"/>
                <w:sz w:val="18"/>
                <w:szCs w:val="18"/>
              </w:rPr>
            </w:pPr>
            <w:r w:rsidRPr="00546D49">
              <w:rPr>
                <w:bCs/>
                <w:snapToGrid w:val="0"/>
                <w:sz w:val="18"/>
                <w:szCs w:val="18"/>
              </w:rPr>
              <w:t>1</w:t>
            </w:r>
          </w:p>
        </w:tc>
      </w:tr>
      <w:tr w:rsidR="00546D49" w:rsidRPr="00546D49" w:rsidTr="00862E30">
        <w:trPr>
          <w:cantSplit/>
          <w:jc w:val="center"/>
        </w:trPr>
        <w:tc>
          <w:tcPr>
            <w:tcW w:w="2419" w:type="dxa"/>
            <w:tcBorders>
              <w:bottom w:val="single" w:sz="4" w:space="0" w:color="auto"/>
            </w:tcBorders>
          </w:tcPr>
          <w:p w:rsidR="00546D49" w:rsidRPr="00546D49" w:rsidRDefault="00546D49" w:rsidP="00862E30">
            <w:pPr>
              <w:spacing w:before="60" w:after="60"/>
              <w:ind w:left="57" w:right="57"/>
              <w:rPr>
                <w:bCs/>
                <w:sz w:val="18"/>
                <w:szCs w:val="18"/>
              </w:rPr>
            </w:pPr>
            <w:r w:rsidRPr="00546D49">
              <w:rPr>
                <w:sz w:val="18"/>
                <w:szCs w:val="18"/>
              </w:rPr>
              <w:t>Répartition normalisée de l’intensité lumineuse</w:t>
            </w:r>
          </w:p>
        </w:tc>
        <w:tc>
          <w:tcPr>
            <w:tcW w:w="2419" w:type="dxa"/>
            <w:tcBorders>
              <w:bottom w:val="single" w:sz="4" w:space="0" w:color="auto"/>
            </w:tcBorders>
          </w:tcPr>
          <w:p w:rsidR="00546D49" w:rsidRPr="00546D49" w:rsidRDefault="00546D49" w:rsidP="00EB66AD">
            <w:pPr>
              <w:spacing w:before="60" w:after="60"/>
              <w:ind w:left="57" w:right="57"/>
              <w:rPr>
                <w:bCs/>
                <w:sz w:val="18"/>
                <w:szCs w:val="18"/>
              </w:rPr>
            </w:pPr>
            <w:r w:rsidRPr="00546D49">
              <w:rPr>
                <w:sz w:val="18"/>
                <w:szCs w:val="18"/>
              </w:rPr>
              <w:t>Toutes lampes du même type</w:t>
            </w:r>
          </w:p>
        </w:tc>
        <w:tc>
          <w:tcPr>
            <w:tcW w:w="1266" w:type="dxa"/>
            <w:tcBorders>
              <w:bottom w:val="single" w:sz="4" w:space="0" w:color="auto"/>
            </w:tcBorders>
            <w:vAlign w:val="bottom"/>
          </w:tcPr>
          <w:p w:rsidR="00546D49" w:rsidRPr="00546D49" w:rsidRDefault="00546D49" w:rsidP="00862E30">
            <w:pPr>
              <w:spacing w:before="60" w:after="60"/>
              <w:ind w:left="57" w:right="57"/>
              <w:jc w:val="right"/>
              <w:rPr>
                <w:bCs/>
                <w:sz w:val="18"/>
                <w:szCs w:val="18"/>
              </w:rPr>
            </w:pPr>
            <w:r w:rsidRPr="00546D49">
              <w:rPr>
                <w:bCs/>
                <w:sz w:val="18"/>
                <w:szCs w:val="18"/>
              </w:rPr>
              <w:t>20</w:t>
            </w:r>
          </w:p>
        </w:tc>
        <w:tc>
          <w:tcPr>
            <w:tcW w:w="1266" w:type="dxa"/>
            <w:tcBorders>
              <w:bottom w:val="single" w:sz="4" w:space="0" w:color="auto"/>
            </w:tcBorders>
            <w:vAlign w:val="bottom"/>
          </w:tcPr>
          <w:p w:rsidR="00546D49" w:rsidRPr="00546D49" w:rsidRDefault="00B5207E" w:rsidP="00862E30">
            <w:pPr>
              <w:spacing w:before="60" w:after="60"/>
              <w:ind w:left="57" w:right="57"/>
              <w:jc w:val="right"/>
              <w:rPr>
                <w:bCs/>
                <w:sz w:val="18"/>
                <w:szCs w:val="18"/>
              </w:rPr>
            </w:pPr>
            <w:r>
              <w:rPr>
                <w:bCs/>
                <w:sz w:val="18"/>
                <w:szCs w:val="18"/>
              </w:rPr>
              <w:t>6,</w:t>
            </w:r>
            <w:r w:rsidR="00546D49" w:rsidRPr="00546D49">
              <w:rPr>
                <w:bCs/>
                <w:sz w:val="18"/>
                <w:szCs w:val="18"/>
              </w:rPr>
              <w:t>5</w:t>
            </w:r>
          </w:p>
        </w:tc>
      </w:tr>
      <w:tr w:rsidR="00546D49" w:rsidRPr="00546D49" w:rsidTr="00940C45">
        <w:trPr>
          <w:cantSplit/>
          <w:jc w:val="center"/>
        </w:trPr>
        <w:tc>
          <w:tcPr>
            <w:tcW w:w="2419" w:type="dxa"/>
            <w:tcBorders>
              <w:bottom w:val="single" w:sz="12" w:space="0" w:color="auto"/>
            </w:tcBorders>
          </w:tcPr>
          <w:p w:rsidR="00546D49" w:rsidRPr="00546D49" w:rsidRDefault="00546D49" w:rsidP="00940C45">
            <w:pPr>
              <w:spacing w:before="80" w:after="80"/>
              <w:ind w:left="57" w:right="57"/>
              <w:rPr>
                <w:b/>
                <w:bCs/>
                <w:sz w:val="18"/>
                <w:szCs w:val="18"/>
              </w:rPr>
            </w:pPr>
            <w:r w:rsidRPr="00546D49">
              <w:rPr>
                <w:b/>
                <w:bCs/>
                <w:sz w:val="18"/>
                <w:szCs w:val="18"/>
              </w:rPr>
              <w:t>Courant électrique***</w:t>
            </w:r>
          </w:p>
        </w:tc>
        <w:tc>
          <w:tcPr>
            <w:tcW w:w="2419" w:type="dxa"/>
            <w:tcBorders>
              <w:bottom w:val="single" w:sz="12" w:space="0" w:color="auto"/>
            </w:tcBorders>
          </w:tcPr>
          <w:p w:rsidR="00546D49" w:rsidRPr="00546D49" w:rsidRDefault="00546D49" w:rsidP="00940C45">
            <w:pPr>
              <w:spacing w:before="80" w:after="80"/>
              <w:ind w:left="57" w:right="57"/>
              <w:rPr>
                <w:b/>
                <w:bCs/>
                <w:sz w:val="18"/>
                <w:szCs w:val="18"/>
              </w:rPr>
            </w:pPr>
            <w:r w:rsidRPr="00546D49">
              <w:rPr>
                <w:b/>
                <w:sz w:val="18"/>
                <w:szCs w:val="18"/>
              </w:rPr>
              <w:t>Toutes lampes du même type</w:t>
            </w:r>
          </w:p>
        </w:tc>
        <w:tc>
          <w:tcPr>
            <w:tcW w:w="1266" w:type="dxa"/>
            <w:tcBorders>
              <w:bottom w:val="single" w:sz="12" w:space="0" w:color="auto"/>
            </w:tcBorders>
            <w:vAlign w:val="bottom"/>
          </w:tcPr>
          <w:p w:rsidR="00546D49" w:rsidRPr="00546D49" w:rsidRDefault="00546D49" w:rsidP="00940C45">
            <w:pPr>
              <w:spacing w:before="80" w:after="80"/>
              <w:ind w:left="57" w:right="57"/>
              <w:jc w:val="right"/>
              <w:rPr>
                <w:b/>
                <w:bCs/>
                <w:sz w:val="18"/>
                <w:szCs w:val="18"/>
              </w:rPr>
            </w:pPr>
            <w:r w:rsidRPr="00546D49">
              <w:rPr>
                <w:b/>
                <w:bCs/>
                <w:sz w:val="18"/>
                <w:szCs w:val="18"/>
              </w:rPr>
              <w:t>20</w:t>
            </w:r>
          </w:p>
        </w:tc>
        <w:tc>
          <w:tcPr>
            <w:tcW w:w="1266" w:type="dxa"/>
            <w:tcBorders>
              <w:bottom w:val="single" w:sz="12" w:space="0" w:color="auto"/>
            </w:tcBorders>
            <w:vAlign w:val="bottom"/>
          </w:tcPr>
          <w:p w:rsidR="00546D49" w:rsidRPr="00546D49" w:rsidRDefault="00546D49" w:rsidP="00940C45">
            <w:pPr>
              <w:spacing w:before="80" w:after="80"/>
              <w:ind w:left="57" w:right="57"/>
              <w:jc w:val="right"/>
              <w:rPr>
                <w:b/>
                <w:bCs/>
                <w:sz w:val="18"/>
                <w:szCs w:val="18"/>
              </w:rPr>
            </w:pPr>
            <w:r w:rsidRPr="00546D49">
              <w:rPr>
                <w:b/>
                <w:bCs/>
                <w:sz w:val="18"/>
                <w:szCs w:val="18"/>
              </w:rPr>
              <w:t>1</w:t>
            </w:r>
          </w:p>
        </w:tc>
      </w:tr>
    </w:tbl>
    <w:p w:rsidR="00546D49" w:rsidRPr="00862E30" w:rsidRDefault="00777A77" w:rsidP="00862E30">
      <w:pPr>
        <w:pStyle w:val="SingleTxtG"/>
        <w:spacing w:before="120" w:after="0"/>
        <w:ind w:firstLine="170"/>
        <w:rPr>
          <w:sz w:val="18"/>
          <w:szCs w:val="18"/>
        </w:rPr>
      </w:pPr>
      <w:r>
        <w:rPr>
          <w:sz w:val="18"/>
          <w:szCs w:val="18"/>
        </w:rPr>
        <w:t xml:space="preserve">*  </w:t>
      </w:r>
      <w:r w:rsidR="00546D49" w:rsidRPr="00862E30">
        <w:rPr>
          <w:sz w:val="18"/>
          <w:szCs w:val="18"/>
        </w:rPr>
        <w:t xml:space="preserve">L’évaluation porte en général sur des sources lumineuses à DEL de série provenant de diverses usines. Un fabricant peut regrouper les procès-verbaux concernant le même type de sources </w:t>
      </w:r>
      <w:r w:rsidR="00546D49" w:rsidRPr="00862E30">
        <w:rPr>
          <w:sz w:val="18"/>
          <w:szCs w:val="18"/>
        </w:rPr>
        <w:lastRenderedPageBreak/>
        <w:t>lumineuses provenant de plusieurs usines, à condition qu’y soient mis en œuvre le même système de qualité et la même gestion de la qualité.</w:t>
      </w:r>
    </w:p>
    <w:p w:rsidR="00546D49" w:rsidRPr="00862E30" w:rsidRDefault="00862E30" w:rsidP="00862E30">
      <w:pPr>
        <w:pStyle w:val="SingleTxtG"/>
        <w:spacing w:after="0"/>
        <w:ind w:firstLine="170"/>
        <w:rPr>
          <w:sz w:val="18"/>
          <w:szCs w:val="18"/>
        </w:rPr>
      </w:pPr>
      <w:r>
        <w:rPr>
          <w:sz w:val="18"/>
          <w:szCs w:val="18"/>
        </w:rPr>
        <w:t xml:space="preserve">**  </w:t>
      </w:r>
      <w:r w:rsidR="00546D49" w:rsidRPr="00862E30">
        <w:rPr>
          <w:sz w:val="18"/>
          <w:szCs w:val="18"/>
        </w:rPr>
        <w:t>Lorsqu’une source lumineuse à DEL possède plus d’une fonction de production de lumière, le groupe de caractéristiques (dimensions, puissance, couleur et flux lumineux) s’applique séparément à chaque élément.</w:t>
      </w:r>
    </w:p>
    <w:p w:rsidR="00546D49" w:rsidRPr="00862E30" w:rsidRDefault="00862E30" w:rsidP="00862E30">
      <w:pPr>
        <w:pStyle w:val="SingleTxtG"/>
        <w:spacing w:after="0"/>
        <w:ind w:firstLine="170"/>
        <w:rPr>
          <w:i/>
          <w:sz w:val="18"/>
          <w:szCs w:val="18"/>
        </w:rPr>
      </w:pPr>
      <w:r w:rsidRPr="00862E30">
        <w:rPr>
          <w:b/>
          <w:sz w:val="18"/>
          <w:szCs w:val="18"/>
        </w:rPr>
        <w:t>***</w:t>
      </w:r>
      <w:r>
        <w:rPr>
          <w:b/>
          <w:sz w:val="18"/>
          <w:szCs w:val="18"/>
        </w:rPr>
        <w:t xml:space="preserve">  </w:t>
      </w:r>
      <w:r w:rsidR="00546D49" w:rsidRPr="00862E30">
        <w:rPr>
          <w:b/>
          <w:sz w:val="18"/>
          <w:szCs w:val="18"/>
        </w:rPr>
        <w:t>Sources lumineuses à DEL de substitution uniquement</w:t>
      </w:r>
      <w:r>
        <w:rPr>
          <w:sz w:val="18"/>
          <w:szCs w:val="18"/>
        </w:rPr>
        <w:t> </w:t>
      </w:r>
      <w:r w:rsidR="00546D49" w:rsidRPr="00862E30">
        <w:rPr>
          <w:sz w:val="18"/>
          <w:szCs w:val="18"/>
        </w:rPr>
        <w:t>».</w:t>
      </w:r>
    </w:p>
    <w:p w:rsidR="00546D49" w:rsidRPr="00546D49" w:rsidRDefault="00546D49" w:rsidP="00862E30">
      <w:pPr>
        <w:pStyle w:val="HChG"/>
      </w:pPr>
      <w:r w:rsidRPr="00546D49">
        <w:tab/>
        <w:t>II.</w:t>
      </w:r>
      <w:r w:rsidRPr="00546D49">
        <w:tab/>
        <w:t>Justification</w:t>
      </w:r>
    </w:p>
    <w:p w:rsidR="00546D49" w:rsidRPr="00546D49" w:rsidRDefault="00546D49" w:rsidP="00546D49">
      <w:pPr>
        <w:pStyle w:val="SingleTxtG"/>
        <w:rPr>
          <w:bCs/>
        </w:rPr>
      </w:pPr>
      <w:r w:rsidRPr="00546D49">
        <w:rPr>
          <w:bCs/>
        </w:rPr>
        <w:t>1.</w:t>
      </w:r>
      <w:r w:rsidRPr="00546D49">
        <w:rPr>
          <w:bCs/>
        </w:rPr>
        <w:tab/>
        <w:t xml:space="preserve">Un nombre croissant de </w:t>
      </w:r>
      <w:r w:rsidRPr="00546D49">
        <w:t>sources lumineuses à DEL</w:t>
      </w:r>
      <w:r w:rsidR="00862E30">
        <w:t xml:space="preserve"> </w:t>
      </w:r>
      <w:r w:rsidRPr="00546D49">
        <w:t>améliorées sont commercialisées et vendues</w:t>
      </w:r>
      <w:r w:rsidR="00862E30">
        <w:t xml:space="preserve"> </w:t>
      </w:r>
      <w:r w:rsidRPr="00546D49">
        <w:t>pour remplacer des sources lumineuses homologuées</w:t>
      </w:r>
      <w:r w:rsidRPr="00546D49">
        <w:rPr>
          <w:bCs/>
        </w:rPr>
        <w:t>. Le public est encouragé par les gouvernements à utiliser des sources d’éclairage efficaces telles que les lampes à DEL et s’habitue déjà aux lampes à DEL non d’origine</w:t>
      </w:r>
      <w:r w:rsidR="00862E30">
        <w:rPr>
          <w:bCs/>
        </w:rPr>
        <w:t xml:space="preserve"> </w:t>
      </w:r>
      <w:r w:rsidRPr="00546D49">
        <w:rPr>
          <w:bCs/>
        </w:rPr>
        <w:t xml:space="preserve">en matière </w:t>
      </w:r>
      <w:r w:rsidRPr="00546D49">
        <w:t>d’applications d’éclairage générales</w:t>
      </w:r>
      <w:r w:rsidRPr="00546D49">
        <w:rPr>
          <w:bCs/>
        </w:rPr>
        <w:t xml:space="preserve">. </w:t>
      </w:r>
      <w:r w:rsidR="00FE663A" w:rsidRPr="00546D49">
        <w:rPr>
          <w:bCs/>
        </w:rPr>
        <w:t>Toutefois, il n’est pas conscient du fait que les lampes</w:t>
      </w:r>
      <w:r w:rsidR="00FE663A">
        <w:rPr>
          <w:bCs/>
        </w:rPr>
        <w:t xml:space="preserve"> </w:t>
      </w:r>
      <w:r w:rsidR="00FE663A" w:rsidRPr="00546D49">
        <w:rPr>
          <w:bCs/>
        </w:rPr>
        <w:t>à DEL non d’origine utilisé</w:t>
      </w:r>
      <w:r w:rsidR="00FE663A">
        <w:rPr>
          <w:bCs/>
        </w:rPr>
        <w:t>e</w:t>
      </w:r>
      <w:r w:rsidR="00FE663A" w:rsidRPr="00546D49">
        <w:rPr>
          <w:bCs/>
        </w:rPr>
        <w:t>s dans les feux extérieurs des véhicules automobiles peuvent présenter un risque pour la sécurité.</w:t>
      </w:r>
      <w:r w:rsidR="00FE663A">
        <w:rPr>
          <w:bCs/>
        </w:rPr>
        <w:t xml:space="preserve"> </w:t>
      </w:r>
      <w:r w:rsidRPr="00546D49">
        <w:rPr>
          <w:bCs/>
        </w:rPr>
        <w:t>Le public</w:t>
      </w:r>
      <w:r w:rsidR="00862E30">
        <w:rPr>
          <w:bCs/>
        </w:rPr>
        <w:t xml:space="preserve"> </w:t>
      </w:r>
      <w:r w:rsidRPr="00546D49">
        <w:rPr>
          <w:bCs/>
        </w:rPr>
        <w:t>ne sait pas non plus</w:t>
      </w:r>
      <w:r w:rsidR="00862E30">
        <w:rPr>
          <w:bCs/>
        </w:rPr>
        <w:t xml:space="preserve"> </w:t>
      </w:r>
      <w:r w:rsidRPr="00546D49">
        <w:rPr>
          <w:bCs/>
        </w:rPr>
        <w:t>que ces</w:t>
      </w:r>
      <w:r w:rsidR="00862E30">
        <w:rPr>
          <w:bCs/>
        </w:rPr>
        <w:t xml:space="preserve"> </w:t>
      </w:r>
      <w:r w:rsidRPr="00546D49">
        <w:rPr>
          <w:bCs/>
        </w:rPr>
        <w:t>DEL non d’origine ne sont pas autorisés par de nombreux pays.</w:t>
      </w:r>
      <w:r w:rsidR="00862E30">
        <w:rPr>
          <w:bCs/>
        </w:rPr>
        <w:t xml:space="preserve"> </w:t>
      </w:r>
    </w:p>
    <w:p w:rsidR="00546D49" w:rsidRPr="00546D49" w:rsidRDefault="00546D49" w:rsidP="00546D49">
      <w:pPr>
        <w:pStyle w:val="SingleTxtG"/>
        <w:rPr>
          <w:bCs/>
        </w:rPr>
      </w:pPr>
      <w:r w:rsidRPr="00546D49">
        <w:rPr>
          <w:bCs/>
        </w:rPr>
        <w:t>2.</w:t>
      </w:r>
      <w:r w:rsidRPr="00546D49">
        <w:rPr>
          <w:bCs/>
        </w:rPr>
        <w:tab/>
        <w:t>Le GTB a mené une étude de faisabilité des sources lumineuses à DEL non d’origine. Il en</w:t>
      </w:r>
      <w:r w:rsidR="00862E30">
        <w:rPr>
          <w:bCs/>
        </w:rPr>
        <w:t xml:space="preserve"> </w:t>
      </w:r>
      <w:r w:rsidRPr="00546D49">
        <w:rPr>
          <w:bCs/>
        </w:rPr>
        <w:t>ressort que, si les aspects photométriques peuvent être</w:t>
      </w:r>
      <w:r w:rsidR="00862E30">
        <w:rPr>
          <w:bCs/>
        </w:rPr>
        <w:t xml:space="preserve"> </w:t>
      </w:r>
      <w:r w:rsidRPr="00546D49">
        <w:rPr>
          <w:bCs/>
        </w:rPr>
        <w:t>jugés conformes, les configurations des circuits électriques et des logiciels des véhicules en usage ne sont pas normalisées. En outre, l’installation est soumise à la législation nationale. Le GRE a été informé de l’état d’avancement de cette étude de faisabilité (GRE-69-41, GRE-70-47, GRE-72-27 et GRE-73-24).</w:t>
      </w:r>
    </w:p>
    <w:p w:rsidR="00546D49" w:rsidRPr="00546D49" w:rsidRDefault="00FE663A" w:rsidP="00546D49">
      <w:pPr>
        <w:pStyle w:val="SingleTxtG"/>
        <w:rPr>
          <w:bCs/>
        </w:rPr>
      </w:pPr>
      <w:r w:rsidRPr="00546D49">
        <w:rPr>
          <w:bCs/>
        </w:rPr>
        <w:t>3.</w:t>
      </w:r>
      <w:r w:rsidRPr="00546D49">
        <w:rPr>
          <w:bCs/>
        </w:rPr>
        <w:tab/>
        <w:t>En conséquence, le GTB</w:t>
      </w:r>
      <w:r>
        <w:rPr>
          <w:bCs/>
        </w:rPr>
        <w:t xml:space="preserve"> </w:t>
      </w:r>
      <w:r w:rsidRPr="00546D49">
        <w:rPr>
          <w:bCs/>
        </w:rPr>
        <w:t>a cessé de s’intéresser aux sources lumineuses à DEL non d’origine destinées à être installées dans des feux automobiles n’ayant pas été</w:t>
      </w:r>
      <w:r>
        <w:rPr>
          <w:bCs/>
        </w:rPr>
        <w:t xml:space="preserve"> </w:t>
      </w:r>
      <w:r w:rsidRPr="00546D49">
        <w:rPr>
          <w:bCs/>
        </w:rPr>
        <w:t xml:space="preserve">homologués à l’origine </w:t>
      </w:r>
      <w:r>
        <w:rPr>
          <w:bCs/>
        </w:rPr>
        <w:t>pour ces sources</w:t>
      </w:r>
      <w:r w:rsidRPr="00546D49">
        <w:rPr>
          <w:bCs/>
        </w:rPr>
        <w:t>.</w:t>
      </w:r>
      <w:r>
        <w:rPr>
          <w:bCs/>
        </w:rPr>
        <w:t xml:space="preserve"> </w:t>
      </w:r>
      <w:r w:rsidR="00546D49" w:rsidRPr="00546D49">
        <w:rPr>
          <w:bCs/>
        </w:rPr>
        <w:t>Il a préféré se consacrer aux</w:t>
      </w:r>
      <w:r w:rsidR="00862E30">
        <w:rPr>
          <w:bCs/>
        </w:rPr>
        <w:t xml:space="preserve"> </w:t>
      </w:r>
      <w:r w:rsidR="00546D49" w:rsidRPr="00546D49">
        <w:rPr>
          <w:bCs/>
        </w:rPr>
        <w:t>sources lumineuses à DEL de substitution destinées à être utilisées dans des phares ho</w:t>
      </w:r>
      <w:r>
        <w:rPr>
          <w:bCs/>
        </w:rPr>
        <w:t>mologués pour de telles sources</w:t>
      </w:r>
      <w:r w:rsidR="00546D49" w:rsidRPr="00546D49">
        <w:rPr>
          <w:bCs/>
        </w:rPr>
        <w:t xml:space="preserve">. </w:t>
      </w:r>
    </w:p>
    <w:p w:rsidR="00546D49" w:rsidRPr="00546D49" w:rsidRDefault="00546D49" w:rsidP="00546D49">
      <w:pPr>
        <w:pStyle w:val="SingleTxtG"/>
        <w:rPr>
          <w:bCs/>
        </w:rPr>
      </w:pPr>
      <w:r w:rsidRPr="00546D49">
        <w:rPr>
          <w:bCs/>
        </w:rPr>
        <w:t>4.</w:t>
      </w:r>
      <w:r w:rsidRPr="00546D49">
        <w:rPr>
          <w:bCs/>
        </w:rPr>
        <w:tab/>
        <w:t>Une proposition a été formulée</w:t>
      </w:r>
      <w:r w:rsidR="00862E30">
        <w:rPr>
          <w:bCs/>
        </w:rPr>
        <w:t xml:space="preserve"> </w:t>
      </w:r>
      <w:r w:rsidRPr="00546D49">
        <w:rPr>
          <w:bCs/>
        </w:rPr>
        <w:t>pour que des lampes</w:t>
      </w:r>
      <w:r w:rsidR="00862E30">
        <w:rPr>
          <w:bCs/>
        </w:rPr>
        <w:t xml:space="preserve"> </w:t>
      </w:r>
      <w:r w:rsidRPr="00546D49">
        <w:rPr>
          <w:bCs/>
        </w:rPr>
        <w:t xml:space="preserve">puissent être homologuées pour une source lumineuse </w:t>
      </w:r>
      <w:r w:rsidRPr="00546D49">
        <w:t>à incandescence</w:t>
      </w:r>
      <w:r w:rsidR="00862E30">
        <w:t xml:space="preserve"> </w:t>
      </w:r>
      <w:r w:rsidRPr="00546D49">
        <w:rPr>
          <w:bCs/>
        </w:rPr>
        <w:t>et</w:t>
      </w:r>
      <w:r w:rsidR="00862E30">
        <w:rPr>
          <w:bCs/>
        </w:rPr>
        <w:t xml:space="preserve"> </w:t>
      </w:r>
      <w:r w:rsidRPr="00546D49">
        <w:rPr>
          <w:bCs/>
        </w:rPr>
        <w:t>la source lumineuse à DEL de substitution correspondante</w:t>
      </w:r>
      <w:r w:rsidR="00862E30">
        <w:rPr>
          <w:bCs/>
        </w:rPr>
        <w:t xml:space="preserve"> </w:t>
      </w:r>
      <w:r w:rsidRPr="00546D49">
        <w:rPr>
          <w:bCs/>
        </w:rPr>
        <w:t>insérées dans le même habitacle et offrant une performance photométrique équivalente.</w:t>
      </w:r>
      <w:r w:rsidR="00862E30">
        <w:rPr>
          <w:bCs/>
        </w:rPr>
        <w:t xml:space="preserve"> </w:t>
      </w:r>
      <w:r w:rsidRPr="00546D49">
        <w:rPr>
          <w:bCs/>
        </w:rPr>
        <w:t xml:space="preserve"> Les feux</w:t>
      </w:r>
      <w:r w:rsidR="00862E30">
        <w:rPr>
          <w:bCs/>
        </w:rPr>
        <w:t xml:space="preserve"> </w:t>
      </w:r>
      <w:r w:rsidRPr="00546D49">
        <w:rPr>
          <w:bCs/>
        </w:rPr>
        <w:t>équipés</w:t>
      </w:r>
      <w:r w:rsidR="00862E30">
        <w:rPr>
          <w:bCs/>
        </w:rPr>
        <w:t xml:space="preserve"> </w:t>
      </w:r>
      <w:r w:rsidRPr="00546D49">
        <w:rPr>
          <w:bCs/>
        </w:rPr>
        <w:t>de ces sources lumineuses à DEL de substitution doivent être soumis à des essais</w:t>
      </w:r>
      <w:r w:rsidR="00862E30">
        <w:rPr>
          <w:bCs/>
        </w:rPr>
        <w:t xml:space="preserve"> </w:t>
      </w:r>
      <w:r w:rsidRPr="00546D49">
        <w:rPr>
          <w:bCs/>
        </w:rPr>
        <w:t>tant avec la lampe à incandescence</w:t>
      </w:r>
      <w:r w:rsidR="00862E30">
        <w:rPr>
          <w:bCs/>
        </w:rPr>
        <w:t xml:space="preserve"> </w:t>
      </w:r>
      <w:r w:rsidRPr="00546D49">
        <w:rPr>
          <w:bCs/>
        </w:rPr>
        <w:t>qu’avec la source lumineuse à DEL de substitution. Les véhicules qui en sont équipés</w:t>
      </w:r>
      <w:r w:rsidR="00862E30">
        <w:rPr>
          <w:bCs/>
        </w:rPr>
        <w:t xml:space="preserve"> </w:t>
      </w:r>
      <w:r w:rsidRPr="00546D49">
        <w:rPr>
          <w:bCs/>
        </w:rPr>
        <w:t>doivent être déclarés aptes à l’installation de tels feux, en particulier au regard des systèmes de détection des défaillances.</w:t>
      </w:r>
    </w:p>
    <w:p w:rsidR="00546D49" w:rsidRPr="00546D49" w:rsidRDefault="00546D49" w:rsidP="00FE663A">
      <w:pPr>
        <w:pStyle w:val="SingleTxtG"/>
        <w:keepNext/>
        <w:keepLines/>
        <w:rPr>
          <w:bCs/>
        </w:rPr>
      </w:pPr>
      <w:r w:rsidRPr="00546D49">
        <w:rPr>
          <w:bCs/>
        </w:rPr>
        <w:t>5.</w:t>
      </w:r>
      <w:r w:rsidRPr="00546D49">
        <w:rPr>
          <w:bCs/>
        </w:rPr>
        <w:tab/>
        <w:t>La présente proposition comprend</w:t>
      </w:r>
      <w:r w:rsidR="00FE663A">
        <w:rPr>
          <w:bCs/>
        </w:rPr>
        <w:t> :</w:t>
      </w:r>
    </w:p>
    <w:p w:rsidR="00546D49" w:rsidRPr="00546D49" w:rsidRDefault="00546D49" w:rsidP="00FE663A">
      <w:pPr>
        <w:pStyle w:val="Bullet1G"/>
      </w:pPr>
      <w:r w:rsidRPr="00546D49">
        <w:t xml:space="preserve">Une proposition visant à introduire des dispositions dans le Règlement </w:t>
      </w:r>
      <w:r w:rsidR="00FE663A" w:rsidRPr="002D76F4">
        <w:rPr>
          <w:rFonts w:eastAsia="MS Mincho"/>
          <w:szCs w:val="22"/>
        </w:rPr>
        <w:t>n</w:t>
      </w:r>
      <w:r w:rsidR="00FE663A" w:rsidRPr="002D76F4">
        <w:rPr>
          <w:rFonts w:eastAsia="MS Mincho"/>
          <w:szCs w:val="22"/>
          <w:vertAlign w:val="superscript"/>
        </w:rPr>
        <w:t>o</w:t>
      </w:r>
      <w:r w:rsidR="00FE663A">
        <w:t> 128 ;</w:t>
      </w:r>
    </w:p>
    <w:p w:rsidR="00546D49" w:rsidRPr="00546D49" w:rsidRDefault="00546D49" w:rsidP="00FE663A">
      <w:pPr>
        <w:pStyle w:val="Bullet1G"/>
      </w:pPr>
      <w:r w:rsidRPr="00546D49">
        <w:t>Une proposition visant à mettre en place</w:t>
      </w:r>
      <w:r w:rsidR="00862E30">
        <w:t xml:space="preserve"> </w:t>
      </w:r>
      <w:r w:rsidRPr="00546D49">
        <w:t xml:space="preserve">de nouvelles spécifications de catégories C5W/LED, PY21W/LED et R5W/LED fondées sur la technologie DEL dans la Résolution d’ensemble </w:t>
      </w:r>
      <w:r w:rsidR="00FE663A">
        <w:t>(R.E.5) ;</w:t>
      </w:r>
    </w:p>
    <w:p w:rsidR="00546D49" w:rsidRPr="00546D49" w:rsidRDefault="00546D49" w:rsidP="00FE663A">
      <w:pPr>
        <w:pStyle w:val="Bullet1G"/>
      </w:pPr>
      <w:r w:rsidRPr="00546D49">
        <w:t xml:space="preserve">Des critères d’équivalence pour servir de guide aux feuilles de spécifications des catégories de source lumineuse à DEL de substitution. </w:t>
      </w:r>
      <w:r w:rsidR="00FE663A" w:rsidRPr="00546D49">
        <w:t xml:space="preserve">Ces lignes directrices sont destinées à être publiées, avec l’accord du GRE, sur le site Web du </w:t>
      </w:r>
      <w:r w:rsidR="00FE663A">
        <w:t>Groupe de travail,</w:t>
      </w:r>
      <w:r w:rsidR="00FE663A" w:rsidRPr="00546D49">
        <w:t xml:space="preserve"> sous la rubrique «</w:t>
      </w:r>
      <w:r w:rsidR="00940C45">
        <w:t> </w:t>
      </w:r>
      <w:r w:rsidR="00FE663A" w:rsidRPr="00546D49">
        <w:t>documents de référence</w:t>
      </w:r>
      <w:r w:rsidR="00940C45">
        <w:t> </w:t>
      </w:r>
      <w:r w:rsidR="00FE663A" w:rsidRPr="00546D49">
        <w:t>», de la même manière que les critères des nouvelles sources lumineuses</w:t>
      </w:r>
      <w:r w:rsidR="00FE663A">
        <w:t xml:space="preserve"> </w:t>
      </w:r>
      <w:r w:rsidR="00FE663A" w:rsidRPr="00546D49">
        <w:t xml:space="preserve">à incandescence pour les projecteurs (GRE-77-04). </w:t>
      </w:r>
      <w:r w:rsidRPr="00546D49">
        <w:t xml:space="preserve">En outre, ces critères sont élaborés pour figurer dans la </w:t>
      </w:r>
      <w:r w:rsidR="00FE663A">
        <w:t>publication IEC 60810 ;</w:t>
      </w:r>
    </w:p>
    <w:p w:rsidR="00546D49" w:rsidRPr="00546D49" w:rsidRDefault="00546D49" w:rsidP="00FE663A">
      <w:pPr>
        <w:pStyle w:val="Bullet1G"/>
      </w:pPr>
      <w:r w:rsidRPr="00546D49">
        <w:lastRenderedPageBreak/>
        <w:t>Des rapports d’équivalence pour les nouvelles catégories C5W/LED, PY21W/LED et R5W/LED de la technologie LED (GRE-77-02).</w:t>
      </w:r>
    </w:p>
    <w:p w:rsidR="00546D49" w:rsidRPr="00546D49" w:rsidRDefault="00546D49" w:rsidP="00FE663A">
      <w:pPr>
        <w:pStyle w:val="SingleTxtG"/>
        <w:keepNext/>
        <w:keepLines/>
        <w:rPr>
          <w:bCs/>
        </w:rPr>
      </w:pPr>
      <w:r w:rsidRPr="00546D49">
        <w:rPr>
          <w:bCs/>
        </w:rPr>
        <w:t>6.</w:t>
      </w:r>
      <w:r w:rsidRPr="00546D49">
        <w:rPr>
          <w:bCs/>
        </w:rPr>
        <w:tab/>
        <w:t>Explications techniques:</w:t>
      </w:r>
    </w:p>
    <w:p w:rsidR="00546D49" w:rsidRPr="00546D49" w:rsidRDefault="00546D49" w:rsidP="00FE663A">
      <w:pPr>
        <w:pStyle w:val="SingleTxtG"/>
        <w:ind w:firstLine="567"/>
        <w:rPr>
          <w:bCs/>
        </w:rPr>
      </w:pPr>
      <w:r w:rsidRPr="00546D49">
        <w:rPr>
          <w:bCs/>
        </w:rPr>
        <w:t>a)</w:t>
      </w:r>
      <w:r w:rsidRPr="00546D49">
        <w:rPr>
          <w:bCs/>
        </w:rPr>
        <w:tab/>
        <w:t>Une distinction est faite</w:t>
      </w:r>
      <w:r w:rsidR="00862E30">
        <w:rPr>
          <w:bCs/>
        </w:rPr>
        <w:t xml:space="preserve"> </w:t>
      </w:r>
      <w:r w:rsidRPr="00546D49">
        <w:rPr>
          <w:bCs/>
        </w:rPr>
        <w:t>entre les types selon que la</w:t>
      </w:r>
      <w:r w:rsidR="00862E30">
        <w:rPr>
          <w:bCs/>
        </w:rPr>
        <w:t xml:space="preserve"> </w:t>
      </w:r>
      <w:r w:rsidRPr="00546D49">
        <w:rPr>
          <w:bCs/>
        </w:rPr>
        <w:t>température de couleur proximale est supérieure ou inférieure à 3</w:t>
      </w:r>
      <w:r w:rsidR="00FE663A">
        <w:rPr>
          <w:bCs/>
        </w:rPr>
        <w:t> 000 </w:t>
      </w:r>
      <w:r w:rsidRPr="00546D49">
        <w:rPr>
          <w:bCs/>
        </w:rPr>
        <w:t>K. Les sources lumineuses de température de couleur plus élevée offrent de meilleures possibilités de mise en correspondance des couleurs avec les sources lumineuses des feux avant. Les sources lumineuses de température de couleur plus basse</w:t>
      </w:r>
      <w:r w:rsidR="00862E30">
        <w:rPr>
          <w:bCs/>
        </w:rPr>
        <w:t xml:space="preserve"> </w:t>
      </w:r>
      <w:r w:rsidRPr="00546D49">
        <w:rPr>
          <w:bCs/>
        </w:rPr>
        <w:t>doivent être utilisées pour les feux dotés de filtres de couleur, tels que les feux indicateurs de direction ou les feux stop, afin de préserver la qualité de la couleur et l’intensité lumineuse des feux. Les sources lumineuses à DEL de substitution</w:t>
      </w:r>
      <w:r w:rsidR="00862E30">
        <w:rPr>
          <w:bCs/>
        </w:rPr>
        <w:t xml:space="preserve"> </w:t>
      </w:r>
      <w:r w:rsidRPr="00546D49">
        <w:rPr>
          <w:bCs/>
        </w:rPr>
        <w:t xml:space="preserve"> dont la température de couleur proximale</w:t>
      </w:r>
      <w:r w:rsidR="00862E30">
        <w:rPr>
          <w:bCs/>
        </w:rPr>
        <w:t xml:space="preserve"> </w:t>
      </w:r>
      <w:r w:rsidRPr="00546D49">
        <w:rPr>
          <w:bCs/>
        </w:rPr>
        <w:t>est inférieure ou égale à 3</w:t>
      </w:r>
      <w:r w:rsidR="00FE663A">
        <w:rPr>
          <w:bCs/>
        </w:rPr>
        <w:t> 000 </w:t>
      </w:r>
      <w:r w:rsidRPr="00546D49">
        <w:rPr>
          <w:bCs/>
        </w:rPr>
        <w:t>K et les feux dotés de filtres de couleur doivent être signalés par un «</w:t>
      </w:r>
      <w:r w:rsidR="00FE663A">
        <w:rPr>
          <w:bCs/>
        </w:rPr>
        <w:t> </w:t>
      </w:r>
      <w:r w:rsidRPr="00546D49">
        <w:rPr>
          <w:bCs/>
        </w:rPr>
        <w:t>G</w:t>
      </w:r>
      <w:r w:rsidR="00FE663A">
        <w:rPr>
          <w:bCs/>
        </w:rPr>
        <w:t> </w:t>
      </w:r>
      <w:r w:rsidRPr="00546D49">
        <w:rPr>
          <w:bCs/>
        </w:rPr>
        <w:t>», placé après la marque de catégorie de la source lumineuse à DEL de substitution et dont il sera séparé par un espace</w:t>
      </w:r>
      <w:r w:rsidR="00FE663A">
        <w:rPr>
          <w:bCs/>
        </w:rPr>
        <w:t> ;</w:t>
      </w:r>
    </w:p>
    <w:p w:rsidR="00546D49" w:rsidRPr="00546D49" w:rsidRDefault="00546D49" w:rsidP="00FE663A">
      <w:pPr>
        <w:pStyle w:val="SingleTxtG"/>
        <w:ind w:firstLine="567"/>
        <w:rPr>
          <w:bCs/>
        </w:rPr>
      </w:pPr>
      <w:r w:rsidRPr="00546D49">
        <w:rPr>
          <w:bCs/>
        </w:rPr>
        <w:t>b)</w:t>
      </w:r>
      <w:r w:rsidRPr="00546D49">
        <w:rPr>
          <w:bCs/>
        </w:rPr>
        <w:tab/>
        <w:t xml:space="preserve">Pour les systèmes de détection des défaillances et </w:t>
      </w:r>
      <w:r w:rsidRPr="00546D49">
        <w:t>d’autodiagnostic (OBD)</w:t>
      </w:r>
      <w:r w:rsidRPr="00546D49">
        <w:rPr>
          <w:bCs/>
        </w:rPr>
        <w:t>, le</w:t>
      </w:r>
      <w:r w:rsidR="00FE663A">
        <w:rPr>
          <w:bCs/>
        </w:rPr>
        <w:t> </w:t>
      </w:r>
      <w:r w:rsidRPr="00546D49">
        <w:rPr>
          <w:bCs/>
        </w:rPr>
        <w:t>courant électrique des sources lumineuses à incandescence peut être calculé dans une certaine mesure</w:t>
      </w:r>
      <w:r w:rsidR="00862E30">
        <w:rPr>
          <w:bCs/>
        </w:rPr>
        <w:t xml:space="preserve"> </w:t>
      </w:r>
      <w:r w:rsidRPr="00546D49">
        <w:rPr>
          <w:bCs/>
        </w:rPr>
        <w:t>à partir de la tension et de la puissance appliquées de la source lumineuse à incandescence.</w:t>
      </w:r>
      <w:r w:rsidR="00862E30">
        <w:rPr>
          <w:bCs/>
        </w:rPr>
        <w:t xml:space="preserve"> </w:t>
      </w:r>
      <w:r w:rsidRPr="00546D49">
        <w:rPr>
          <w:bCs/>
        </w:rPr>
        <w:t>Comme n’est pas le cas</w:t>
      </w:r>
      <w:r w:rsidR="00862E30">
        <w:rPr>
          <w:bCs/>
        </w:rPr>
        <w:t xml:space="preserve"> </w:t>
      </w:r>
      <w:r w:rsidRPr="00546D49">
        <w:rPr>
          <w:bCs/>
        </w:rPr>
        <w:t>des sources lumineuses à DEL de substitution, leur</w:t>
      </w:r>
      <w:r w:rsidR="00862E30">
        <w:rPr>
          <w:bCs/>
        </w:rPr>
        <w:t xml:space="preserve"> </w:t>
      </w:r>
      <w:r w:rsidRPr="00546D49">
        <w:rPr>
          <w:bCs/>
        </w:rPr>
        <w:t>courant électrique</w:t>
      </w:r>
      <w:r w:rsidR="00862E30">
        <w:rPr>
          <w:bCs/>
        </w:rPr>
        <w:t xml:space="preserve"> </w:t>
      </w:r>
      <w:r w:rsidRPr="00546D49">
        <w:rPr>
          <w:bCs/>
        </w:rPr>
        <w:t xml:space="preserve"> est spécifié et</w:t>
      </w:r>
      <w:r w:rsidR="00862E30">
        <w:rPr>
          <w:bCs/>
        </w:rPr>
        <w:t xml:space="preserve"> </w:t>
      </w:r>
      <w:r w:rsidRPr="00546D49">
        <w:rPr>
          <w:bCs/>
        </w:rPr>
        <w:t>également soumis à des prescriptions de conformité de</w:t>
      </w:r>
      <w:r w:rsidR="00862E30">
        <w:rPr>
          <w:bCs/>
        </w:rPr>
        <w:t xml:space="preserve"> </w:t>
      </w:r>
      <w:r w:rsidRPr="00546D49">
        <w:rPr>
          <w:bCs/>
        </w:rPr>
        <w:t>production</w:t>
      </w:r>
      <w:r w:rsidR="00FE663A">
        <w:rPr>
          <w:bCs/>
        </w:rPr>
        <w:t> ;</w:t>
      </w:r>
    </w:p>
    <w:p w:rsidR="00546D49" w:rsidRPr="00546D49" w:rsidRDefault="00546D49" w:rsidP="00FE663A">
      <w:pPr>
        <w:pStyle w:val="SingleTxtG"/>
        <w:ind w:firstLine="567"/>
        <w:rPr>
          <w:bCs/>
        </w:rPr>
      </w:pPr>
      <w:r w:rsidRPr="00546D49">
        <w:rPr>
          <w:bCs/>
        </w:rPr>
        <w:t>c)</w:t>
      </w:r>
      <w:r w:rsidRPr="00546D49">
        <w:rPr>
          <w:bCs/>
        </w:rPr>
        <w:tab/>
        <w:t>Les sources lumineuses à DEL de substitution contiennent des composants électroniques</w:t>
      </w:r>
      <w:r w:rsidR="00862E30">
        <w:rPr>
          <w:bCs/>
        </w:rPr>
        <w:t xml:space="preserve"> </w:t>
      </w:r>
      <w:r w:rsidRPr="00546D49">
        <w:rPr>
          <w:bCs/>
        </w:rPr>
        <w:t>qui ne devraient pas influencer ou être influencés de manière non intentionnelle par le tableau de bord. C’est une raison pour</w:t>
      </w:r>
      <w:r w:rsidR="00862E30">
        <w:rPr>
          <w:bCs/>
        </w:rPr>
        <w:t xml:space="preserve"> </w:t>
      </w:r>
      <w:r w:rsidRPr="00546D49">
        <w:rPr>
          <w:bCs/>
        </w:rPr>
        <w:t xml:space="preserve">soumettre les sources lumineuses à DEL de substitution aux essais en tant que </w:t>
      </w:r>
      <w:r w:rsidRPr="00546D49">
        <w:t>sous-ensemble électrique/électronique (SEEE)</w:t>
      </w:r>
      <w:r w:rsidRPr="00546D49">
        <w:rPr>
          <w:bCs/>
        </w:rPr>
        <w:t xml:space="preserve">, comme spécifié par le Règlement </w:t>
      </w:r>
      <w:r w:rsidR="00FE663A" w:rsidRPr="00FE663A">
        <w:rPr>
          <w:rFonts w:eastAsia="MS Mincho"/>
          <w:bCs/>
          <w:szCs w:val="22"/>
        </w:rPr>
        <w:t>n</w:t>
      </w:r>
      <w:r w:rsidR="00FE663A" w:rsidRPr="00FE663A">
        <w:rPr>
          <w:rFonts w:eastAsia="MS Mincho"/>
          <w:bCs/>
          <w:szCs w:val="22"/>
          <w:vertAlign w:val="superscript"/>
        </w:rPr>
        <w:t>o</w:t>
      </w:r>
      <w:r w:rsidR="00FE663A">
        <w:rPr>
          <w:bCs/>
        </w:rPr>
        <w:t> </w:t>
      </w:r>
      <w:r w:rsidRPr="00546D49">
        <w:rPr>
          <w:bCs/>
        </w:rPr>
        <w:t>10. L’homologation</w:t>
      </w:r>
      <w:r w:rsidR="00862E30">
        <w:rPr>
          <w:bCs/>
        </w:rPr>
        <w:t xml:space="preserve"> </w:t>
      </w:r>
      <w:r w:rsidRPr="00546D49">
        <w:rPr>
          <w:bCs/>
        </w:rPr>
        <w:t xml:space="preserve">en vertu du Règlement </w:t>
      </w:r>
      <w:r w:rsidR="00FE663A" w:rsidRPr="00FE663A">
        <w:rPr>
          <w:rFonts w:eastAsia="MS Mincho"/>
          <w:bCs/>
          <w:szCs w:val="22"/>
        </w:rPr>
        <w:t>n</w:t>
      </w:r>
      <w:r w:rsidR="00FE663A" w:rsidRPr="00FE663A">
        <w:rPr>
          <w:rFonts w:eastAsia="MS Mincho"/>
          <w:bCs/>
          <w:szCs w:val="22"/>
          <w:vertAlign w:val="superscript"/>
        </w:rPr>
        <w:t>o</w:t>
      </w:r>
      <w:r w:rsidR="00FE663A">
        <w:rPr>
          <w:bCs/>
        </w:rPr>
        <w:t> </w:t>
      </w:r>
      <w:r w:rsidRPr="00546D49">
        <w:rPr>
          <w:bCs/>
        </w:rPr>
        <w:t>10 n’est pas possible,</w:t>
      </w:r>
      <w:r w:rsidR="00862E30">
        <w:rPr>
          <w:bCs/>
        </w:rPr>
        <w:t xml:space="preserve"> </w:t>
      </w:r>
      <w:r w:rsidRPr="00546D49">
        <w:rPr>
          <w:bCs/>
        </w:rPr>
        <w:t>pour éviter que les sources lumineuses ne soient testées</w:t>
      </w:r>
      <w:r w:rsidR="00862E30">
        <w:rPr>
          <w:bCs/>
        </w:rPr>
        <w:t xml:space="preserve"> </w:t>
      </w:r>
      <w:r w:rsidRPr="00546D49">
        <w:rPr>
          <w:bCs/>
        </w:rPr>
        <w:t>qu’en fonction de ce</w:t>
      </w:r>
      <w:r w:rsidR="00862E30">
        <w:rPr>
          <w:bCs/>
        </w:rPr>
        <w:t xml:space="preserve"> </w:t>
      </w:r>
      <w:r w:rsidRPr="00546D49">
        <w:rPr>
          <w:bCs/>
        </w:rPr>
        <w:t>Règlement</w:t>
      </w:r>
      <w:r w:rsidR="00862E30">
        <w:rPr>
          <w:bCs/>
        </w:rPr>
        <w:t xml:space="preserve"> </w:t>
      </w:r>
      <w:r w:rsidRPr="00546D49">
        <w:rPr>
          <w:bCs/>
        </w:rPr>
        <w:t>et non en tant que source lumineuse, ce qui s’est déjà produit par le passé</w:t>
      </w:r>
      <w:r w:rsidR="00FE663A">
        <w:rPr>
          <w:bCs/>
        </w:rPr>
        <w:t> ;</w:t>
      </w:r>
    </w:p>
    <w:p w:rsidR="00546D49" w:rsidRPr="00546D49" w:rsidRDefault="00546D49" w:rsidP="00FE663A">
      <w:pPr>
        <w:pStyle w:val="SingleTxtG"/>
        <w:ind w:firstLine="567"/>
        <w:rPr>
          <w:bCs/>
        </w:rPr>
      </w:pPr>
      <w:r w:rsidRPr="00546D49">
        <w:rPr>
          <w:bCs/>
        </w:rPr>
        <w:t>d)</w:t>
      </w:r>
      <w:r w:rsidRPr="00546D49">
        <w:rPr>
          <w:bCs/>
        </w:rPr>
        <w:tab/>
        <w:t xml:space="preserve">Les sources lumineuses à DEL de substitution ne doivent pas émettre de lumière dans les </w:t>
      </w:r>
      <w:r w:rsidR="00663F2F">
        <w:rPr>
          <w:bCs/>
        </w:rPr>
        <w:t>2 m</w:t>
      </w:r>
      <w:r w:rsidRPr="00546D49">
        <w:rPr>
          <w:bCs/>
        </w:rPr>
        <w:t>illisecondes</w:t>
      </w:r>
      <w:r w:rsidR="00862E30">
        <w:rPr>
          <w:bCs/>
        </w:rPr>
        <w:t xml:space="preserve"> </w:t>
      </w:r>
      <w:r w:rsidRPr="00546D49">
        <w:rPr>
          <w:bCs/>
        </w:rPr>
        <w:t>qui suivent l’activation pour éviter les signaux visibles sur les véhicules soumis à</w:t>
      </w:r>
      <w:r w:rsidR="00862E30">
        <w:rPr>
          <w:bCs/>
        </w:rPr>
        <w:t xml:space="preserve"> </w:t>
      </w:r>
      <w:r w:rsidRPr="00546D49">
        <w:rPr>
          <w:bCs/>
        </w:rPr>
        <w:t>des essais de durée de vie des sources lumineuses</w:t>
      </w:r>
      <w:r w:rsidR="00FE663A">
        <w:rPr>
          <w:bCs/>
        </w:rPr>
        <w:t> ;</w:t>
      </w:r>
    </w:p>
    <w:p w:rsidR="00546D49" w:rsidRPr="00546D49" w:rsidRDefault="00546D49" w:rsidP="00FE663A">
      <w:pPr>
        <w:pStyle w:val="SingleTxtG"/>
        <w:ind w:firstLine="567"/>
        <w:rPr>
          <w:bCs/>
        </w:rPr>
      </w:pPr>
      <w:r w:rsidRPr="00546D49">
        <w:rPr>
          <w:bCs/>
        </w:rPr>
        <w:t>e)</w:t>
      </w:r>
      <w:r w:rsidRPr="00546D49">
        <w:rPr>
          <w:bCs/>
        </w:rPr>
        <w:tab/>
        <w:t>La technologie DEL est sensible à la température. La performance des sources lumineuses à incandescence ne dépend pas de la température ambiante. Parce que les sources lumineuses à DEL de substitution sont destinées à remplacer les sources lumineuses à incandescence, d’autres</w:t>
      </w:r>
      <w:r w:rsidR="00862E30">
        <w:rPr>
          <w:bCs/>
        </w:rPr>
        <w:t xml:space="preserve"> </w:t>
      </w:r>
      <w:r w:rsidRPr="00546D49">
        <w:rPr>
          <w:bCs/>
        </w:rPr>
        <w:t xml:space="preserve">températures ambiantes plus élevées sont définies pour </w:t>
      </w:r>
      <w:r w:rsidR="00FE663A">
        <w:rPr>
          <w:bCs/>
        </w:rPr>
        <w:t>leurs essais.</w:t>
      </w:r>
    </w:p>
    <w:p w:rsidR="00546D49" w:rsidRPr="00546D49" w:rsidRDefault="00546D49" w:rsidP="00546D49">
      <w:pPr>
        <w:pStyle w:val="SingleTxtG"/>
        <w:rPr>
          <w:bCs/>
        </w:rPr>
      </w:pPr>
      <w:r w:rsidRPr="00546D49">
        <w:rPr>
          <w:bCs/>
        </w:rPr>
        <w:t>7.</w:t>
      </w:r>
      <w:r w:rsidRPr="00546D49">
        <w:rPr>
          <w:bCs/>
        </w:rPr>
        <w:tab/>
        <w:t>Comme c’est le cas pour d’autres sources lumineuses, des essais</w:t>
      </w:r>
      <w:r w:rsidR="00862E30">
        <w:rPr>
          <w:bCs/>
        </w:rPr>
        <w:t xml:space="preserve"> </w:t>
      </w:r>
      <w:r w:rsidRPr="00546D49">
        <w:rPr>
          <w:bCs/>
        </w:rPr>
        <w:t>supplémentaires</w:t>
      </w:r>
      <w:r w:rsidR="00862E30">
        <w:rPr>
          <w:bCs/>
        </w:rPr>
        <w:t xml:space="preserve"> </w:t>
      </w:r>
      <w:r w:rsidRPr="00546D49">
        <w:rPr>
          <w:bCs/>
        </w:rPr>
        <w:t>sur</w:t>
      </w:r>
      <w:r w:rsidR="00862E30">
        <w:rPr>
          <w:bCs/>
        </w:rPr>
        <w:t xml:space="preserve"> </w:t>
      </w:r>
      <w:r w:rsidRPr="00546D49">
        <w:rPr>
          <w:bCs/>
        </w:rPr>
        <w:t>une base volontaire</w:t>
      </w:r>
      <w:r w:rsidR="00862E30">
        <w:rPr>
          <w:bCs/>
        </w:rPr>
        <w:t xml:space="preserve"> </w:t>
      </w:r>
      <w:r w:rsidRPr="00546D49">
        <w:rPr>
          <w:bCs/>
        </w:rPr>
        <w:t>sont décrits dans</w:t>
      </w:r>
      <w:r w:rsidR="00862E30">
        <w:rPr>
          <w:bCs/>
        </w:rPr>
        <w:t xml:space="preserve"> </w:t>
      </w:r>
      <w:r w:rsidRPr="00546D49">
        <w:rPr>
          <w:bCs/>
        </w:rPr>
        <w:t>des normes,</w:t>
      </w:r>
      <w:r w:rsidR="00862E30">
        <w:rPr>
          <w:bCs/>
        </w:rPr>
        <w:t xml:space="preserve"> </w:t>
      </w:r>
      <w:r w:rsidRPr="00546D49">
        <w:rPr>
          <w:bCs/>
        </w:rPr>
        <w:t xml:space="preserve">notamment celles de la Commission électrotechnique internationale (CEI) ou de la Society of Automotive Engineers (SAE). </w:t>
      </w:r>
    </w:p>
    <w:p w:rsidR="00546D49" w:rsidRPr="00546D49" w:rsidRDefault="00546D49" w:rsidP="00546D49">
      <w:pPr>
        <w:pStyle w:val="SingleTxtG"/>
        <w:rPr>
          <w:bCs/>
        </w:rPr>
      </w:pPr>
      <w:r w:rsidRPr="00546D49">
        <w:rPr>
          <w:bCs/>
        </w:rPr>
        <w:t>8.</w:t>
      </w:r>
      <w:r w:rsidRPr="00546D49">
        <w:rPr>
          <w:bCs/>
        </w:rPr>
        <w:tab/>
        <w:t>L’utilisation de sources lumineuses à DEL de substitution</w:t>
      </w:r>
      <w:r w:rsidR="00862E30">
        <w:rPr>
          <w:bCs/>
        </w:rPr>
        <w:t xml:space="preserve"> </w:t>
      </w:r>
      <w:r w:rsidRPr="00546D49">
        <w:rPr>
          <w:bCs/>
        </w:rPr>
        <w:t>dans des feux et</w:t>
      </w:r>
      <w:r w:rsidR="00862E30">
        <w:rPr>
          <w:bCs/>
        </w:rPr>
        <w:t xml:space="preserve"> </w:t>
      </w:r>
      <w:r w:rsidRPr="00546D49">
        <w:rPr>
          <w:bCs/>
        </w:rPr>
        <w:t>sur des véhicules</w:t>
      </w:r>
      <w:r w:rsidR="00862E30">
        <w:rPr>
          <w:bCs/>
        </w:rPr>
        <w:t xml:space="preserve"> </w:t>
      </w:r>
      <w:r w:rsidRPr="00546D49">
        <w:rPr>
          <w:bCs/>
        </w:rPr>
        <w:t xml:space="preserve"> lors de la conception desquels</w:t>
      </w:r>
      <w:r w:rsidR="00862E30">
        <w:rPr>
          <w:bCs/>
        </w:rPr>
        <w:t xml:space="preserve"> </w:t>
      </w:r>
      <w:r w:rsidRPr="00546D49">
        <w:rPr>
          <w:bCs/>
        </w:rPr>
        <w:t>elles n’étaient pas prévues</w:t>
      </w:r>
      <w:r w:rsidR="00862E30">
        <w:rPr>
          <w:bCs/>
        </w:rPr>
        <w:t xml:space="preserve"> </w:t>
      </w:r>
      <w:r w:rsidRPr="00546D49">
        <w:rPr>
          <w:bCs/>
        </w:rPr>
        <w:t>doit faire l’objet de vérifications afin de garantir le bon fonctionnement</w:t>
      </w:r>
      <w:r w:rsidR="00862E30">
        <w:rPr>
          <w:bCs/>
        </w:rPr>
        <w:t xml:space="preserve"> </w:t>
      </w:r>
      <w:r w:rsidRPr="00546D49">
        <w:rPr>
          <w:bCs/>
        </w:rPr>
        <w:t>tant du feu</w:t>
      </w:r>
      <w:r w:rsidR="00862E30">
        <w:rPr>
          <w:bCs/>
        </w:rPr>
        <w:t xml:space="preserve"> </w:t>
      </w:r>
      <w:r w:rsidRPr="00546D49">
        <w:rPr>
          <w:bCs/>
        </w:rPr>
        <w:t>que du véhicule.</w:t>
      </w:r>
    </w:p>
    <w:p w:rsidR="00546D49" w:rsidRPr="00546D49" w:rsidRDefault="00546D49" w:rsidP="00546D49">
      <w:pPr>
        <w:pStyle w:val="SingleTxtG"/>
        <w:rPr>
          <w:bCs/>
        </w:rPr>
      </w:pPr>
      <w:r w:rsidRPr="00546D49">
        <w:rPr>
          <w:bCs/>
        </w:rPr>
        <w:t>9.</w:t>
      </w:r>
      <w:r w:rsidRPr="00546D49">
        <w:rPr>
          <w:bCs/>
        </w:rPr>
        <w:tab/>
        <w:t xml:space="preserve">C’est pourquoi, parallèlement à l’introduction des sources lumineuses à DEL de substitution dans le Règlement </w:t>
      </w:r>
      <w:r w:rsidR="00FE663A" w:rsidRPr="00FE663A">
        <w:rPr>
          <w:rFonts w:eastAsia="MS Mincho"/>
          <w:bCs/>
          <w:szCs w:val="22"/>
        </w:rPr>
        <w:t>n</w:t>
      </w:r>
      <w:r w:rsidR="00FE663A" w:rsidRPr="00FE663A">
        <w:rPr>
          <w:rFonts w:eastAsia="MS Mincho"/>
          <w:bCs/>
          <w:szCs w:val="22"/>
          <w:vertAlign w:val="superscript"/>
        </w:rPr>
        <w:t>o</w:t>
      </w:r>
      <w:r w:rsidR="00FE663A">
        <w:rPr>
          <w:bCs/>
        </w:rPr>
        <w:t> </w:t>
      </w:r>
      <w:r w:rsidRPr="00546D49">
        <w:rPr>
          <w:bCs/>
        </w:rPr>
        <w:t>128 et dans la Résolution d’ensemble (R.E.5), il est nécessaire d’apporter les amendements suivants au Règlement relatif à l’homologation de type des feux et à</w:t>
      </w:r>
      <w:r w:rsidR="00862E30">
        <w:rPr>
          <w:bCs/>
        </w:rPr>
        <w:t xml:space="preserve"> </w:t>
      </w:r>
      <w:r w:rsidRPr="00546D49">
        <w:rPr>
          <w:bCs/>
        </w:rPr>
        <w:t>celle des véhicules</w:t>
      </w:r>
      <w:r w:rsidR="00862E30">
        <w:rPr>
          <w:bCs/>
        </w:rPr>
        <w:t xml:space="preserve"> </w:t>
      </w:r>
      <w:r w:rsidRPr="00546D49">
        <w:rPr>
          <w:bCs/>
        </w:rPr>
        <w:t>en ce qui concerne</w:t>
      </w:r>
      <w:r w:rsidR="00862E30">
        <w:rPr>
          <w:bCs/>
        </w:rPr>
        <w:t xml:space="preserve"> </w:t>
      </w:r>
      <w:r w:rsidRPr="00546D49">
        <w:rPr>
          <w:bCs/>
        </w:rPr>
        <w:t xml:space="preserve"> l’installation de leurs feux</w:t>
      </w:r>
      <w:r w:rsidR="00FE663A">
        <w:rPr>
          <w:bCs/>
        </w:rPr>
        <w:t> :</w:t>
      </w:r>
    </w:p>
    <w:p w:rsidR="00546D49" w:rsidRPr="00546D49" w:rsidRDefault="00546D49" w:rsidP="00FE663A">
      <w:pPr>
        <w:pStyle w:val="Bullet1G"/>
      </w:pPr>
      <w:r w:rsidRPr="00546D49">
        <w:t>Dans les Règlements concernant les feux, des dispositions permettant</w:t>
      </w:r>
      <w:r w:rsidR="00862E30">
        <w:t xml:space="preserve"> </w:t>
      </w:r>
      <w:r w:rsidRPr="00546D49">
        <w:t>l’homologation de type avec à la fois</w:t>
      </w:r>
      <w:r w:rsidR="00862E30">
        <w:t xml:space="preserve"> </w:t>
      </w:r>
      <w:r w:rsidRPr="00546D49">
        <w:t xml:space="preserve">la catégorie de source lumineuse à </w:t>
      </w:r>
      <w:r w:rsidRPr="00546D49">
        <w:lastRenderedPageBreak/>
        <w:t>incandescence en tant que source</w:t>
      </w:r>
      <w:r w:rsidR="00862E30">
        <w:t xml:space="preserve"> </w:t>
      </w:r>
      <w:r w:rsidRPr="00546D49">
        <w:t>principale et</w:t>
      </w:r>
      <w:r w:rsidR="00862E30">
        <w:t xml:space="preserve"> </w:t>
      </w:r>
      <w:r w:rsidRPr="00546D49">
        <w:t>son remplacement DEL</w:t>
      </w:r>
      <w:r w:rsidR="00FE663A">
        <w:t>,</w:t>
      </w:r>
      <w:r w:rsidRPr="00546D49">
        <w:t xml:space="preserve"> seule l’utilisation d’une source lumineuse à incandescence</w:t>
      </w:r>
      <w:r w:rsidR="00862E30">
        <w:t xml:space="preserve"> </w:t>
      </w:r>
      <w:r w:rsidRPr="00546D49">
        <w:t>étant requise pour les essais de conformité de la production</w:t>
      </w:r>
      <w:r w:rsidR="00FE663A">
        <w:t> ;</w:t>
      </w:r>
    </w:p>
    <w:p w:rsidR="00546D49" w:rsidRPr="00546D49" w:rsidRDefault="00546D49" w:rsidP="00FE663A">
      <w:pPr>
        <w:pStyle w:val="Bullet1G"/>
      </w:pPr>
      <w:r w:rsidRPr="00546D49">
        <w:t xml:space="preserve"> Dans les Règlements concernant l’installation, des dispositions</w:t>
      </w:r>
      <w:r w:rsidR="00862E30">
        <w:t xml:space="preserve"> </w:t>
      </w:r>
      <w:r w:rsidRPr="00546D49">
        <w:t>visant à éviter que des</w:t>
      </w:r>
      <w:r w:rsidR="00862E30">
        <w:t xml:space="preserve"> </w:t>
      </w:r>
      <w:r w:rsidRPr="00546D49">
        <w:t>feux homologués, à l’origine ou par extension, pour des sources lumineuses à DEL de substitution soient installés sur un véhicule dont les systèmes de détection des défaillances et d’autodiagnostic</w:t>
      </w:r>
      <w:r w:rsidR="00862E30">
        <w:t xml:space="preserve"> </w:t>
      </w:r>
      <w:r w:rsidRPr="00546D49">
        <w:t xml:space="preserve">ne sont pas conçus pour les </w:t>
      </w:r>
      <w:r w:rsidR="00FE663A">
        <w:t>recevoir ;</w:t>
      </w:r>
    </w:p>
    <w:p w:rsidR="00546D49" w:rsidRPr="00546D49" w:rsidRDefault="00546D49" w:rsidP="00FE663A">
      <w:pPr>
        <w:pStyle w:val="Bullet1G"/>
      </w:pPr>
      <w:r w:rsidRPr="00546D49">
        <w:t xml:space="preserve">Les propositions d’amendements au Règlement </w:t>
      </w:r>
      <w:r w:rsidR="00FE663A" w:rsidRPr="002D76F4">
        <w:rPr>
          <w:rFonts w:eastAsia="MS Mincho"/>
          <w:szCs w:val="22"/>
        </w:rPr>
        <w:t>n</w:t>
      </w:r>
      <w:r w:rsidR="00FE663A" w:rsidRPr="002D76F4">
        <w:rPr>
          <w:rFonts w:eastAsia="MS Mincho"/>
          <w:szCs w:val="22"/>
          <w:vertAlign w:val="superscript"/>
        </w:rPr>
        <w:t>o</w:t>
      </w:r>
      <w:r w:rsidR="00FE663A">
        <w:t> </w:t>
      </w:r>
      <w:r w:rsidRPr="00546D49">
        <w:t>48 concernent également les séries</w:t>
      </w:r>
      <w:r w:rsidR="00FE663A">
        <w:t> </w:t>
      </w:r>
      <w:r w:rsidRPr="00546D49">
        <w:t>03, 04 et</w:t>
      </w:r>
      <w:r w:rsidR="00FE663A">
        <w:t> </w:t>
      </w:r>
      <w:r w:rsidRPr="00546D49">
        <w:t>05 d’amendements, afin de donner</w:t>
      </w:r>
      <w:r w:rsidR="00862E30">
        <w:t xml:space="preserve"> </w:t>
      </w:r>
      <w:r w:rsidRPr="00546D49">
        <w:t>la possibilité de moderniser</w:t>
      </w:r>
      <w:r w:rsidR="00862E30">
        <w:t xml:space="preserve"> </w:t>
      </w:r>
      <w:r w:rsidRPr="00546D49">
        <w:t>des véhicules</w:t>
      </w:r>
      <w:r w:rsidR="00862E30">
        <w:t xml:space="preserve"> </w:t>
      </w:r>
      <w:r w:rsidRPr="00546D49">
        <w:t>équipés de feux utilisant des sources lumineuses à DEL de substitution par</w:t>
      </w:r>
      <w:r w:rsidR="00862E30">
        <w:t xml:space="preserve"> </w:t>
      </w:r>
      <w:r w:rsidRPr="00546D49">
        <w:t>extension de leur homologation.</w:t>
      </w:r>
    </w:p>
    <w:p w:rsidR="00546D49" w:rsidRPr="00FE663A" w:rsidRDefault="00FE663A" w:rsidP="00FE663A">
      <w:pPr>
        <w:pStyle w:val="SingleTxtG"/>
        <w:spacing w:before="240" w:after="0"/>
        <w:jc w:val="center"/>
        <w:rPr>
          <w:u w:val="single"/>
        </w:rPr>
      </w:pPr>
      <w:r>
        <w:rPr>
          <w:u w:val="single"/>
        </w:rPr>
        <w:tab/>
      </w:r>
      <w:r>
        <w:rPr>
          <w:u w:val="single"/>
        </w:rPr>
        <w:tab/>
      </w:r>
      <w:r>
        <w:rPr>
          <w:u w:val="single"/>
        </w:rPr>
        <w:tab/>
      </w:r>
    </w:p>
    <w:sectPr w:rsidR="00546D49" w:rsidRPr="00FE663A" w:rsidSect="008F46E2">
      <w:headerReference w:type="even" r:id="rId11"/>
      <w:headerReference w:type="default" r:id="rId12"/>
      <w:footerReference w:type="even" r:id="rId13"/>
      <w:footerReference w:type="defaul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9EF" w:rsidRDefault="007A49EF" w:rsidP="00F95C08">
      <w:pPr>
        <w:spacing w:line="240" w:lineRule="auto"/>
      </w:pPr>
    </w:p>
  </w:endnote>
  <w:endnote w:type="continuationSeparator" w:id="0">
    <w:p w:rsidR="007A49EF" w:rsidRPr="00AC3823" w:rsidRDefault="007A49EF" w:rsidP="00AC3823">
      <w:pPr>
        <w:pStyle w:val="Pieddepage"/>
      </w:pPr>
    </w:p>
  </w:endnote>
  <w:endnote w:type="continuationNotice" w:id="1">
    <w:p w:rsidR="007A49EF" w:rsidRDefault="007A49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E2" w:rsidRPr="008F46E2" w:rsidRDefault="008F46E2" w:rsidP="008F46E2">
    <w:pPr>
      <w:pStyle w:val="Pieddepage"/>
      <w:tabs>
        <w:tab w:val="right" w:pos="9638"/>
      </w:tabs>
    </w:pPr>
    <w:r w:rsidRPr="008F46E2">
      <w:rPr>
        <w:b/>
        <w:sz w:val="18"/>
      </w:rPr>
      <w:fldChar w:fldCharType="begin"/>
    </w:r>
    <w:r w:rsidRPr="008F46E2">
      <w:rPr>
        <w:b/>
        <w:sz w:val="18"/>
      </w:rPr>
      <w:instrText xml:space="preserve"> PAGE  \* MERGEFORMAT </w:instrText>
    </w:r>
    <w:r w:rsidRPr="008F46E2">
      <w:rPr>
        <w:b/>
        <w:sz w:val="18"/>
      </w:rPr>
      <w:fldChar w:fldCharType="separate"/>
    </w:r>
    <w:r w:rsidR="008D3ED6">
      <w:rPr>
        <w:b/>
        <w:noProof/>
        <w:sz w:val="18"/>
      </w:rPr>
      <w:t>4</w:t>
    </w:r>
    <w:r w:rsidRPr="008F46E2">
      <w:rPr>
        <w:b/>
        <w:sz w:val="18"/>
      </w:rPr>
      <w:fldChar w:fldCharType="end"/>
    </w:r>
    <w:r>
      <w:rPr>
        <w:b/>
        <w:sz w:val="18"/>
      </w:rPr>
      <w:tab/>
    </w:r>
    <w:r>
      <w:t>GE.17-00707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E2" w:rsidRPr="008F46E2" w:rsidRDefault="008F46E2" w:rsidP="008F46E2">
    <w:pPr>
      <w:pStyle w:val="Pieddepage"/>
      <w:tabs>
        <w:tab w:val="right" w:pos="9638"/>
      </w:tabs>
      <w:rPr>
        <w:b/>
        <w:sz w:val="18"/>
      </w:rPr>
    </w:pPr>
    <w:r>
      <w:t>GE.17-00707</w:t>
    </w:r>
    <w:r>
      <w:tab/>
    </w:r>
    <w:r w:rsidRPr="008F46E2">
      <w:rPr>
        <w:b/>
        <w:sz w:val="18"/>
      </w:rPr>
      <w:fldChar w:fldCharType="begin"/>
    </w:r>
    <w:r w:rsidRPr="008F46E2">
      <w:rPr>
        <w:b/>
        <w:sz w:val="18"/>
      </w:rPr>
      <w:instrText xml:space="preserve"> PAGE  \* MERGEFORMAT </w:instrText>
    </w:r>
    <w:r w:rsidRPr="008F46E2">
      <w:rPr>
        <w:b/>
        <w:sz w:val="18"/>
      </w:rPr>
      <w:fldChar w:fldCharType="separate"/>
    </w:r>
    <w:r w:rsidR="00777A77">
      <w:rPr>
        <w:b/>
        <w:noProof/>
        <w:sz w:val="18"/>
      </w:rPr>
      <w:t>3</w:t>
    </w:r>
    <w:r w:rsidRPr="008F46E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8F46E2" w:rsidRDefault="008F46E2" w:rsidP="008F46E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A700FA6" wp14:editId="581524C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17-00707</w:t>
    </w:r>
    <w:r w:rsidR="00862E30">
      <w:rPr>
        <w:sz w:val="20"/>
      </w:rPr>
      <w:t xml:space="preserve"> </w:t>
    </w:r>
    <w:r>
      <w:rPr>
        <w:sz w:val="20"/>
      </w:rPr>
      <w:t>(F)</w:t>
    </w:r>
    <w:r w:rsidR="00862E30">
      <w:rPr>
        <w:sz w:val="20"/>
      </w:rPr>
      <w:t xml:space="preserve">    </w:t>
    </w:r>
    <w:r>
      <w:rPr>
        <w:sz w:val="20"/>
      </w:rPr>
      <w:t>080217</w:t>
    </w:r>
    <w:r w:rsidR="00862E30">
      <w:rPr>
        <w:sz w:val="20"/>
      </w:rPr>
      <w:t xml:space="preserve">    </w:t>
    </w:r>
    <w:r>
      <w:rPr>
        <w:sz w:val="20"/>
      </w:rPr>
      <w:t>160217</w:t>
    </w:r>
    <w:r>
      <w:rPr>
        <w:sz w:val="20"/>
      </w:rPr>
      <w:br/>
    </w:r>
    <w:r w:rsidRPr="008F46E2">
      <w:rPr>
        <w:rFonts w:ascii="C39T30Lfz" w:hAnsi="C39T30Lfz"/>
        <w:sz w:val="56"/>
      </w:rPr>
      <w:t></w:t>
    </w:r>
    <w:r w:rsidRPr="008F46E2">
      <w:rPr>
        <w:rFonts w:ascii="C39T30Lfz" w:hAnsi="C39T30Lfz"/>
        <w:sz w:val="56"/>
      </w:rPr>
      <w:t></w:t>
    </w:r>
    <w:r w:rsidRPr="008F46E2">
      <w:rPr>
        <w:rFonts w:ascii="C39T30Lfz" w:hAnsi="C39T30Lfz"/>
        <w:sz w:val="56"/>
      </w:rPr>
      <w:t></w:t>
    </w:r>
    <w:r w:rsidRPr="008F46E2">
      <w:rPr>
        <w:rFonts w:ascii="C39T30Lfz" w:hAnsi="C39T30Lfz"/>
        <w:sz w:val="56"/>
      </w:rPr>
      <w:t></w:t>
    </w:r>
    <w:r w:rsidRPr="008F46E2">
      <w:rPr>
        <w:rFonts w:ascii="C39T30Lfz" w:hAnsi="C39T30Lfz"/>
        <w:sz w:val="56"/>
      </w:rPr>
      <w:t></w:t>
    </w:r>
    <w:r w:rsidRPr="008F46E2">
      <w:rPr>
        <w:rFonts w:ascii="C39T30Lfz" w:hAnsi="C39T30Lfz"/>
        <w:sz w:val="56"/>
      </w:rPr>
      <w:t></w:t>
    </w:r>
    <w:r w:rsidRPr="008F46E2">
      <w:rPr>
        <w:rFonts w:ascii="C39T30Lfz" w:hAnsi="C39T30Lfz"/>
        <w:sz w:val="56"/>
      </w:rPr>
      <w:t></w:t>
    </w:r>
    <w:r w:rsidRPr="008F46E2">
      <w:rPr>
        <w:rFonts w:ascii="C39T30Lfz" w:hAnsi="C39T30Lfz"/>
        <w:sz w:val="56"/>
      </w:rPr>
      <w:t></w:t>
    </w:r>
    <w:r w:rsidRPr="008F46E2">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E/2017/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2017/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9EF" w:rsidRPr="00AC3823" w:rsidRDefault="007A49EF" w:rsidP="00AC3823">
      <w:pPr>
        <w:pStyle w:val="Pieddepage"/>
        <w:tabs>
          <w:tab w:val="right" w:pos="2155"/>
        </w:tabs>
        <w:spacing w:after="80" w:line="240" w:lineRule="atLeast"/>
        <w:ind w:left="680"/>
        <w:rPr>
          <w:u w:val="single"/>
        </w:rPr>
      </w:pPr>
      <w:r>
        <w:rPr>
          <w:u w:val="single"/>
        </w:rPr>
        <w:tab/>
      </w:r>
    </w:p>
  </w:footnote>
  <w:footnote w:type="continuationSeparator" w:id="0">
    <w:p w:rsidR="007A49EF" w:rsidRPr="00AC3823" w:rsidRDefault="007A49EF" w:rsidP="00AC3823">
      <w:pPr>
        <w:pStyle w:val="Pieddepage"/>
        <w:tabs>
          <w:tab w:val="right" w:pos="2155"/>
        </w:tabs>
        <w:spacing w:after="80" w:line="240" w:lineRule="atLeast"/>
        <w:ind w:left="680"/>
        <w:rPr>
          <w:u w:val="single"/>
        </w:rPr>
      </w:pPr>
      <w:r>
        <w:rPr>
          <w:u w:val="single"/>
        </w:rPr>
        <w:tab/>
      </w:r>
    </w:p>
  </w:footnote>
  <w:footnote w:type="continuationNotice" w:id="1">
    <w:p w:rsidR="007A49EF" w:rsidRPr="00AC3823" w:rsidRDefault="007A49EF">
      <w:pPr>
        <w:spacing w:line="240" w:lineRule="auto"/>
        <w:rPr>
          <w:sz w:val="2"/>
          <w:szCs w:val="2"/>
        </w:rPr>
      </w:pPr>
    </w:p>
  </w:footnote>
  <w:footnote w:id="2">
    <w:p w:rsidR="00546D49" w:rsidRPr="00577F84" w:rsidRDefault="00546D49" w:rsidP="00546D49">
      <w:pPr>
        <w:pStyle w:val="Notedebasdepage"/>
      </w:pPr>
      <w:r w:rsidRPr="00A90EA8">
        <w:tab/>
      </w:r>
      <w:r w:rsidRPr="007D235E">
        <w:rPr>
          <w:sz w:val="20"/>
        </w:rPr>
        <w:t>*</w:t>
      </w:r>
      <w:r w:rsidRPr="007D235E">
        <w:rPr>
          <w:sz w:val="20"/>
        </w:rPr>
        <w:tab/>
      </w:r>
      <w:r w:rsidRPr="007D235E">
        <w:t>Conformément au</w:t>
      </w:r>
      <w:r w:rsidR="00862E30">
        <w:t xml:space="preserve"> </w:t>
      </w:r>
      <w:r w:rsidRPr="007D235E">
        <w:t xml:space="preserve">programme de travail du Comité des transports intérieurs pour </w:t>
      </w:r>
      <w:r>
        <w:t>la période 2016</w:t>
      </w:r>
      <w:r w:rsidR="00D97173">
        <w:noBreakHyphen/>
      </w:r>
      <w:r>
        <w:t>2017 (ECE/TRANS/254, par</w:t>
      </w:r>
      <w:r w:rsidR="00833C01">
        <w:t>. </w:t>
      </w:r>
      <w:r w:rsidRPr="007D235E">
        <w:t>159</w:t>
      </w:r>
      <w:r w:rsidR="00833C01">
        <w:t>,</w:t>
      </w:r>
      <w:r w:rsidRPr="007D235E">
        <w:t xml:space="preserve"> </w:t>
      </w:r>
      <w:r>
        <w:t>et</w:t>
      </w:r>
      <w:r w:rsidRPr="007D235E">
        <w:t xml:space="preserve"> ECE/TRANS/2016/28/Add.1, </w:t>
      </w:r>
      <w:r>
        <w:t>module</w:t>
      </w:r>
      <w:r w:rsidRPr="007D235E">
        <w:t xml:space="preserve"> 3.1), </w:t>
      </w:r>
      <w:r>
        <w:t>le Forum mondial a pour mission d’élaborer, d’harmoniser et de mettre à jour les Règlements en vue d’améliorer les caractéristiques fonctionnelles des véhicules</w:t>
      </w:r>
      <w:r w:rsidRPr="00577F84">
        <w:t>.</w:t>
      </w:r>
      <w:r>
        <w:t xml:space="preserve">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E2" w:rsidRPr="008F46E2" w:rsidRDefault="008F46E2">
    <w:pPr>
      <w:pStyle w:val="En-tte"/>
    </w:pPr>
    <w:r>
      <w:t>ECE/TRANS/WP.29/GRE/2017/2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E2" w:rsidRPr="008F46E2" w:rsidRDefault="008F46E2" w:rsidP="008F46E2">
    <w:pPr>
      <w:pStyle w:val="En-tte"/>
      <w:jc w:val="right"/>
    </w:pPr>
    <w:r>
      <w:t>ECE/TRANS/WP.29/GRE/2017/2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EF"/>
    <w:rsid w:val="00017F94"/>
    <w:rsid w:val="00023842"/>
    <w:rsid w:val="000334F9"/>
    <w:rsid w:val="0007796D"/>
    <w:rsid w:val="000B7790"/>
    <w:rsid w:val="00111F2F"/>
    <w:rsid w:val="0014365E"/>
    <w:rsid w:val="00143C66"/>
    <w:rsid w:val="00176178"/>
    <w:rsid w:val="001807A8"/>
    <w:rsid w:val="001F525A"/>
    <w:rsid w:val="00223272"/>
    <w:rsid w:val="0024779E"/>
    <w:rsid w:val="00257168"/>
    <w:rsid w:val="002744B8"/>
    <w:rsid w:val="002832AC"/>
    <w:rsid w:val="002A0BE3"/>
    <w:rsid w:val="002D7C93"/>
    <w:rsid w:val="002E4F18"/>
    <w:rsid w:val="002F1A83"/>
    <w:rsid w:val="00305801"/>
    <w:rsid w:val="003916DE"/>
    <w:rsid w:val="00441C3B"/>
    <w:rsid w:val="00446FE5"/>
    <w:rsid w:val="00452396"/>
    <w:rsid w:val="004837D8"/>
    <w:rsid w:val="004E468C"/>
    <w:rsid w:val="00546D49"/>
    <w:rsid w:val="005505B7"/>
    <w:rsid w:val="00573BE5"/>
    <w:rsid w:val="00586ED3"/>
    <w:rsid w:val="00596AA9"/>
    <w:rsid w:val="00612479"/>
    <w:rsid w:val="00663F2F"/>
    <w:rsid w:val="006B10D2"/>
    <w:rsid w:val="006F5CF5"/>
    <w:rsid w:val="0071601D"/>
    <w:rsid w:val="00723147"/>
    <w:rsid w:val="00777A77"/>
    <w:rsid w:val="007A49EF"/>
    <w:rsid w:val="007A62E6"/>
    <w:rsid w:val="007F20FA"/>
    <w:rsid w:val="0080684C"/>
    <w:rsid w:val="00833C01"/>
    <w:rsid w:val="00862E30"/>
    <w:rsid w:val="00871C75"/>
    <w:rsid w:val="008776DC"/>
    <w:rsid w:val="008D3ED6"/>
    <w:rsid w:val="008F46E2"/>
    <w:rsid w:val="00940C45"/>
    <w:rsid w:val="009705C8"/>
    <w:rsid w:val="009A0685"/>
    <w:rsid w:val="009C1CF4"/>
    <w:rsid w:val="009F6B74"/>
    <w:rsid w:val="00A30353"/>
    <w:rsid w:val="00AA15E8"/>
    <w:rsid w:val="00AC3823"/>
    <w:rsid w:val="00AE323C"/>
    <w:rsid w:val="00AF0CB5"/>
    <w:rsid w:val="00B00181"/>
    <w:rsid w:val="00B00B0D"/>
    <w:rsid w:val="00B5207E"/>
    <w:rsid w:val="00B765F7"/>
    <w:rsid w:val="00BA0CA9"/>
    <w:rsid w:val="00C02897"/>
    <w:rsid w:val="00D3439C"/>
    <w:rsid w:val="00D97173"/>
    <w:rsid w:val="00DA432F"/>
    <w:rsid w:val="00DB1831"/>
    <w:rsid w:val="00DD3BFD"/>
    <w:rsid w:val="00DF6678"/>
    <w:rsid w:val="00E85C74"/>
    <w:rsid w:val="00EA6547"/>
    <w:rsid w:val="00EB66AD"/>
    <w:rsid w:val="00EF2E22"/>
    <w:rsid w:val="00F35BAF"/>
    <w:rsid w:val="00F660DF"/>
    <w:rsid w:val="00F94664"/>
    <w:rsid w:val="00F9573C"/>
    <w:rsid w:val="00F95C08"/>
    <w:rsid w:val="00FE663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eilv.cie.co.at/term/258"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9CC2-9273-4972-AC41-A2E3B205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6</Pages>
  <Words>2130</Words>
  <Characters>11629</Characters>
  <Application>Microsoft Office Word</Application>
  <DocSecurity>0</DocSecurity>
  <Lines>256</Lines>
  <Paragraphs>102</Paragraphs>
  <ScaleCrop>false</ScaleCrop>
  <HeadingPairs>
    <vt:vector size="2" baseType="variant">
      <vt:variant>
        <vt:lpstr>Titre</vt:lpstr>
      </vt:variant>
      <vt:variant>
        <vt:i4>1</vt:i4>
      </vt:variant>
    </vt:vector>
  </HeadingPairs>
  <TitlesOfParts>
    <vt:vector size="1" baseType="lpstr">
      <vt:lpstr>ECE/TRANS/WP.29/GRE/2017/2</vt:lpstr>
    </vt:vector>
  </TitlesOfParts>
  <Company>DCM</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ECE/TRANS/WP.29/GRE/2017/2</dc:title>
  <dc:subject/>
  <dc:creator>Bourion</dc:creator>
  <cp:keywords/>
  <dc:description/>
  <cp:lastModifiedBy>Bourion</cp:lastModifiedBy>
  <cp:revision>2</cp:revision>
  <cp:lastPrinted>2017-02-16T14:36:00Z</cp:lastPrinted>
  <dcterms:created xsi:type="dcterms:W3CDTF">2017-02-16T15:18:00Z</dcterms:created>
  <dcterms:modified xsi:type="dcterms:W3CDTF">2017-02-16T15:18:00Z</dcterms:modified>
</cp:coreProperties>
</file>