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B56E9C" w:rsidRPr="00C64574" w:rsidRDefault="00803BF8" w:rsidP="00393288">
            <w:pPr>
              <w:jc w:val="right"/>
            </w:pPr>
            <w:r w:rsidRPr="00C64574">
              <w:rPr>
                <w:sz w:val="40"/>
              </w:rPr>
              <w:t>ECE</w:t>
            </w:r>
            <w:r w:rsidRPr="00C64574">
              <w:t>/TRANS/WP.29/GR</w:t>
            </w:r>
            <w:r w:rsidR="009B385D">
              <w:t>E</w:t>
            </w:r>
            <w:r w:rsidRPr="00C64574">
              <w:t>/201</w:t>
            </w:r>
            <w:r w:rsidR="00A138B2">
              <w:t>7</w:t>
            </w:r>
            <w:r w:rsidRPr="00C64574">
              <w:t>/</w:t>
            </w:r>
            <w:r w:rsidR="00393288">
              <w:t>15</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6266D3" w:rsidP="00D5792F">
            <w:pPr>
              <w:spacing w:before="120"/>
            </w:pPr>
            <w:r>
              <w:rPr>
                <w:noProof/>
                <w:lang w:eastAsia="en-GB"/>
              </w:rPr>
              <w:drawing>
                <wp:inline distT="0" distB="0" distL="0" distR="0" wp14:anchorId="0382D865" wp14:editId="4DB4452D">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314E99" w:rsidP="00D5792F">
            <w:pPr>
              <w:spacing w:line="240" w:lineRule="exact"/>
            </w:pPr>
            <w:r>
              <w:t>10</w:t>
            </w:r>
            <w:r w:rsidR="007A3BAE">
              <w:t xml:space="preserve"> August 2017</w:t>
            </w:r>
          </w:p>
          <w:p w:rsidR="00803BF8" w:rsidRPr="00593753" w:rsidRDefault="00803BF8" w:rsidP="00D5792F">
            <w:pPr>
              <w:spacing w:line="240" w:lineRule="exact"/>
            </w:pPr>
          </w:p>
          <w:p w:rsidR="00EA2A77" w:rsidRPr="00593753" w:rsidRDefault="00803BF8" w:rsidP="00932725">
            <w:pPr>
              <w:spacing w:line="240" w:lineRule="exact"/>
            </w:pPr>
            <w:r w:rsidRPr="00593753">
              <w:t>Original: English</w:t>
            </w: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C64574" w:rsidRDefault="003C17CC" w:rsidP="00EA2A77">
      <w:pPr>
        <w:spacing w:before="120"/>
        <w:rPr>
          <w:b/>
        </w:rPr>
      </w:pPr>
      <w:r w:rsidRPr="00C64574">
        <w:rPr>
          <w:b/>
        </w:rPr>
        <w:t xml:space="preserve">Working Party on </w:t>
      </w:r>
      <w:r w:rsidR="009B385D">
        <w:rPr>
          <w:b/>
        </w:rPr>
        <w:t>Lighting and Light-Signalling</w:t>
      </w:r>
    </w:p>
    <w:p w:rsidR="0054033E" w:rsidRPr="004B2237" w:rsidRDefault="0054033E" w:rsidP="0054033E">
      <w:pPr>
        <w:rPr>
          <w:b/>
        </w:rPr>
      </w:pPr>
      <w:r w:rsidRPr="004B2237">
        <w:rPr>
          <w:b/>
        </w:rPr>
        <w:t>Seventy-</w:t>
      </w:r>
      <w:r>
        <w:rPr>
          <w:b/>
        </w:rPr>
        <w:t>eighth</w:t>
      </w:r>
      <w:r w:rsidRPr="004B2237">
        <w:rPr>
          <w:b/>
        </w:rPr>
        <w:t xml:space="preserve"> session</w:t>
      </w:r>
    </w:p>
    <w:p w:rsidR="0054033E" w:rsidRPr="00D315CD" w:rsidRDefault="0054033E" w:rsidP="0054033E">
      <w:pPr>
        <w:rPr>
          <w:bCs/>
        </w:rPr>
      </w:pPr>
      <w:r w:rsidRPr="00D315CD">
        <w:t>Geneva</w:t>
      </w:r>
      <w:r w:rsidRPr="00D315CD">
        <w:rPr>
          <w:bCs/>
        </w:rPr>
        <w:t>, 24–27 October 2017</w:t>
      </w:r>
    </w:p>
    <w:p w:rsidR="00DE2082" w:rsidRPr="00DC35BB" w:rsidRDefault="00DE2082" w:rsidP="00DE2082">
      <w:pPr>
        <w:ind w:right="1134"/>
        <w:rPr>
          <w:bCs/>
        </w:rPr>
      </w:pPr>
      <w:r w:rsidRPr="00DC35BB">
        <w:rPr>
          <w:bCs/>
        </w:rPr>
        <w:t xml:space="preserve">Item </w:t>
      </w:r>
      <w:r w:rsidR="009D7631">
        <w:rPr>
          <w:bCs/>
        </w:rPr>
        <w:t>4</w:t>
      </w:r>
      <w:r w:rsidRPr="00DC35BB">
        <w:rPr>
          <w:bCs/>
        </w:rPr>
        <w:t xml:space="preserve"> of the provisional agenda</w:t>
      </w:r>
    </w:p>
    <w:p w:rsidR="00DE2082" w:rsidRDefault="009D7631" w:rsidP="00DE2082">
      <w:pPr>
        <w:ind w:right="1134"/>
        <w:rPr>
          <w:bCs/>
        </w:rPr>
      </w:pPr>
      <w:r>
        <w:rPr>
          <w:b/>
          <w:bCs/>
        </w:rPr>
        <w:t xml:space="preserve">Simplification of lighting and light-signalling </w:t>
      </w:r>
      <w:r w:rsidR="00DE2082" w:rsidRPr="00DC35BB">
        <w:rPr>
          <w:b/>
          <w:bCs/>
        </w:rPr>
        <w:t xml:space="preserve">Regulations </w:t>
      </w:r>
    </w:p>
    <w:p w:rsidR="0054033E" w:rsidRPr="00190E1E" w:rsidRDefault="008D6F03" w:rsidP="0054033E">
      <w:pPr>
        <w:pStyle w:val="HChG"/>
        <w:tabs>
          <w:tab w:val="clear" w:pos="851"/>
        </w:tabs>
        <w:ind w:firstLine="0"/>
        <w:rPr>
          <w:szCs w:val="28"/>
        </w:rPr>
      </w:pPr>
      <w:r w:rsidRPr="008D6F03">
        <w:rPr>
          <w:szCs w:val="28"/>
        </w:rPr>
        <w:t xml:space="preserve">Proposal to introduce requirements for the use of replaceable </w:t>
      </w:r>
      <w:r w:rsidR="00D24361">
        <w:rPr>
          <w:szCs w:val="28"/>
        </w:rPr>
        <w:t xml:space="preserve">light emitting diode </w:t>
      </w:r>
      <w:r w:rsidRPr="008D6F03">
        <w:rPr>
          <w:szCs w:val="28"/>
        </w:rPr>
        <w:t xml:space="preserve">light sources for forward lighting in the new Regulation </w:t>
      </w:r>
      <w:r w:rsidR="00D24361">
        <w:rPr>
          <w:szCs w:val="28"/>
        </w:rPr>
        <w:t xml:space="preserve">on </w:t>
      </w:r>
      <w:r w:rsidRPr="008D6F03">
        <w:rPr>
          <w:szCs w:val="28"/>
        </w:rPr>
        <w:t>Road Illumination Devices</w:t>
      </w:r>
    </w:p>
    <w:p w:rsidR="0054033E" w:rsidRPr="00D315CD" w:rsidRDefault="0054033E" w:rsidP="0054033E">
      <w:pPr>
        <w:pStyle w:val="H1G"/>
        <w:ind w:right="1467" w:firstLine="0"/>
        <w:jc w:val="both"/>
      </w:pPr>
      <w:r w:rsidRPr="00D315CD">
        <w:t>Submitted by the expert from the International Automotive Lighting and Light</w:t>
      </w:r>
      <w:r>
        <w:t>-</w:t>
      </w:r>
      <w:r w:rsidRPr="00D315CD">
        <w:t>Signalling Expert Group (GTB)</w:t>
      </w:r>
      <w:r w:rsidRPr="00DF418A">
        <w:rPr>
          <w:vertAlign w:val="superscript"/>
        </w:rPr>
        <w:footnoteReference w:customMarkFollows="1" w:id="2"/>
        <w:t>*</w:t>
      </w:r>
    </w:p>
    <w:p w:rsidR="009D7631" w:rsidRDefault="008D6F03" w:rsidP="00DE2082">
      <w:pPr>
        <w:spacing w:before="120"/>
        <w:ind w:left="1134" w:right="1134" w:firstLine="567"/>
        <w:jc w:val="both"/>
      </w:pPr>
      <w:r w:rsidRPr="008D6F03">
        <w:t xml:space="preserve">The text reproduced below was prepared by the expert from GTB </w:t>
      </w:r>
      <w:r w:rsidR="007B23A2">
        <w:t xml:space="preserve">with the aim </w:t>
      </w:r>
      <w:r w:rsidRPr="008D6F03">
        <w:t>to introduce requirements for replaceable</w:t>
      </w:r>
      <w:r w:rsidR="00D24361">
        <w:t xml:space="preserve"> light emitting diode (</w:t>
      </w:r>
      <w:r w:rsidRPr="008D6F03">
        <w:t>LED</w:t>
      </w:r>
      <w:r w:rsidR="00D24361">
        <w:t>)</w:t>
      </w:r>
      <w:r w:rsidRPr="008D6F03">
        <w:t xml:space="preserve"> light sources for forward lighting in the new Regulation </w:t>
      </w:r>
      <w:r w:rsidR="007B23A2">
        <w:t xml:space="preserve">on </w:t>
      </w:r>
      <w:r w:rsidRPr="008D6F03">
        <w:t xml:space="preserve">Road Illumination Devices (RID). The text of the new draft RID </w:t>
      </w:r>
      <w:r w:rsidR="007B23A2">
        <w:t>R</w:t>
      </w:r>
      <w:r w:rsidRPr="008D6F03">
        <w:t>egulation is still being developed but th</w:t>
      </w:r>
      <w:r w:rsidR="007B23A2">
        <w:t xml:space="preserve">is document </w:t>
      </w:r>
      <w:r w:rsidRPr="008D6F03">
        <w:t xml:space="preserve">provides a more comprehensive indication of the nature of the modifications required in the main body than </w:t>
      </w:r>
      <w:r w:rsidR="007B23A2">
        <w:t xml:space="preserve">the text </w:t>
      </w:r>
      <w:r w:rsidRPr="008D6F03">
        <w:t xml:space="preserve">presented to </w:t>
      </w:r>
      <w:r w:rsidR="007B23A2">
        <w:t xml:space="preserve">the </w:t>
      </w:r>
      <w:r w:rsidR="007B23A2" w:rsidRPr="007B23A2">
        <w:t>Working Party on Lighting and Light-Signalling</w:t>
      </w:r>
      <w:r w:rsidR="007B23A2">
        <w:t xml:space="preserve"> (</w:t>
      </w:r>
      <w:r w:rsidRPr="008D6F03">
        <w:t>GRE</w:t>
      </w:r>
      <w:r w:rsidR="007B23A2">
        <w:t>)</w:t>
      </w:r>
      <w:r w:rsidRPr="008D6F03">
        <w:t xml:space="preserve"> at its </w:t>
      </w:r>
      <w:r w:rsidR="007B23A2">
        <w:t xml:space="preserve">seventy-seventh </w:t>
      </w:r>
      <w:r w:rsidRPr="008D6F03">
        <w:t>session in</w:t>
      </w:r>
      <w:r w:rsidR="007B23A2">
        <w:t xml:space="preserve"> informal document </w:t>
      </w:r>
      <w:r w:rsidRPr="008D6F03">
        <w:t xml:space="preserve">GRE-77-14. The modifications to the annexes are </w:t>
      </w:r>
      <w:r w:rsidR="007B23A2">
        <w:t xml:space="preserve">under development </w:t>
      </w:r>
      <w:r w:rsidRPr="008D6F03">
        <w:t xml:space="preserve">but will follow the same approach. The modifications to the text of the new draft Regulation are marked in bold for new or strikethrough for deleted characters.  </w:t>
      </w:r>
    </w:p>
    <w:p w:rsidR="00DF418A" w:rsidRPr="00DF418A" w:rsidRDefault="00757F2F" w:rsidP="00792D92">
      <w:pPr>
        <w:spacing w:before="360" w:after="240" w:line="300" w:lineRule="exact"/>
        <w:ind w:left="1134" w:right="1134" w:hanging="567"/>
        <w:rPr>
          <w:b/>
          <w:sz w:val="28"/>
        </w:rPr>
      </w:pPr>
      <w:r w:rsidRPr="00593753">
        <w:br w:type="page"/>
      </w:r>
      <w:r w:rsidR="00DF418A" w:rsidRPr="00DF418A">
        <w:rPr>
          <w:b/>
          <w:sz w:val="28"/>
        </w:rPr>
        <w:lastRenderedPageBreak/>
        <w:t>I.</w:t>
      </w:r>
      <w:r w:rsidR="00DF418A" w:rsidRPr="00DF418A">
        <w:rPr>
          <w:b/>
          <w:sz w:val="28"/>
        </w:rPr>
        <w:tab/>
        <w:t>Proposal</w:t>
      </w:r>
    </w:p>
    <w:p w:rsidR="008D6F03" w:rsidRPr="008D6F03" w:rsidRDefault="008D6F03" w:rsidP="009A22DA">
      <w:pPr>
        <w:spacing w:after="120"/>
        <w:ind w:left="2268" w:right="1134" w:hanging="1134"/>
        <w:jc w:val="both"/>
        <w:rPr>
          <w:rFonts w:eastAsia="Times New Roman"/>
        </w:rPr>
      </w:pPr>
      <w:r w:rsidRPr="008D6F03">
        <w:rPr>
          <w:rFonts w:eastAsia="Times New Roman"/>
          <w:i/>
          <w:iCs/>
        </w:rPr>
        <w:t xml:space="preserve">Paragraph 3.3.2.5.2., </w:t>
      </w:r>
      <w:r w:rsidRPr="008D6F03">
        <w:rPr>
          <w:rFonts w:eastAsia="Times New Roman"/>
        </w:rPr>
        <w:t>amend to read:</w:t>
      </w:r>
    </w:p>
    <w:p w:rsidR="008D6F03" w:rsidRPr="008D6F03" w:rsidRDefault="00314E99" w:rsidP="009A22DA">
      <w:pPr>
        <w:spacing w:after="120"/>
        <w:ind w:left="2268" w:right="1134" w:hanging="1134"/>
        <w:jc w:val="both"/>
        <w:rPr>
          <w:rFonts w:eastAsia="Times New Roman"/>
        </w:rPr>
      </w:pPr>
      <w:r>
        <w:rPr>
          <w:rFonts w:eastAsia="MS Mincho"/>
        </w:rPr>
        <w:t>"</w:t>
      </w:r>
      <w:r w:rsidR="008D6F03" w:rsidRPr="008D6F03">
        <w:rPr>
          <w:rFonts w:eastAsia="Times New Roman"/>
          <w:iCs/>
        </w:rPr>
        <w:t>3.3.2.5.2</w:t>
      </w:r>
      <w:r w:rsidR="008D6F03" w:rsidRPr="008D6F03">
        <w:rPr>
          <w:rFonts w:eastAsia="Times New Roman"/>
        </w:rPr>
        <w:t>.</w:t>
      </w:r>
      <w:r w:rsidR="008D6F03" w:rsidRPr="008D6F03">
        <w:rPr>
          <w:rFonts w:eastAsia="Times New Roman"/>
        </w:rPr>
        <w:tab/>
        <w:t>In the case of headlamps</w:t>
      </w:r>
      <w:r w:rsidR="008D6F03" w:rsidRPr="008D6F03">
        <w:rPr>
          <w:rFonts w:eastAsia="Times New Roman"/>
          <w:lang w:val="en-US"/>
        </w:rPr>
        <w:t>/AFS installation unit</w:t>
      </w:r>
      <w:r w:rsidR="008D6F03" w:rsidRPr="008D6F03">
        <w:rPr>
          <w:rFonts w:eastAsia="Times New Roman"/>
        </w:rPr>
        <w:t xml:space="preserve"> designed to meet the requirements of both traffic systems by means of an appropriate adjustment of the setting of the optical unit or the filament </w:t>
      </w:r>
      <w:r w:rsidR="008D6F03" w:rsidRPr="008D6F03">
        <w:rPr>
          <w:rFonts w:eastAsia="Times New Roman"/>
          <w:b/>
        </w:rPr>
        <w:t>or LED</w:t>
      </w:r>
      <w:r w:rsidR="008D6F03" w:rsidRPr="008D6F03">
        <w:rPr>
          <w:rFonts w:eastAsia="Times New Roman"/>
        </w:rPr>
        <w:t xml:space="preserve"> light source or LED module(s), a horizontal arrow with a head on each end, the heads pointing respectivel</w:t>
      </w:r>
      <w:r>
        <w:rPr>
          <w:rFonts w:eastAsia="Times New Roman"/>
        </w:rPr>
        <w:t>y to the left and to the right;</w:t>
      </w:r>
      <w:r>
        <w:rPr>
          <w:rFonts w:eastAsia="MS Mincho"/>
        </w:rPr>
        <w:t>"</w:t>
      </w:r>
    </w:p>
    <w:p w:rsidR="008D6F03" w:rsidRPr="008D6F03" w:rsidRDefault="008D6F03" w:rsidP="009A22DA">
      <w:pPr>
        <w:spacing w:after="120"/>
        <w:ind w:left="2268" w:right="1134" w:hanging="1134"/>
        <w:jc w:val="both"/>
        <w:rPr>
          <w:rFonts w:eastAsia="Times New Roman"/>
        </w:rPr>
      </w:pPr>
      <w:r w:rsidRPr="008D6F03">
        <w:rPr>
          <w:rFonts w:eastAsia="Times New Roman"/>
          <w:i/>
          <w:iCs/>
        </w:rPr>
        <w:t xml:space="preserve">Paragraph 3.3.2.5.6., </w:t>
      </w:r>
      <w:r w:rsidRPr="008D6F03">
        <w:rPr>
          <w:rFonts w:eastAsia="Times New Roman"/>
        </w:rPr>
        <w:t>amend to read:</w:t>
      </w:r>
    </w:p>
    <w:p w:rsidR="008D6F03" w:rsidRPr="008D6F03" w:rsidRDefault="00314E99" w:rsidP="009A22DA">
      <w:pPr>
        <w:spacing w:after="120"/>
        <w:ind w:left="2268" w:right="1134" w:hanging="1134"/>
        <w:jc w:val="both"/>
        <w:rPr>
          <w:rFonts w:eastAsia="Times New Roman"/>
        </w:rPr>
      </w:pPr>
      <w:r>
        <w:rPr>
          <w:rFonts w:eastAsia="MS Mincho"/>
        </w:rPr>
        <w:t>"</w:t>
      </w:r>
      <w:r w:rsidR="008D6F03" w:rsidRPr="008D6F03">
        <w:rPr>
          <w:rFonts w:eastAsia="Times New Roman"/>
          <w:iCs/>
        </w:rPr>
        <w:t>3.3.2.5.6</w:t>
      </w:r>
      <w:r w:rsidR="008D6F03" w:rsidRPr="008D6F03">
        <w:rPr>
          <w:rFonts w:eastAsia="Times New Roman"/>
          <w:i/>
          <w:iCs/>
        </w:rPr>
        <w:t>.</w:t>
      </w:r>
      <w:r w:rsidR="008D6F03" w:rsidRPr="008D6F03">
        <w:rPr>
          <w:rFonts w:eastAsia="Times New Roman"/>
        </w:rPr>
        <w:tab/>
      </w:r>
      <w:r w:rsidR="00EC08AE">
        <w:rPr>
          <w:rFonts w:eastAsia="Times New Roman"/>
          <w:lang w:val="en-US"/>
        </w:rPr>
        <w:t>I</w:t>
      </w:r>
      <w:r w:rsidR="008D6F03" w:rsidRPr="008D6F03">
        <w:rPr>
          <w:rFonts w:eastAsia="Times New Roman"/>
          <w:lang w:val="en-US"/>
        </w:rPr>
        <w:t xml:space="preserve">n the case of headlamps/AFS installation unit so designed that the filament </w:t>
      </w:r>
      <w:r w:rsidR="008D6F03" w:rsidRPr="008D6F03">
        <w:rPr>
          <w:rFonts w:eastAsia="Times New Roman"/>
          <w:b/>
          <w:lang w:val="en-US"/>
        </w:rPr>
        <w:t>or LED</w:t>
      </w:r>
      <w:r w:rsidR="008D6F03" w:rsidRPr="008D6F03">
        <w:rPr>
          <w:rFonts w:eastAsia="Times New Roman"/>
          <w:lang w:val="en-US"/>
        </w:rPr>
        <w:t xml:space="preserve"> light source(s) or LED module(s) producing the principal passing-beam shall not be lit simultaneously with that of any other lighting function with which it may be reciprocally incorporated: an oblique stroke (/) shall be placed behind the symbol indicating the headlamp producing the pas</w:t>
      </w:r>
      <w:r>
        <w:rPr>
          <w:rFonts w:eastAsia="Times New Roman"/>
          <w:lang w:val="en-US"/>
        </w:rPr>
        <w:t>sing beam in the approval mark.</w:t>
      </w:r>
      <w:r>
        <w:rPr>
          <w:rFonts w:eastAsia="MS Mincho"/>
        </w:rPr>
        <w:t>"</w:t>
      </w:r>
    </w:p>
    <w:p w:rsidR="008D6F03" w:rsidRPr="008D6F03" w:rsidRDefault="008D6F03" w:rsidP="009A22DA">
      <w:pPr>
        <w:spacing w:after="120"/>
        <w:ind w:left="2268" w:right="1134" w:hanging="1134"/>
        <w:jc w:val="both"/>
        <w:rPr>
          <w:rFonts w:eastAsia="Times New Roman"/>
        </w:rPr>
      </w:pPr>
      <w:r w:rsidRPr="008D6F03">
        <w:rPr>
          <w:rFonts w:eastAsia="Times New Roman"/>
          <w:i/>
          <w:iCs/>
        </w:rPr>
        <w:t xml:space="preserve">Paragraph 3.3.2.7.7.2.1., </w:t>
      </w:r>
      <w:r w:rsidRPr="008D6F03">
        <w:rPr>
          <w:rFonts w:eastAsia="Times New Roman"/>
        </w:rPr>
        <w:t>amend to read:</w:t>
      </w:r>
    </w:p>
    <w:p w:rsidR="008D6F03" w:rsidRPr="008D6F03" w:rsidRDefault="00314E99" w:rsidP="009A22DA">
      <w:pPr>
        <w:spacing w:after="120"/>
        <w:ind w:left="2268" w:right="1134" w:hanging="1134"/>
        <w:jc w:val="both"/>
        <w:rPr>
          <w:rFonts w:eastAsia="Times New Roman"/>
        </w:rPr>
      </w:pPr>
      <w:r>
        <w:rPr>
          <w:rFonts w:eastAsia="MS Mincho"/>
        </w:rPr>
        <w:t>"</w:t>
      </w:r>
      <w:r w:rsidR="008D6F03" w:rsidRPr="008D6F03">
        <w:rPr>
          <w:rFonts w:eastAsia="Times New Roman"/>
        </w:rPr>
        <w:t xml:space="preserve">3.3.2.7.7.2.1. In the case of filament </w:t>
      </w:r>
      <w:r w:rsidR="008D6F03" w:rsidRPr="008D6F03">
        <w:rPr>
          <w:rFonts w:eastAsia="Times New Roman"/>
          <w:b/>
        </w:rPr>
        <w:t>or LED</w:t>
      </w:r>
      <w:r w:rsidR="008D6F03" w:rsidRPr="008D6F03">
        <w:rPr>
          <w:rFonts w:eastAsia="Times New Roman"/>
        </w:rPr>
        <w:t xml:space="preserve"> light source, the category(s) of filament </w:t>
      </w:r>
      <w:r w:rsidR="008D6F03" w:rsidRPr="008D6F03">
        <w:rPr>
          <w:rFonts w:eastAsia="Times New Roman"/>
          <w:b/>
        </w:rPr>
        <w:t xml:space="preserve">or LED light source(s) </w:t>
      </w:r>
      <w:r w:rsidR="008D6F03" w:rsidRPr="008D6F03">
        <w:rPr>
          <w:rFonts w:eastAsia="Times New Roman"/>
          <w:strike/>
        </w:rPr>
        <w:t>lamp(s)</w:t>
      </w:r>
      <w:r w:rsidR="008D6F03" w:rsidRPr="008D6F03">
        <w:rPr>
          <w:rFonts w:eastAsia="Times New Roman"/>
        </w:rPr>
        <w:t>, and/or in the case of LED module(s), the rated voltage and rated wattage and the specific identification code(s) of</w:t>
      </w:r>
      <w:r>
        <w:rPr>
          <w:rFonts w:eastAsia="Times New Roman"/>
        </w:rPr>
        <w:t xml:space="preserve"> the LED module(s).</w:t>
      </w:r>
      <w:r>
        <w:rPr>
          <w:rFonts w:eastAsia="MS Mincho"/>
        </w:rPr>
        <w:t>"</w:t>
      </w:r>
    </w:p>
    <w:p w:rsidR="008D6F03" w:rsidRPr="008D6F03" w:rsidRDefault="008D6F03" w:rsidP="009A22DA">
      <w:pPr>
        <w:spacing w:after="120"/>
        <w:ind w:left="2268" w:right="1134" w:hanging="1134"/>
        <w:jc w:val="both"/>
        <w:rPr>
          <w:rFonts w:eastAsia="Times New Roman"/>
        </w:rPr>
      </w:pPr>
      <w:r w:rsidRPr="008D6F03">
        <w:rPr>
          <w:rFonts w:eastAsia="Times New Roman"/>
          <w:i/>
          <w:iCs/>
        </w:rPr>
        <w:t xml:space="preserve">Paragraph 4.5.2.2.5., </w:t>
      </w:r>
      <w:r w:rsidRPr="008D6F03">
        <w:rPr>
          <w:rFonts w:eastAsia="Times New Roman"/>
        </w:rPr>
        <w:t>amend to read:</w:t>
      </w:r>
    </w:p>
    <w:p w:rsidR="008D6F03" w:rsidRPr="008D6F03" w:rsidRDefault="00314E99" w:rsidP="009A22DA">
      <w:pPr>
        <w:spacing w:after="120"/>
        <w:ind w:left="2268" w:right="1134" w:hanging="1134"/>
        <w:jc w:val="both"/>
        <w:rPr>
          <w:rFonts w:eastAsia="Times New Roman"/>
        </w:rPr>
      </w:pPr>
      <w:r>
        <w:rPr>
          <w:rFonts w:eastAsia="MS Mincho"/>
        </w:rPr>
        <w:t>"</w:t>
      </w:r>
      <w:r w:rsidR="008D6F03" w:rsidRPr="008D6F03">
        <w:rPr>
          <w:rFonts w:eastAsia="Times New Roman"/>
        </w:rPr>
        <w:t>4.5.2.2.5.</w:t>
      </w:r>
      <w:r w:rsidR="008D6F03" w:rsidRPr="008D6F03">
        <w:rPr>
          <w:rFonts w:eastAsia="Times New Roman"/>
        </w:rPr>
        <w:tab/>
        <w:t xml:space="preserve">The definitions in Regulation 48 allow the use of LED modules, which may contain holders for other light sources. Notwithstanding this provision a mixture of </w:t>
      </w:r>
      <w:r w:rsidR="008D6F03" w:rsidRPr="008D6F03">
        <w:rPr>
          <w:rFonts w:eastAsia="Times New Roman"/>
          <w:strike/>
        </w:rPr>
        <w:t>LED(s)</w:t>
      </w:r>
      <w:r w:rsidR="008D6F03" w:rsidRPr="008D6F03">
        <w:rPr>
          <w:rFonts w:eastAsia="Times New Roman"/>
        </w:rPr>
        <w:t xml:space="preserve"> </w:t>
      </w:r>
      <w:r w:rsidR="008D6F03" w:rsidRPr="008D6F03">
        <w:rPr>
          <w:rFonts w:eastAsia="Times New Roman"/>
          <w:b/>
        </w:rPr>
        <w:t>LED light sources or LED modules with</w:t>
      </w:r>
      <w:r w:rsidR="008D6F03" w:rsidRPr="008D6F03">
        <w:rPr>
          <w:rFonts w:eastAsia="Times New Roman"/>
          <w:strike/>
        </w:rPr>
        <w:t xml:space="preserve"> and</w:t>
      </w:r>
      <w:r w:rsidR="008D6F03" w:rsidRPr="008D6F03">
        <w:rPr>
          <w:rFonts w:eastAsia="Times New Roman"/>
          <w:b/>
        </w:rPr>
        <w:t xml:space="preserve"> </w:t>
      </w:r>
      <w:r w:rsidR="008D6F03" w:rsidRPr="008D6F03">
        <w:rPr>
          <w:rFonts w:eastAsia="Times New Roman"/>
        </w:rPr>
        <w:t xml:space="preserve">other light sources for the principal passing-beam or the contributor to the bend lighting or each driving-beam, as specified by </w:t>
      </w:r>
      <w:r>
        <w:rPr>
          <w:rFonts w:eastAsia="Times New Roman"/>
        </w:rPr>
        <w:t>this Regulation is not allowed.</w:t>
      </w:r>
      <w:r>
        <w:rPr>
          <w:rFonts w:eastAsia="MS Mincho"/>
        </w:rPr>
        <w:t>"</w:t>
      </w:r>
    </w:p>
    <w:p w:rsidR="008D6F03" w:rsidRPr="008D6F03" w:rsidRDefault="008D6F03" w:rsidP="009A22DA">
      <w:pPr>
        <w:spacing w:after="120"/>
        <w:ind w:left="2268" w:right="1134" w:hanging="1134"/>
        <w:jc w:val="both"/>
        <w:rPr>
          <w:rFonts w:eastAsia="Times New Roman"/>
        </w:rPr>
      </w:pPr>
      <w:r w:rsidRPr="008D6F03">
        <w:rPr>
          <w:rFonts w:eastAsia="Times New Roman"/>
          <w:i/>
          <w:iCs/>
        </w:rPr>
        <w:t xml:space="preserve">Paragraph 4.17.3.3.3., </w:t>
      </w:r>
      <w:r w:rsidRPr="008D6F03">
        <w:rPr>
          <w:rFonts w:eastAsia="Times New Roman"/>
        </w:rPr>
        <w:t>amend to read:</w:t>
      </w:r>
    </w:p>
    <w:p w:rsidR="008D6F03" w:rsidRPr="008D6F03" w:rsidRDefault="00314E99" w:rsidP="009A22DA">
      <w:pPr>
        <w:spacing w:after="120"/>
        <w:ind w:left="2268" w:right="1134" w:hanging="1134"/>
        <w:jc w:val="both"/>
        <w:rPr>
          <w:rFonts w:eastAsia="Times New Roman"/>
        </w:rPr>
      </w:pPr>
      <w:r>
        <w:rPr>
          <w:rFonts w:eastAsia="MS Mincho"/>
        </w:rPr>
        <w:t>"</w:t>
      </w:r>
      <w:r w:rsidR="008D6F03" w:rsidRPr="008D6F03">
        <w:rPr>
          <w:rFonts w:eastAsia="Times New Roman"/>
        </w:rPr>
        <w:t>4.17.3.3.3.</w:t>
      </w:r>
      <w:r w:rsidR="008D6F03" w:rsidRPr="008D6F03">
        <w:rPr>
          <w:rFonts w:eastAsia="Times New Roman"/>
        </w:rPr>
        <w:tab/>
        <w:t xml:space="preserve">The total objective luminous flux of all </w:t>
      </w:r>
      <w:r w:rsidR="008D6F03" w:rsidRPr="008D6F03">
        <w:rPr>
          <w:rFonts w:eastAsia="Times New Roman"/>
          <w:b/>
        </w:rPr>
        <w:t xml:space="preserve">LED light sources and </w:t>
      </w:r>
      <w:r w:rsidR="008D6F03" w:rsidRPr="008D6F03">
        <w:rPr>
          <w:rFonts w:eastAsia="Times New Roman"/>
        </w:rPr>
        <w:t>LED modules producing the principal passing-beam and measured as described in paragraph 5. of Annex 12 shall be equa</w:t>
      </w:r>
      <w:r>
        <w:rPr>
          <w:rFonts w:eastAsia="Times New Roman"/>
        </w:rPr>
        <w:t>l or greater than 1,000 lumens.</w:t>
      </w:r>
      <w:r>
        <w:rPr>
          <w:rFonts w:eastAsia="MS Mincho"/>
        </w:rPr>
        <w:t>"</w:t>
      </w:r>
    </w:p>
    <w:p w:rsidR="008D6F03" w:rsidRPr="008D6F03" w:rsidRDefault="008D6F03" w:rsidP="009A22DA">
      <w:pPr>
        <w:spacing w:after="120"/>
        <w:ind w:left="2268" w:right="1134" w:hanging="1134"/>
        <w:jc w:val="both"/>
        <w:rPr>
          <w:rFonts w:eastAsia="Times New Roman"/>
        </w:rPr>
      </w:pPr>
      <w:r w:rsidRPr="008D6F03">
        <w:rPr>
          <w:rFonts w:eastAsia="Times New Roman"/>
          <w:i/>
          <w:iCs/>
        </w:rPr>
        <w:t xml:space="preserve">Paragraph 4.17.2.1., </w:t>
      </w:r>
      <w:r w:rsidRPr="008D6F03">
        <w:rPr>
          <w:rFonts w:eastAsia="Times New Roman"/>
        </w:rPr>
        <w:t>amend to read:</w:t>
      </w:r>
    </w:p>
    <w:p w:rsidR="008D6F03" w:rsidRPr="008D6F03" w:rsidRDefault="00314E99" w:rsidP="009A22DA">
      <w:pPr>
        <w:spacing w:after="120"/>
        <w:ind w:left="2268" w:right="1134" w:hanging="1134"/>
        <w:jc w:val="both"/>
        <w:rPr>
          <w:rFonts w:eastAsia="Times New Roman"/>
        </w:rPr>
      </w:pPr>
      <w:r>
        <w:rPr>
          <w:rFonts w:eastAsia="MS Mincho"/>
        </w:rPr>
        <w:t>"</w:t>
      </w:r>
      <w:r w:rsidR="008D6F03" w:rsidRPr="008D6F03">
        <w:rPr>
          <w:rFonts w:eastAsia="Times New Roman"/>
          <w:iCs/>
        </w:rPr>
        <w:t>4</w:t>
      </w:r>
      <w:r w:rsidR="008D6F03" w:rsidRPr="008D6F03">
        <w:rPr>
          <w:rFonts w:eastAsia="Times New Roman"/>
        </w:rPr>
        <w:t>.17.2.1.</w:t>
      </w:r>
      <w:r w:rsidR="008D6F03" w:rsidRPr="008D6F03">
        <w:rPr>
          <w:rFonts w:eastAsia="Times New Roman"/>
        </w:rPr>
        <w:tab/>
        <w:t>Headlamps shall be fitted with a device enabling them to be so adjusted on the vehicles as to comply with the rules applicable to them. Such a device may or may not provide horizontal adjustment, provided that the headlamps are so designed that they can maintain a proper horizontal aiming even after the vertical aiming adjustment. Such a device need not be fitted on units in which the reflector and the diffusing lens cannot be separated, provided the use of such units is confined to vehicles on which the headlamp setting can be adjusted by other means.</w:t>
      </w:r>
    </w:p>
    <w:p w:rsidR="008D6F03" w:rsidRPr="008D6F03" w:rsidRDefault="008D6F03" w:rsidP="009A22DA">
      <w:pPr>
        <w:spacing w:after="120"/>
        <w:ind w:left="2268" w:right="1134"/>
        <w:jc w:val="both"/>
        <w:rPr>
          <w:rFonts w:eastAsia="Times New Roman"/>
        </w:rPr>
      </w:pPr>
      <w:r w:rsidRPr="008D6F03">
        <w:rPr>
          <w:rFonts w:eastAsia="Times New Roman"/>
        </w:rPr>
        <w:t>Where a headlamp providing a passing beam and a headlamp providing a driving beam, each equipped with its own filament</w:t>
      </w:r>
      <w:r w:rsidRPr="008D6F03">
        <w:rPr>
          <w:rFonts w:eastAsia="Times New Roman"/>
          <w:strike/>
        </w:rPr>
        <w:t xml:space="preserve"> lamp(s)</w:t>
      </w:r>
      <w:r w:rsidRPr="008D6F03">
        <w:rPr>
          <w:rFonts w:eastAsia="Times New Roman"/>
        </w:rPr>
        <w:t>, gas-discharge</w:t>
      </w:r>
      <w:r w:rsidRPr="008D6F03">
        <w:rPr>
          <w:rFonts w:eastAsia="Times New Roman"/>
          <w:b/>
        </w:rPr>
        <w:t xml:space="preserve"> or LED</w:t>
      </w:r>
      <w:r w:rsidRPr="008D6F03">
        <w:rPr>
          <w:rFonts w:eastAsia="Times New Roman"/>
        </w:rPr>
        <w:t xml:space="preserve"> light source or LED module(s), are assembled to form a composite unit the adjusting device shall enable each optical system in</w:t>
      </w:r>
      <w:r w:rsidR="00314E99">
        <w:rPr>
          <w:rFonts w:eastAsia="Times New Roman"/>
        </w:rPr>
        <w:t>dividually to be duly adjusted.</w:t>
      </w:r>
      <w:r w:rsidR="00314E99">
        <w:rPr>
          <w:rFonts w:eastAsia="MS Mincho"/>
        </w:rPr>
        <w:t>"</w:t>
      </w:r>
    </w:p>
    <w:p w:rsidR="008D6F03" w:rsidRPr="008D6F03" w:rsidRDefault="008D6F03" w:rsidP="00314E99">
      <w:pPr>
        <w:keepNext/>
        <w:keepLines/>
        <w:spacing w:after="120"/>
        <w:ind w:left="2268" w:right="1134" w:hanging="1134"/>
        <w:jc w:val="both"/>
        <w:rPr>
          <w:rFonts w:eastAsia="Times New Roman"/>
        </w:rPr>
      </w:pPr>
      <w:r w:rsidRPr="008D6F03">
        <w:rPr>
          <w:rFonts w:eastAsia="Times New Roman"/>
          <w:i/>
          <w:iCs/>
        </w:rPr>
        <w:lastRenderedPageBreak/>
        <w:t xml:space="preserve">Paragraph 4.17.3.1., </w:t>
      </w:r>
      <w:r w:rsidRPr="008D6F03">
        <w:rPr>
          <w:rFonts w:eastAsia="Times New Roman"/>
        </w:rPr>
        <w:t>amend to read:</w:t>
      </w:r>
    </w:p>
    <w:p w:rsidR="008D6F03" w:rsidRPr="008D6F03" w:rsidRDefault="00314E99" w:rsidP="00314E99">
      <w:pPr>
        <w:keepNext/>
        <w:keepLines/>
        <w:spacing w:after="120"/>
        <w:ind w:left="2268" w:right="1134" w:hanging="1134"/>
        <w:jc w:val="both"/>
        <w:rPr>
          <w:rFonts w:eastAsia="Times New Roman"/>
        </w:rPr>
      </w:pPr>
      <w:r>
        <w:rPr>
          <w:rFonts w:eastAsia="MS Mincho"/>
        </w:rPr>
        <w:t>"</w:t>
      </w:r>
      <w:r w:rsidR="008D6F03" w:rsidRPr="008D6F03">
        <w:rPr>
          <w:rFonts w:eastAsia="Times New Roman"/>
          <w:iCs/>
        </w:rPr>
        <w:t>4.</w:t>
      </w:r>
      <w:r w:rsidR="008D6F03" w:rsidRPr="008D6F03">
        <w:rPr>
          <w:rFonts w:eastAsia="Times New Roman"/>
        </w:rPr>
        <w:t>17.3.1.</w:t>
      </w:r>
      <w:r w:rsidR="008D6F03" w:rsidRPr="008D6F03">
        <w:rPr>
          <w:rFonts w:eastAsia="Times New Roman"/>
        </w:rPr>
        <w:tab/>
        <w:t xml:space="preserve">Headlamps shall be equipped with filament </w:t>
      </w:r>
      <w:r w:rsidR="008D6F03" w:rsidRPr="008D6F03">
        <w:rPr>
          <w:rFonts w:eastAsia="Times New Roman"/>
          <w:b/>
        </w:rPr>
        <w:t>or LED light source</w:t>
      </w:r>
      <w:r w:rsidR="008D6F03" w:rsidRPr="008D6F03">
        <w:rPr>
          <w:rFonts w:eastAsia="Times New Roman"/>
          <w:b/>
          <w:strike/>
        </w:rPr>
        <w:t xml:space="preserve"> </w:t>
      </w:r>
      <w:r w:rsidR="008D6F03" w:rsidRPr="008D6F03">
        <w:rPr>
          <w:rFonts w:eastAsia="Times New Roman"/>
          <w:strike/>
        </w:rPr>
        <w:t>lamp</w:t>
      </w:r>
      <w:r w:rsidR="008D6F03" w:rsidRPr="008D6F03">
        <w:rPr>
          <w:rFonts w:eastAsia="Times New Roman"/>
        </w:rPr>
        <w:t xml:space="preserve">(s) approved according to Regulation No. 37 </w:t>
      </w:r>
      <w:r w:rsidR="008D6F03" w:rsidRPr="008D6F03">
        <w:rPr>
          <w:rFonts w:eastAsia="Times New Roman"/>
          <w:b/>
        </w:rPr>
        <w:t>and No. 128 respectively</w:t>
      </w:r>
      <w:r w:rsidR="008D6F03" w:rsidRPr="008D6F03">
        <w:rPr>
          <w:rFonts w:eastAsia="Times New Roman"/>
        </w:rPr>
        <w:t>, and/or, with (an) LED module(s).</w:t>
      </w:r>
    </w:p>
    <w:p w:rsidR="008D6F03" w:rsidRPr="008D6F03" w:rsidRDefault="008D6F03" w:rsidP="009A22DA">
      <w:pPr>
        <w:spacing w:after="120"/>
        <w:ind w:left="2268" w:right="1134"/>
        <w:jc w:val="both"/>
        <w:rPr>
          <w:rFonts w:eastAsia="Times New Roman"/>
        </w:rPr>
      </w:pPr>
      <w:r w:rsidRPr="008D6F03">
        <w:rPr>
          <w:rFonts w:eastAsia="Times New Roman"/>
        </w:rPr>
        <w:t xml:space="preserve">In the case of the use of additional light source(s) and/or additional lighting unit(s) to provide bend lighting, only categories of filament </w:t>
      </w:r>
      <w:r w:rsidRPr="008D6F03">
        <w:rPr>
          <w:rFonts w:eastAsia="Times New Roman"/>
          <w:b/>
        </w:rPr>
        <w:t>or LED light sources</w:t>
      </w:r>
      <w:r w:rsidRPr="008D6F03">
        <w:rPr>
          <w:rFonts w:eastAsia="Times New Roman"/>
        </w:rPr>
        <w:t xml:space="preserve"> </w:t>
      </w:r>
      <w:r w:rsidRPr="008D6F03">
        <w:rPr>
          <w:rFonts w:eastAsia="Times New Roman"/>
          <w:strike/>
        </w:rPr>
        <w:t xml:space="preserve">lamps </w:t>
      </w:r>
      <w:r w:rsidRPr="008D6F03">
        <w:rPr>
          <w:rFonts w:eastAsia="Times New Roman"/>
        </w:rPr>
        <w:t>covered by Regulation No. 37</w:t>
      </w:r>
      <w:r w:rsidRPr="008D6F03">
        <w:rPr>
          <w:rFonts w:eastAsia="Times New Roman"/>
          <w:b/>
        </w:rPr>
        <w:t xml:space="preserve"> or No. 128</w:t>
      </w:r>
      <w:r w:rsidRPr="008D6F03">
        <w:rPr>
          <w:rFonts w:eastAsia="Times New Roman"/>
        </w:rPr>
        <w:t xml:space="preserve">, provided that no restriction on the use for bending light is made in Regulation No. 37 </w:t>
      </w:r>
      <w:r w:rsidR="00EC08AE">
        <w:rPr>
          <w:rFonts w:eastAsia="Times New Roman"/>
          <w:b/>
        </w:rPr>
        <w:t>and No. </w:t>
      </w:r>
      <w:r w:rsidRPr="008D6F03">
        <w:rPr>
          <w:rFonts w:eastAsia="Times New Roman"/>
          <w:b/>
        </w:rPr>
        <w:t>128 respectively</w:t>
      </w:r>
      <w:r w:rsidRPr="008D6F03">
        <w:rPr>
          <w:rFonts w:eastAsia="Times New Roman"/>
        </w:rPr>
        <w:t>, and its series of amendments in force at the time of application for type approval, and / o</w:t>
      </w:r>
      <w:r w:rsidR="00314E99">
        <w:rPr>
          <w:rFonts w:eastAsia="Times New Roman"/>
        </w:rPr>
        <w:t>r LED modules(s) shall be used.</w:t>
      </w:r>
      <w:r w:rsidR="00314E99">
        <w:rPr>
          <w:rFonts w:eastAsia="MS Mincho"/>
        </w:rPr>
        <w:t>"</w:t>
      </w:r>
    </w:p>
    <w:p w:rsidR="008D6F03" w:rsidRPr="008D6F03" w:rsidRDefault="008D6F03" w:rsidP="009A22DA">
      <w:pPr>
        <w:spacing w:after="120"/>
        <w:ind w:left="2268" w:right="1134" w:hanging="1134"/>
        <w:jc w:val="both"/>
        <w:rPr>
          <w:rFonts w:eastAsia="Times New Roman"/>
        </w:rPr>
      </w:pPr>
      <w:r w:rsidRPr="008D6F03">
        <w:rPr>
          <w:rFonts w:eastAsia="Times New Roman"/>
          <w:i/>
          <w:iCs/>
        </w:rPr>
        <w:t xml:space="preserve">Paragraph 4.17.3.2., </w:t>
      </w:r>
      <w:r w:rsidRPr="008D6F03">
        <w:rPr>
          <w:rFonts w:eastAsia="Times New Roman"/>
        </w:rPr>
        <w:t xml:space="preserve">amend to read: </w:t>
      </w:r>
    </w:p>
    <w:p w:rsidR="008D6F03" w:rsidRPr="008D6F03" w:rsidRDefault="00314E99" w:rsidP="009A22DA">
      <w:pPr>
        <w:spacing w:after="120"/>
        <w:ind w:left="2268" w:right="1134" w:hanging="1134"/>
        <w:jc w:val="both"/>
        <w:rPr>
          <w:rFonts w:eastAsia="Times New Roman"/>
        </w:rPr>
      </w:pPr>
      <w:r>
        <w:rPr>
          <w:rFonts w:eastAsia="MS Mincho"/>
        </w:rPr>
        <w:t>"</w:t>
      </w:r>
      <w:r w:rsidR="008D6F03" w:rsidRPr="008D6F03">
        <w:rPr>
          <w:rFonts w:eastAsia="Times New Roman"/>
        </w:rPr>
        <w:t>4.17.3.2.</w:t>
      </w:r>
      <w:r w:rsidR="008D6F03" w:rsidRPr="008D6F03">
        <w:rPr>
          <w:rFonts w:eastAsia="Times New Roman"/>
        </w:rPr>
        <w:tab/>
        <w:t>It is possible to use two filament light sources for the principal passing beam and several filament light sources for the driving beam.</w:t>
      </w:r>
    </w:p>
    <w:p w:rsidR="008D6F03" w:rsidRPr="008D6F03" w:rsidRDefault="009A22DA" w:rsidP="009A22DA">
      <w:pPr>
        <w:tabs>
          <w:tab w:val="right" w:pos="850"/>
          <w:tab w:val="left" w:pos="1134"/>
          <w:tab w:val="left" w:pos="1559"/>
          <w:tab w:val="left" w:pos="1984"/>
          <w:tab w:val="left" w:pos="2268"/>
          <w:tab w:val="left" w:leader="dot" w:pos="8929"/>
          <w:tab w:val="right" w:pos="9638"/>
        </w:tabs>
        <w:spacing w:after="120"/>
        <w:ind w:left="2268" w:right="1134" w:hanging="1134"/>
        <w:jc w:val="both"/>
        <w:rPr>
          <w:rFonts w:eastAsia="Times New Roman"/>
        </w:rPr>
      </w:pPr>
      <w:r>
        <w:rPr>
          <w:rFonts w:eastAsia="Times New Roman"/>
        </w:rPr>
        <w:tab/>
      </w:r>
      <w:r>
        <w:rPr>
          <w:rFonts w:eastAsia="Times New Roman"/>
        </w:rPr>
        <w:tab/>
      </w:r>
      <w:r>
        <w:rPr>
          <w:rFonts w:eastAsia="Times New Roman"/>
        </w:rPr>
        <w:tab/>
      </w:r>
      <w:r w:rsidR="008D6F03" w:rsidRPr="008D6F03">
        <w:rPr>
          <w:rFonts w:eastAsia="Times New Roman"/>
        </w:rPr>
        <w:t xml:space="preserve">Any Regulation No. 37 filament </w:t>
      </w:r>
      <w:r w:rsidR="008D6F03" w:rsidRPr="008D6F03">
        <w:rPr>
          <w:rFonts w:eastAsia="Times New Roman"/>
          <w:strike/>
        </w:rPr>
        <w:t xml:space="preserve">lamp </w:t>
      </w:r>
      <w:r w:rsidR="008D6F03" w:rsidRPr="008D6F03">
        <w:rPr>
          <w:rFonts w:eastAsia="Times New Roman"/>
          <w:b/>
        </w:rPr>
        <w:t>light source</w:t>
      </w:r>
      <w:r w:rsidR="008D6F03" w:rsidRPr="008D6F03">
        <w:rPr>
          <w:rFonts w:eastAsia="Times New Roman"/>
        </w:rPr>
        <w:t xml:space="preserve"> may be used, provided that:</w:t>
      </w:r>
    </w:p>
    <w:p w:rsidR="008D6F03" w:rsidRPr="008D6F03" w:rsidRDefault="00314E99" w:rsidP="009A22DA">
      <w:pPr>
        <w:spacing w:after="120"/>
        <w:ind w:left="2835" w:right="1134" w:hanging="567"/>
        <w:jc w:val="both"/>
        <w:rPr>
          <w:rFonts w:eastAsia="Times New Roman"/>
        </w:rPr>
      </w:pPr>
      <w:r>
        <w:rPr>
          <w:rFonts w:eastAsia="Times New Roman"/>
        </w:rPr>
        <w:t>(a)</w:t>
      </w:r>
      <w:r w:rsidR="008D6F03" w:rsidRPr="008D6F03">
        <w:rPr>
          <w:rFonts w:eastAsia="Times New Roman"/>
        </w:rPr>
        <w:tab/>
        <w:t xml:space="preserve">No restriction on the use is made in Regulation No. 37 and its series of amendments in force at the time of application for type approval; </w:t>
      </w:r>
    </w:p>
    <w:p w:rsidR="008D6F03" w:rsidRPr="008D6F03" w:rsidRDefault="00314E99" w:rsidP="009A22DA">
      <w:pPr>
        <w:spacing w:after="120"/>
        <w:ind w:left="2835" w:right="1134" w:hanging="567"/>
        <w:jc w:val="both"/>
        <w:rPr>
          <w:rFonts w:eastAsia="Times New Roman"/>
        </w:rPr>
      </w:pPr>
      <w:r>
        <w:rPr>
          <w:rFonts w:eastAsia="Times New Roman"/>
        </w:rPr>
        <w:t>(b)</w:t>
      </w:r>
      <w:r w:rsidR="008D6F03" w:rsidRPr="008D6F03">
        <w:rPr>
          <w:rFonts w:eastAsia="Times New Roman"/>
        </w:rPr>
        <w:tab/>
        <w:t>For Class A and B, its reference luminous flux at 13.2V for principal dipped-beam does not exceed 900 lm;</w:t>
      </w:r>
    </w:p>
    <w:p w:rsidR="008D6F03" w:rsidRPr="008D6F03" w:rsidRDefault="00314E99" w:rsidP="009A22DA">
      <w:pPr>
        <w:spacing w:after="120"/>
        <w:ind w:left="2835" w:right="1134" w:hanging="567"/>
        <w:jc w:val="both"/>
        <w:rPr>
          <w:rFonts w:eastAsia="Times New Roman"/>
        </w:rPr>
      </w:pPr>
      <w:r>
        <w:rPr>
          <w:rFonts w:eastAsia="Times New Roman"/>
        </w:rPr>
        <w:t>(c)</w:t>
      </w:r>
      <w:r w:rsidR="008D6F03" w:rsidRPr="008D6F03">
        <w:rPr>
          <w:rFonts w:eastAsia="Times New Roman"/>
        </w:rPr>
        <w:tab/>
        <w:t>For Class C and D, its reference luminous flux at 13.2V for principal dipped-beam does not exceed 2,000 lm.</w:t>
      </w:r>
    </w:p>
    <w:p w:rsidR="008D6F03" w:rsidRPr="008D6F03" w:rsidRDefault="008D6F03" w:rsidP="009A22DA">
      <w:pPr>
        <w:tabs>
          <w:tab w:val="right" w:pos="850"/>
          <w:tab w:val="left" w:pos="1134"/>
          <w:tab w:val="left" w:pos="1559"/>
          <w:tab w:val="left" w:pos="1984"/>
          <w:tab w:val="left" w:pos="2268"/>
          <w:tab w:val="left" w:leader="dot" w:pos="8929"/>
          <w:tab w:val="right" w:pos="9638"/>
        </w:tabs>
        <w:spacing w:after="120"/>
        <w:ind w:left="2268" w:right="1134" w:hanging="1134"/>
        <w:jc w:val="both"/>
        <w:rPr>
          <w:rFonts w:eastAsia="Times New Roman"/>
        </w:rPr>
      </w:pPr>
      <w:r w:rsidRPr="008D6F03">
        <w:rPr>
          <w:rFonts w:eastAsia="Times New Roman"/>
        </w:rPr>
        <w:tab/>
      </w:r>
      <w:r w:rsidRPr="008D6F03">
        <w:rPr>
          <w:rFonts w:eastAsia="Times New Roman"/>
        </w:rPr>
        <w:tab/>
      </w:r>
      <w:r w:rsidRPr="008D6F03">
        <w:rPr>
          <w:rFonts w:eastAsia="Times New Roman"/>
        </w:rPr>
        <w:tab/>
        <w:t xml:space="preserve">The design of the device shall be such that the filament </w:t>
      </w:r>
      <w:r w:rsidRPr="008D6F03">
        <w:rPr>
          <w:rFonts w:eastAsia="Times New Roman"/>
          <w:strike/>
        </w:rPr>
        <w:t xml:space="preserve">lamp </w:t>
      </w:r>
      <w:r w:rsidRPr="008D6F03">
        <w:rPr>
          <w:rFonts w:eastAsia="Times New Roman"/>
          <w:b/>
        </w:rPr>
        <w:t>light source</w:t>
      </w:r>
      <w:r w:rsidRPr="008D6F03">
        <w:rPr>
          <w:rFonts w:eastAsia="Times New Roman"/>
        </w:rPr>
        <w:t xml:space="preserve"> can be fixed in no othe</w:t>
      </w:r>
      <w:r w:rsidR="00314E99">
        <w:rPr>
          <w:rFonts w:eastAsia="Times New Roman"/>
        </w:rPr>
        <w:t>r position but the correct one</w:t>
      </w:r>
      <w:r w:rsidR="00314E99">
        <w:rPr>
          <w:rFonts w:eastAsia="Times New Roman"/>
          <w:vertAlign w:val="superscript"/>
        </w:rPr>
        <w:t>8</w:t>
      </w:r>
      <w:r w:rsidR="00314E99" w:rsidRPr="00314E99">
        <w:rPr>
          <w:rFonts w:eastAsia="Times New Roman"/>
        </w:rPr>
        <w:t>.</w:t>
      </w:r>
    </w:p>
    <w:p w:rsidR="008D6F03" w:rsidRPr="008D6F03" w:rsidRDefault="008D6F03" w:rsidP="009A22DA">
      <w:pPr>
        <w:tabs>
          <w:tab w:val="right" w:pos="850"/>
          <w:tab w:val="left" w:pos="1134"/>
          <w:tab w:val="left" w:pos="1559"/>
          <w:tab w:val="left" w:pos="1984"/>
          <w:tab w:val="left" w:pos="2268"/>
          <w:tab w:val="left" w:leader="dot" w:pos="8929"/>
          <w:tab w:val="right" w:pos="9638"/>
        </w:tabs>
        <w:spacing w:after="120"/>
        <w:ind w:left="2268" w:right="1134" w:hanging="1134"/>
        <w:jc w:val="both"/>
        <w:rPr>
          <w:rFonts w:eastAsia="Times New Roman"/>
        </w:rPr>
      </w:pPr>
      <w:r w:rsidRPr="008D6F03">
        <w:rPr>
          <w:rFonts w:eastAsia="Times New Roman"/>
        </w:rPr>
        <w:tab/>
      </w:r>
      <w:r w:rsidRPr="008D6F03">
        <w:rPr>
          <w:rFonts w:eastAsia="Times New Roman"/>
        </w:rPr>
        <w:tab/>
      </w:r>
      <w:r w:rsidRPr="008D6F03">
        <w:rPr>
          <w:rFonts w:eastAsia="Times New Roman"/>
        </w:rPr>
        <w:tab/>
        <w:t xml:space="preserve">The filament </w:t>
      </w:r>
      <w:r w:rsidRPr="008D6F03">
        <w:rPr>
          <w:rFonts w:eastAsia="Times New Roman"/>
          <w:strike/>
        </w:rPr>
        <w:t xml:space="preserve">lamp </w:t>
      </w:r>
      <w:r w:rsidRPr="008D6F03">
        <w:rPr>
          <w:rFonts w:eastAsia="Times New Roman"/>
          <w:b/>
        </w:rPr>
        <w:t>light source</w:t>
      </w:r>
      <w:r w:rsidRPr="008D6F03">
        <w:rPr>
          <w:rFonts w:eastAsia="Times New Roman"/>
        </w:rPr>
        <w:t xml:space="preserve"> holder shall conform to the characteristics given in IEC Publication 60061. The holder data sheet relevant to the category of filament </w:t>
      </w:r>
      <w:r w:rsidRPr="008D6F03">
        <w:rPr>
          <w:rFonts w:eastAsia="Times New Roman"/>
          <w:strike/>
        </w:rPr>
        <w:t xml:space="preserve">lamp </w:t>
      </w:r>
      <w:r w:rsidRPr="008D6F03">
        <w:rPr>
          <w:rFonts w:eastAsia="Times New Roman"/>
          <w:b/>
        </w:rPr>
        <w:t>light source</w:t>
      </w:r>
      <w:r w:rsidR="00314E99">
        <w:rPr>
          <w:rFonts w:eastAsia="Times New Roman"/>
        </w:rPr>
        <w:t xml:space="preserve"> used, applies.</w:t>
      </w:r>
      <w:r w:rsidR="00314E99">
        <w:rPr>
          <w:rFonts w:eastAsia="MS Mincho"/>
        </w:rPr>
        <w:t>"</w:t>
      </w:r>
    </w:p>
    <w:p w:rsidR="008D6F03" w:rsidRPr="008D6F03" w:rsidRDefault="008D6F03" w:rsidP="009A22DA">
      <w:pPr>
        <w:spacing w:after="120"/>
        <w:ind w:left="2268" w:right="1134" w:hanging="1134"/>
        <w:jc w:val="both"/>
        <w:rPr>
          <w:rFonts w:eastAsia="Times New Roman"/>
        </w:rPr>
      </w:pPr>
      <w:r w:rsidRPr="008D6F03">
        <w:rPr>
          <w:rFonts w:eastAsia="Times New Roman"/>
          <w:i/>
          <w:iCs/>
        </w:rPr>
        <w:t xml:space="preserve">Paragraph 4.17.4.1. and 4.17.4.2. </w:t>
      </w:r>
      <w:r w:rsidRPr="008D6F03">
        <w:rPr>
          <w:rFonts w:eastAsia="Times New Roman"/>
        </w:rPr>
        <w:t>amend to read:</w:t>
      </w:r>
    </w:p>
    <w:p w:rsidR="008D6F03" w:rsidRPr="008D6F03" w:rsidRDefault="00314E99" w:rsidP="009A22DA">
      <w:pPr>
        <w:tabs>
          <w:tab w:val="right" w:pos="851"/>
          <w:tab w:val="left" w:pos="1134"/>
          <w:tab w:val="left" w:pos="1559"/>
          <w:tab w:val="left" w:pos="1984"/>
          <w:tab w:val="left" w:pos="2268"/>
          <w:tab w:val="left" w:leader="dot" w:pos="8929"/>
          <w:tab w:val="right" w:pos="9638"/>
        </w:tabs>
        <w:spacing w:after="120"/>
        <w:ind w:left="2268" w:right="1134" w:hanging="1134"/>
        <w:jc w:val="both"/>
        <w:rPr>
          <w:rFonts w:eastAsia="Times New Roman"/>
        </w:rPr>
      </w:pPr>
      <w:r>
        <w:rPr>
          <w:rFonts w:eastAsia="MS Mincho"/>
        </w:rPr>
        <w:t>"</w:t>
      </w:r>
      <w:r w:rsidR="008D6F03" w:rsidRPr="008D6F03">
        <w:rPr>
          <w:rFonts w:eastAsia="Times New Roman"/>
          <w:iCs/>
        </w:rPr>
        <w:t>4</w:t>
      </w:r>
      <w:r w:rsidR="008D6F03" w:rsidRPr="008D6F03">
        <w:rPr>
          <w:rFonts w:eastAsia="Times New Roman"/>
        </w:rPr>
        <w:t xml:space="preserve">.17.4.1. </w:t>
      </w:r>
      <w:r w:rsidR="008D6F03" w:rsidRPr="008D6F03">
        <w:rPr>
          <w:rFonts w:eastAsia="Times New Roman"/>
        </w:rPr>
        <w:tab/>
        <w:t xml:space="preserve">The headlamp shall be equipped with (a) gas-discharge light source(s) approved according to Regulation No. 99 </w:t>
      </w:r>
      <w:r w:rsidR="008D6F03" w:rsidRPr="008D6F03">
        <w:rPr>
          <w:rFonts w:eastAsia="Times New Roman"/>
          <w:b/>
        </w:rPr>
        <w:t>and/or with LED light source(s) approved according to Regulation No. 128</w:t>
      </w:r>
      <w:r w:rsidR="008D6F03" w:rsidRPr="008D6F03">
        <w:rPr>
          <w:rFonts w:eastAsia="Times New Roman"/>
        </w:rPr>
        <w:t xml:space="preserve"> and/or (an) LED module(s).</w:t>
      </w:r>
    </w:p>
    <w:p w:rsidR="008D6F03" w:rsidRPr="008D6F03" w:rsidRDefault="008D6F03" w:rsidP="009A22DA">
      <w:pPr>
        <w:spacing w:after="120"/>
        <w:ind w:left="2268" w:right="1134"/>
        <w:jc w:val="both"/>
        <w:rPr>
          <w:rFonts w:eastAsia="Times New Roman"/>
        </w:rPr>
      </w:pPr>
      <w:r w:rsidRPr="008D6F03">
        <w:rPr>
          <w:rFonts w:eastAsia="Times New Roman"/>
        </w:rPr>
        <w:t xml:space="preserve">In the case of the use of additional light source(s) and/or additional lighting unit(s) to provide bend lighting, only categories of filament lamps covered by Regulation No. 37, provided that no restriction on the use for bending light is made in Regulation No. 37 and its series of amendments in force at the time of application for type, </w:t>
      </w:r>
      <w:r w:rsidRPr="008D6F03">
        <w:rPr>
          <w:rFonts w:eastAsia="Times New Roman"/>
          <w:b/>
        </w:rPr>
        <w:t>and/or categories of LED light sources covered by Regulation No. 128, provided that no restriction on the use for bending light is made in Regulation No. 128 and its series of amendments in force at the time of application for type approval, and/o</w:t>
      </w:r>
      <w:r w:rsidR="00314E99">
        <w:rPr>
          <w:rFonts w:eastAsia="Times New Roman"/>
          <w:b/>
        </w:rPr>
        <w:t>r LED modules(s) shall be used</w:t>
      </w:r>
      <w:r w:rsidR="00314E99" w:rsidRPr="00314E99">
        <w:rPr>
          <w:rFonts w:eastAsia="Times New Roman"/>
        </w:rPr>
        <w:t>.</w:t>
      </w:r>
      <w:r w:rsidR="00314E99">
        <w:rPr>
          <w:rFonts w:eastAsia="MS Mincho"/>
        </w:rPr>
        <w:t>"</w:t>
      </w:r>
    </w:p>
    <w:p w:rsidR="008D6F03" w:rsidRPr="008D6F03" w:rsidRDefault="00314E99" w:rsidP="009A22DA">
      <w:pPr>
        <w:tabs>
          <w:tab w:val="right" w:pos="851"/>
          <w:tab w:val="left" w:pos="1134"/>
          <w:tab w:val="left" w:pos="1559"/>
          <w:tab w:val="left" w:pos="1984"/>
          <w:tab w:val="left" w:pos="2268"/>
          <w:tab w:val="left" w:leader="dot" w:pos="8929"/>
          <w:tab w:val="right" w:pos="9638"/>
        </w:tabs>
        <w:spacing w:after="120"/>
        <w:ind w:left="2268" w:right="1134" w:hanging="1134"/>
        <w:jc w:val="both"/>
        <w:rPr>
          <w:rFonts w:eastAsia="Times New Roman"/>
        </w:rPr>
      </w:pPr>
      <w:r>
        <w:rPr>
          <w:rFonts w:eastAsia="MS Mincho"/>
        </w:rPr>
        <w:t>"</w:t>
      </w:r>
      <w:r w:rsidR="008D6F03" w:rsidRPr="008D6F03">
        <w:rPr>
          <w:rFonts w:eastAsia="Times New Roman"/>
          <w:iCs/>
        </w:rPr>
        <w:t>4</w:t>
      </w:r>
      <w:r w:rsidR="008D6F03" w:rsidRPr="008D6F03">
        <w:rPr>
          <w:rFonts w:eastAsia="Times New Roman"/>
        </w:rPr>
        <w:t>.17.4.2.</w:t>
      </w:r>
      <w:r w:rsidR="008D6F03" w:rsidRPr="008D6F03">
        <w:rPr>
          <w:rFonts w:eastAsia="Times New Roman"/>
        </w:rPr>
        <w:tab/>
      </w:r>
      <w:r w:rsidR="008D6F03" w:rsidRPr="008D6F03">
        <w:rPr>
          <w:rFonts w:eastAsia="Times New Roman"/>
        </w:rPr>
        <w:tab/>
        <w:t xml:space="preserve">In the case of replaceable </w:t>
      </w:r>
      <w:r w:rsidR="008D6F03" w:rsidRPr="008D6F03">
        <w:rPr>
          <w:rFonts w:eastAsia="Times New Roman"/>
          <w:strike/>
        </w:rPr>
        <w:t xml:space="preserve">gas discharge </w:t>
      </w:r>
      <w:r w:rsidR="008D6F03" w:rsidRPr="008D6F03">
        <w:rPr>
          <w:rFonts w:eastAsia="Times New Roman"/>
        </w:rPr>
        <w:t>light sources the lamp holder shall conform to the dimensional characteristics as given on the data sheet of IEC Publication 60061-2, relevant to the category of gas-discharge light source used. The gas-discharge light source shal</w:t>
      </w:r>
      <w:r>
        <w:rPr>
          <w:rFonts w:eastAsia="Times New Roman"/>
        </w:rPr>
        <w:t>l fit easily into the headlamp.</w:t>
      </w:r>
      <w:r>
        <w:rPr>
          <w:rFonts w:eastAsia="MS Mincho"/>
        </w:rPr>
        <w:t>"</w:t>
      </w:r>
    </w:p>
    <w:p w:rsidR="008D6F03" w:rsidRPr="008D6F03" w:rsidRDefault="008D6F03" w:rsidP="00314E99">
      <w:pPr>
        <w:keepNext/>
        <w:keepLines/>
        <w:spacing w:after="120"/>
        <w:ind w:left="2268" w:right="1134" w:hanging="1134"/>
        <w:jc w:val="both"/>
        <w:rPr>
          <w:rFonts w:eastAsia="Times New Roman"/>
        </w:rPr>
      </w:pPr>
      <w:r w:rsidRPr="008D6F03">
        <w:rPr>
          <w:rFonts w:eastAsia="Times New Roman"/>
          <w:i/>
          <w:iCs/>
        </w:rPr>
        <w:t xml:space="preserve">Paragraph </w:t>
      </w:r>
      <w:r w:rsidRPr="008D6F03">
        <w:rPr>
          <w:rFonts w:eastAsia="Times New Roman"/>
          <w:b/>
          <w:i/>
          <w:iCs/>
        </w:rPr>
        <w:t>4</w:t>
      </w:r>
      <w:r w:rsidRPr="008D6F03">
        <w:rPr>
          <w:rFonts w:eastAsia="Times New Roman"/>
          <w:i/>
          <w:iCs/>
        </w:rPr>
        <w:t xml:space="preserve">.17.9., </w:t>
      </w:r>
      <w:r w:rsidRPr="008D6F03">
        <w:rPr>
          <w:rFonts w:eastAsia="Times New Roman"/>
        </w:rPr>
        <w:t>amend to read:</w:t>
      </w:r>
    </w:p>
    <w:p w:rsidR="008D6F03" w:rsidRPr="008D6F03" w:rsidRDefault="00314E99" w:rsidP="00314E99">
      <w:pPr>
        <w:keepNext/>
        <w:keepLines/>
        <w:tabs>
          <w:tab w:val="left" w:pos="1134"/>
          <w:tab w:val="right" w:pos="1276"/>
          <w:tab w:val="left" w:pos="1559"/>
          <w:tab w:val="left" w:pos="1984"/>
          <w:tab w:val="left" w:pos="2268"/>
          <w:tab w:val="left" w:leader="dot" w:pos="8929"/>
          <w:tab w:val="right" w:pos="9638"/>
        </w:tabs>
        <w:spacing w:after="120"/>
        <w:ind w:left="2268" w:right="1134" w:hanging="1134"/>
        <w:jc w:val="both"/>
        <w:rPr>
          <w:rFonts w:eastAsia="Times New Roman"/>
        </w:rPr>
      </w:pPr>
      <w:r>
        <w:rPr>
          <w:rFonts w:eastAsia="MS Mincho"/>
        </w:rPr>
        <w:t>"</w:t>
      </w:r>
      <w:r w:rsidR="008D6F03" w:rsidRPr="008D6F03">
        <w:rPr>
          <w:rFonts w:eastAsia="Times New Roman"/>
        </w:rPr>
        <w:t>4.17.9.</w:t>
      </w:r>
      <w:r w:rsidR="008D6F03" w:rsidRPr="008D6F03">
        <w:rPr>
          <w:rFonts w:eastAsia="Times New Roman"/>
        </w:rPr>
        <w:tab/>
      </w:r>
      <w:r w:rsidR="008D6F03" w:rsidRPr="008D6F03">
        <w:rPr>
          <w:rFonts w:eastAsia="Times New Roman"/>
        </w:rPr>
        <w:tab/>
        <w:t>For class A and B, and passing beam of class D and AFS, the definitions in paragraphs 2.7.1.1.3. and 2.7.1.1.7., in UN Regulation No. 48 allow the use of LED module, which may contain ho</w:t>
      </w:r>
      <w:r w:rsidR="00EC08AE">
        <w:rPr>
          <w:rFonts w:eastAsia="Times New Roman"/>
        </w:rPr>
        <w:t xml:space="preserve">lders for other light sources. </w:t>
      </w:r>
      <w:r w:rsidR="008D6F03" w:rsidRPr="008D6F03">
        <w:rPr>
          <w:rFonts w:eastAsia="Times New Roman"/>
        </w:rPr>
        <w:t xml:space="preserve">Notwithstanding this provision a mixture of </w:t>
      </w:r>
      <w:r w:rsidR="008D6F03" w:rsidRPr="008D6F03">
        <w:rPr>
          <w:rFonts w:eastAsia="Times New Roman"/>
          <w:strike/>
        </w:rPr>
        <w:t>LED’(s)</w:t>
      </w:r>
      <w:r w:rsidR="008D6F03" w:rsidRPr="008D6F03">
        <w:rPr>
          <w:rFonts w:eastAsia="Times New Roman"/>
        </w:rPr>
        <w:t xml:space="preserve"> </w:t>
      </w:r>
      <w:r w:rsidR="008D6F03" w:rsidRPr="008D6F03">
        <w:rPr>
          <w:rFonts w:eastAsia="Times New Roman"/>
          <w:b/>
        </w:rPr>
        <w:t>LED light sources or LED modules with</w:t>
      </w:r>
      <w:r w:rsidR="008D6F03" w:rsidRPr="008D6F03">
        <w:rPr>
          <w:rFonts w:eastAsia="Times New Roman"/>
          <w:b/>
          <w:strike/>
        </w:rPr>
        <w:t xml:space="preserve"> </w:t>
      </w:r>
      <w:r w:rsidR="008D6F03" w:rsidRPr="008D6F03">
        <w:rPr>
          <w:rFonts w:eastAsia="Times New Roman"/>
          <w:strike/>
        </w:rPr>
        <w:t>and</w:t>
      </w:r>
      <w:r w:rsidR="008D6F03" w:rsidRPr="008D6F03">
        <w:rPr>
          <w:rFonts w:eastAsia="Times New Roman"/>
        </w:rPr>
        <w:t xml:space="preserve"> other light sources for the passing beam or each driving beam, as specified by </w:t>
      </w:r>
      <w:r>
        <w:rPr>
          <w:rFonts w:eastAsia="Times New Roman"/>
        </w:rPr>
        <w:t>this Regulation is not allowed.</w:t>
      </w:r>
      <w:r>
        <w:rPr>
          <w:rFonts w:eastAsia="MS Mincho"/>
        </w:rPr>
        <w:t>"</w:t>
      </w:r>
    </w:p>
    <w:p w:rsidR="008D6F03" w:rsidRPr="008D6F03" w:rsidRDefault="008D6F03" w:rsidP="009A22DA">
      <w:pPr>
        <w:spacing w:after="120"/>
        <w:ind w:left="2268" w:right="1134" w:hanging="1134"/>
        <w:jc w:val="both"/>
        <w:rPr>
          <w:rFonts w:eastAsia="Times New Roman"/>
        </w:rPr>
      </w:pPr>
      <w:r w:rsidRPr="008D6F03">
        <w:rPr>
          <w:rFonts w:eastAsia="Times New Roman"/>
          <w:i/>
          <w:iCs/>
        </w:rPr>
        <w:t xml:space="preserve">Paragraph 5.2.4., </w:t>
      </w:r>
      <w:r w:rsidRPr="008D6F03">
        <w:rPr>
          <w:rFonts w:eastAsia="Times New Roman"/>
        </w:rPr>
        <w:t>amend to read:</w:t>
      </w:r>
    </w:p>
    <w:p w:rsidR="008D6F03" w:rsidRPr="008D6F03" w:rsidRDefault="00314E99" w:rsidP="009A22DA">
      <w:pPr>
        <w:tabs>
          <w:tab w:val="right" w:pos="850"/>
          <w:tab w:val="left" w:pos="1134"/>
          <w:tab w:val="left" w:pos="1559"/>
          <w:tab w:val="left" w:pos="1984"/>
          <w:tab w:val="left" w:pos="2268"/>
          <w:tab w:val="left" w:leader="dot" w:pos="8929"/>
          <w:tab w:val="right" w:pos="9638"/>
        </w:tabs>
        <w:spacing w:after="120"/>
        <w:ind w:left="2268" w:right="1134" w:hanging="1134"/>
        <w:jc w:val="both"/>
        <w:rPr>
          <w:rFonts w:eastAsia="Times New Roman"/>
        </w:rPr>
      </w:pPr>
      <w:r>
        <w:rPr>
          <w:rFonts w:eastAsia="MS Mincho"/>
        </w:rPr>
        <w:t>"</w:t>
      </w:r>
      <w:r w:rsidR="008D6F03" w:rsidRPr="008D6F03">
        <w:rPr>
          <w:rFonts w:eastAsia="Times New Roman"/>
        </w:rPr>
        <w:t>5.2.4.</w:t>
      </w:r>
      <w:r w:rsidR="008D6F03" w:rsidRPr="008D6F03">
        <w:rPr>
          <w:rFonts w:eastAsia="Times New Roman"/>
        </w:rPr>
        <w:tab/>
      </w:r>
      <w:r w:rsidR="008D6F03" w:rsidRPr="008D6F03">
        <w:rPr>
          <w:rFonts w:eastAsia="Times New Roman"/>
        </w:rPr>
        <w:tab/>
        <w:t xml:space="preserve">Headlamps designed to meet the requirements of both right-hand and left-hand traffic shall, in each of the two setting positions of the optical unit or LED module(s) producing the principal passing-beam or of the filament </w:t>
      </w:r>
      <w:r w:rsidR="008D6F03" w:rsidRPr="008D6F03">
        <w:rPr>
          <w:rFonts w:eastAsia="Times New Roman"/>
          <w:b/>
        </w:rPr>
        <w:t>or LED</w:t>
      </w:r>
      <w:r w:rsidR="008D6F03" w:rsidRPr="008D6F03">
        <w:rPr>
          <w:rFonts w:eastAsia="Times New Roman"/>
        </w:rPr>
        <w:t xml:space="preserve"> light source light source, meet the requirements set forth above for the corr</w:t>
      </w:r>
      <w:r>
        <w:rPr>
          <w:rFonts w:eastAsia="Times New Roman"/>
        </w:rPr>
        <w:t>esponding direction of traffic.</w:t>
      </w:r>
      <w:r>
        <w:rPr>
          <w:rFonts w:eastAsia="MS Mincho"/>
        </w:rPr>
        <w:t>"</w:t>
      </w:r>
    </w:p>
    <w:p w:rsidR="008D6F03" w:rsidRPr="008D6F03" w:rsidRDefault="008D6F03" w:rsidP="009A22DA">
      <w:pPr>
        <w:spacing w:after="120"/>
        <w:ind w:left="2268" w:right="1134" w:hanging="1134"/>
        <w:jc w:val="both"/>
        <w:rPr>
          <w:rFonts w:eastAsia="Times New Roman"/>
        </w:rPr>
      </w:pPr>
      <w:r w:rsidRPr="008D6F03">
        <w:rPr>
          <w:rFonts w:eastAsia="Times New Roman"/>
          <w:i/>
          <w:iCs/>
        </w:rPr>
        <w:t xml:space="preserve">Paragraph 5.2.5.1.3., </w:t>
      </w:r>
      <w:r w:rsidRPr="008D6F03">
        <w:rPr>
          <w:rFonts w:eastAsia="Times New Roman"/>
        </w:rPr>
        <w:t>amend to read:</w:t>
      </w:r>
    </w:p>
    <w:p w:rsidR="008D6F03" w:rsidRPr="008D6F03" w:rsidRDefault="00314E99" w:rsidP="009A22DA">
      <w:pPr>
        <w:spacing w:after="120"/>
        <w:ind w:left="2268" w:right="1134" w:hanging="1134"/>
        <w:jc w:val="both"/>
        <w:rPr>
          <w:rFonts w:eastAsia="Times New Roman"/>
        </w:rPr>
      </w:pPr>
      <w:r>
        <w:rPr>
          <w:rFonts w:eastAsia="MS Mincho"/>
        </w:rPr>
        <w:t>"</w:t>
      </w:r>
      <w:r w:rsidR="008D6F03" w:rsidRPr="008D6F03">
        <w:rPr>
          <w:rFonts w:eastAsia="Times New Roman"/>
        </w:rPr>
        <w:t>5.2.5.1.3.</w:t>
      </w:r>
      <w:r w:rsidR="008D6F03" w:rsidRPr="008D6F03">
        <w:rPr>
          <w:rFonts w:eastAsia="Times New Roman"/>
        </w:rPr>
        <w:tab/>
        <w:t xml:space="preserve">Means of one additional filament light source </w:t>
      </w:r>
      <w:r w:rsidR="008D6F03" w:rsidRPr="008D6F03">
        <w:rPr>
          <w:rFonts w:eastAsia="Times New Roman"/>
          <w:b/>
        </w:rPr>
        <w:t>or one or more LED light sources</w:t>
      </w:r>
      <w:r w:rsidR="008D6F03" w:rsidRPr="008D6F03">
        <w:rPr>
          <w:rFonts w:eastAsia="Times New Roman"/>
        </w:rPr>
        <w:t xml:space="preserve"> or one or more LED module(s) without moving horizontally the kink of the elbow of the cut-off, measurements shall be carried out with this</w:t>
      </w:r>
      <w:r w:rsidR="008D6F03" w:rsidRPr="008D6F03">
        <w:rPr>
          <w:rFonts w:eastAsia="Times New Roman"/>
          <w:b/>
        </w:rPr>
        <w:t>/these light</w:t>
      </w:r>
      <w:r w:rsidR="008D6F03" w:rsidRPr="008D6F03">
        <w:rPr>
          <w:rFonts w:eastAsia="Times New Roman"/>
        </w:rPr>
        <w:t xml:space="preserve"> source</w:t>
      </w:r>
      <w:r w:rsidR="008D6F03" w:rsidRPr="008D6F03">
        <w:rPr>
          <w:rFonts w:eastAsia="Times New Roman"/>
          <w:b/>
        </w:rPr>
        <w:t>(s)</w:t>
      </w:r>
      <w:r>
        <w:rPr>
          <w:rFonts w:eastAsia="Times New Roman"/>
        </w:rPr>
        <w:t xml:space="preserve"> or LED module(s) activated.</w:t>
      </w:r>
      <w:r>
        <w:rPr>
          <w:rFonts w:eastAsia="MS Mincho"/>
        </w:rPr>
        <w:t>"</w:t>
      </w:r>
    </w:p>
    <w:p w:rsidR="008D6F03" w:rsidRPr="008D6F03" w:rsidRDefault="008D6F03" w:rsidP="009A22DA">
      <w:pPr>
        <w:spacing w:after="120"/>
        <w:ind w:left="2268" w:right="1134" w:hanging="1134"/>
        <w:jc w:val="both"/>
        <w:rPr>
          <w:rFonts w:eastAsia="Times New Roman"/>
        </w:rPr>
      </w:pPr>
      <w:r w:rsidRPr="008D6F03">
        <w:rPr>
          <w:rFonts w:eastAsia="Times New Roman"/>
          <w:i/>
          <w:iCs/>
        </w:rPr>
        <w:t xml:space="preserve">Paragraph 5.2.6. and its sub-paragraphs, </w:t>
      </w:r>
      <w:r w:rsidRPr="008D6F03">
        <w:rPr>
          <w:rFonts w:eastAsia="Times New Roman"/>
        </w:rPr>
        <w:t>amend to read:</w:t>
      </w:r>
    </w:p>
    <w:p w:rsidR="008D6F03" w:rsidRPr="008D6F03" w:rsidRDefault="00314E99" w:rsidP="009A22DA">
      <w:pPr>
        <w:tabs>
          <w:tab w:val="right" w:pos="850"/>
          <w:tab w:val="left" w:pos="1134"/>
          <w:tab w:val="left" w:pos="1559"/>
          <w:tab w:val="left" w:pos="1984"/>
          <w:tab w:val="left" w:pos="2268"/>
          <w:tab w:val="left" w:leader="dot" w:pos="8929"/>
          <w:tab w:val="right" w:pos="9638"/>
        </w:tabs>
        <w:spacing w:after="120"/>
        <w:ind w:left="2268" w:right="1134" w:hanging="1134"/>
        <w:jc w:val="both"/>
        <w:rPr>
          <w:rFonts w:eastAsia="Times New Roman"/>
        </w:rPr>
      </w:pPr>
      <w:r>
        <w:rPr>
          <w:rFonts w:eastAsia="MS Mincho"/>
        </w:rPr>
        <w:t>"</w:t>
      </w:r>
      <w:r w:rsidR="008D6F03" w:rsidRPr="008D6F03">
        <w:rPr>
          <w:rFonts w:eastAsia="Times New Roman"/>
        </w:rPr>
        <w:t>5.2.6.</w:t>
      </w:r>
      <w:r w:rsidR="008D6F03" w:rsidRPr="008D6F03">
        <w:rPr>
          <w:rFonts w:eastAsia="Times New Roman"/>
        </w:rPr>
        <w:tab/>
      </w:r>
      <w:r w:rsidR="008D6F03" w:rsidRPr="008D6F03">
        <w:rPr>
          <w:rFonts w:eastAsia="Times New Roman"/>
        </w:rPr>
        <w:tab/>
        <w:t xml:space="preserve">Only one filament </w:t>
      </w:r>
      <w:r w:rsidR="008D6F03" w:rsidRPr="008D6F03">
        <w:rPr>
          <w:rFonts w:eastAsia="Times New Roman"/>
          <w:b/>
        </w:rPr>
        <w:t>or LED</w:t>
      </w:r>
      <w:r w:rsidR="008D6F03" w:rsidRPr="008D6F03">
        <w:rPr>
          <w:rFonts w:eastAsia="Times New Roman"/>
        </w:rPr>
        <w:t xml:space="preserve"> light source or one or more LED module(s) are permitted for the principal passing-beam. Additional light sources or LED modules are permitted only as follows (see Annex 10):</w:t>
      </w:r>
    </w:p>
    <w:p w:rsidR="008D6F03" w:rsidRPr="008D6F03" w:rsidRDefault="008D6F03" w:rsidP="009A22DA">
      <w:pPr>
        <w:tabs>
          <w:tab w:val="right" w:pos="850"/>
          <w:tab w:val="left" w:pos="1134"/>
          <w:tab w:val="left" w:pos="1559"/>
          <w:tab w:val="left" w:pos="1984"/>
          <w:tab w:val="left" w:pos="2268"/>
          <w:tab w:val="left" w:leader="dot" w:pos="8929"/>
          <w:tab w:val="right" w:pos="9638"/>
        </w:tabs>
        <w:spacing w:after="120"/>
        <w:ind w:left="2268" w:right="1134" w:hanging="1134"/>
        <w:jc w:val="both"/>
        <w:rPr>
          <w:rFonts w:eastAsia="Times New Roman"/>
        </w:rPr>
      </w:pPr>
      <w:r w:rsidRPr="008D6F03">
        <w:rPr>
          <w:rFonts w:eastAsia="Times New Roman"/>
        </w:rPr>
        <w:t>5.2.6.1.</w:t>
      </w:r>
      <w:r w:rsidRPr="008D6F03">
        <w:rPr>
          <w:rFonts w:eastAsia="Times New Roman"/>
        </w:rPr>
        <w:tab/>
      </w:r>
      <w:r w:rsidRPr="008D6F03">
        <w:rPr>
          <w:rFonts w:eastAsia="Times New Roman"/>
        </w:rPr>
        <w:tab/>
        <w:t xml:space="preserve">One additional light source according to UN Regulation No. 37 </w:t>
      </w:r>
      <w:r w:rsidRPr="008D6F03">
        <w:rPr>
          <w:rFonts w:eastAsia="Times New Roman"/>
          <w:b/>
        </w:rPr>
        <w:t>or No. 128</w:t>
      </w:r>
      <w:r w:rsidRPr="008D6F03">
        <w:rPr>
          <w:rFonts w:eastAsia="Times New Roman"/>
        </w:rPr>
        <w:t xml:space="preserve"> or one or more additional LED module(s) may be used inside the passing-beam headlamp to contribute to bend lighting;</w:t>
      </w:r>
    </w:p>
    <w:p w:rsidR="008D6F03" w:rsidRPr="008D6F03" w:rsidRDefault="008D6F03" w:rsidP="009A22DA">
      <w:pPr>
        <w:tabs>
          <w:tab w:val="right" w:pos="850"/>
          <w:tab w:val="left" w:pos="1134"/>
          <w:tab w:val="left" w:pos="1559"/>
          <w:tab w:val="left" w:pos="1984"/>
          <w:tab w:val="left" w:pos="2268"/>
          <w:tab w:val="left" w:leader="dot" w:pos="8929"/>
          <w:tab w:val="right" w:pos="9638"/>
        </w:tabs>
        <w:spacing w:after="120"/>
        <w:ind w:left="2268" w:right="1134" w:hanging="1134"/>
        <w:jc w:val="both"/>
        <w:rPr>
          <w:rFonts w:eastAsia="Times New Roman"/>
        </w:rPr>
      </w:pPr>
      <w:r w:rsidRPr="008D6F03">
        <w:rPr>
          <w:rFonts w:eastAsia="Times New Roman"/>
        </w:rPr>
        <w:t>5.2.6.2.</w:t>
      </w:r>
      <w:r w:rsidRPr="008D6F03">
        <w:rPr>
          <w:rFonts w:eastAsia="Times New Roman"/>
        </w:rPr>
        <w:tab/>
      </w:r>
      <w:r w:rsidRPr="008D6F03">
        <w:rPr>
          <w:rFonts w:eastAsia="Times New Roman"/>
        </w:rPr>
        <w:tab/>
        <w:t xml:space="preserve">One additional light source according to UN Regulation No. 37 </w:t>
      </w:r>
      <w:r w:rsidRPr="008D6F03">
        <w:rPr>
          <w:rFonts w:eastAsia="Times New Roman"/>
          <w:b/>
        </w:rPr>
        <w:t xml:space="preserve">or No. 128 </w:t>
      </w:r>
      <w:r w:rsidRPr="008D6F03">
        <w:rPr>
          <w:rFonts w:eastAsia="Times New Roman"/>
        </w:rPr>
        <w:t>and/or one or more LED module(s), inside the passing-beam headlamp, may be used for the purposes of generating infrared radiation. It/they shall only be activated at the same time as the principal light source or LED module(s). In the event that the principal light source or (one of) the principal LED module(s) fails, this additional light source and/or LED module(s) shall be automatically switched off;</w:t>
      </w:r>
    </w:p>
    <w:p w:rsidR="008D6F03" w:rsidRPr="008D6F03" w:rsidRDefault="008D6F03" w:rsidP="009A22DA">
      <w:pPr>
        <w:tabs>
          <w:tab w:val="right" w:pos="850"/>
          <w:tab w:val="left" w:pos="1134"/>
          <w:tab w:val="left" w:pos="1559"/>
          <w:tab w:val="left" w:pos="1984"/>
          <w:tab w:val="left" w:pos="2268"/>
          <w:tab w:val="left" w:leader="dot" w:pos="8929"/>
          <w:tab w:val="right" w:pos="9638"/>
        </w:tabs>
        <w:spacing w:after="120"/>
        <w:ind w:left="2268" w:right="1134" w:hanging="1134"/>
        <w:jc w:val="both"/>
        <w:rPr>
          <w:rFonts w:eastAsia="Times New Roman"/>
        </w:rPr>
      </w:pPr>
      <w:r w:rsidRPr="008D6F03">
        <w:rPr>
          <w:rFonts w:eastAsia="Times New Roman"/>
        </w:rPr>
        <w:t>5.2.6.3.</w:t>
      </w:r>
      <w:r w:rsidRPr="008D6F03">
        <w:rPr>
          <w:rFonts w:eastAsia="Times New Roman"/>
        </w:rPr>
        <w:tab/>
      </w:r>
      <w:r w:rsidRPr="008D6F03">
        <w:rPr>
          <w:rFonts w:eastAsia="Times New Roman"/>
        </w:rPr>
        <w:tab/>
        <w:t>In the event of failure of an additional</w:t>
      </w:r>
      <w:r w:rsidRPr="008D6F03">
        <w:rPr>
          <w:rFonts w:eastAsia="Times New Roman"/>
          <w:strike/>
        </w:rPr>
        <w:t xml:space="preserve"> filament</w:t>
      </w:r>
      <w:r w:rsidRPr="008D6F03">
        <w:rPr>
          <w:rFonts w:eastAsia="Times New Roman"/>
        </w:rPr>
        <w:t xml:space="preserve"> light source or one or more additional LED module(s), the headlamp shall continue to fulfil the re</w:t>
      </w:r>
      <w:r w:rsidR="00314E99">
        <w:rPr>
          <w:rFonts w:eastAsia="Times New Roman"/>
        </w:rPr>
        <w:t>quirements of the passing-beam.</w:t>
      </w:r>
      <w:r w:rsidR="00314E99">
        <w:rPr>
          <w:rFonts w:eastAsia="MS Mincho"/>
        </w:rPr>
        <w:t>"</w:t>
      </w:r>
    </w:p>
    <w:p w:rsidR="008D6F03" w:rsidRPr="008D6F03" w:rsidRDefault="008D6F03" w:rsidP="009A22DA">
      <w:pPr>
        <w:spacing w:after="120"/>
        <w:ind w:left="2268" w:right="1134" w:hanging="1134"/>
        <w:jc w:val="both"/>
        <w:rPr>
          <w:rFonts w:eastAsia="Times New Roman"/>
        </w:rPr>
      </w:pPr>
      <w:r w:rsidRPr="008D6F03">
        <w:rPr>
          <w:rFonts w:eastAsia="Times New Roman"/>
          <w:i/>
          <w:iCs/>
        </w:rPr>
        <w:t xml:space="preserve">Paragraph 5.4.4.5., </w:t>
      </w:r>
      <w:r w:rsidRPr="008D6F03">
        <w:rPr>
          <w:rFonts w:eastAsia="Times New Roman"/>
        </w:rPr>
        <w:t>amend to read:</w:t>
      </w:r>
    </w:p>
    <w:p w:rsidR="002973E8" w:rsidRDefault="00314E99" w:rsidP="009A22DA">
      <w:pPr>
        <w:tabs>
          <w:tab w:val="right" w:pos="850"/>
          <w:tab w:val="left" w:pos="1134"/>
          <w:tab w:val="left" w:pos="1559"/>
          <w:tab w:val="left" w:pos="1984"/>
          <w:tab w:val="left" w:pos="2268"/>
          <w:tab w:val="left" w:leader="dot" w:pos="8929"/>
          <w:tab w:val="right" w:pos="9638"/>
        </w:tabs>
        <w:spacing w:after="120"/>
        <w:ind w:left="2268" w:right="1134" w:hanging="1134"/>
        <w:jc w:val="both"/>
        <w:rPr>
          <w:i/>
        </w:rPr>
      </w:pPr>
      <w:r>
        <w:rPr>
          <w:rFonts w:eastAsia="MS Mincho"/>
        </w:rPr>
        <w:t>"</w:t>
      </w:r>
      <w:r w:rsidR="008D6F03" w:rsidRPr="008D6F03">
        <w:rPr>
          <w:rFonts w:eastAsia="Times New Roman"/>
        </w:rPr>
        <w:t xml:space="preserve">5.4.4.5. </w:t>
      </w:r>
      <w:r w:rsidR="008D6F03" w:rsidRPr="008D6F03">
        <w:rPr>
          <w:rFonts w:eastAsia="Times New Roman"/>
        </w:rPr>
        <w:tab/>
      </w:r>
      <w:r w:rsidR="008D6F03" w:rsidRPr="008D6F03">
        <w:rPr>
          <w:rFonts w:eastAsia="Times New Roman"/>
        </w:rPr>
        <w:tab/>
        <w:t xml:space="preserve">Either one or two filament </w:t>
      </w:r>
      <w:r w:rsidR="008D6F03" w:rsidRPr="008D6F03">
        <w:rPr>
          <w:rFonts w:eastAsia="Times New Roman"/>
          <w:b/>
        </w:rPr>
        <w:t>or LED</w:t>
      </w:r>
      <w:r w:rsidR="008D6F03" w:rsidRPr="008D6F03">
        <w:rPr>
          <w:rFonts w:eastAsia="Times New Roman"/>
        </w:rPr>
        <w:t xml:space="preserve"> light sources (Classes AS, BS, CS, DS) or one gas discharge light source (Class ES) or one or more LED module(s) (Classes CS, DS, ES) are permitted for the passing beam.</w:t>
      </w:r>
      <w:r>
        <w:rPr>
          <w:rFonts w:eastAsia="MS Mincho"/>
        </w:rPr>
        <w:t>"</w:t>
      </w:r>
    </w:p>
    <w:p w:rsidR="00DF418A" w:rsidRPr="00DF418A" w:rsidRDefault="00E87504" w:rsidP="00980C28">
      <w:pPr>
        <w:pStyle w:val="HChG"/>
        <w:ind w:left="0" w:firstLine="0"/>
      </w:pPr>
      <w:r>
        <w:tab/>
        <w:t>II.</w:t>
      </w:r>
      <w:r>
        <w:tab/>
        <w:t>Justification</w:t>
      </w:r>
    </w:p>
    <w:p w:rsidR="002973E8" w:rsidRDefault="009D7631" w:rsidP="009D7631">
      <w:pPr>
        <w:widowControl w:val="0"/>
        <w:tabs>
          <w:tab w:val="left" w:pos="-1440"/>
        </w:tabs>
        <w:autoSpaceDE w:val="0"/>
        <w:autoSpaceDN w:val="0"/>
        <w:adjustRightInd w:val="0"/>
        <w:spacing w:after="120"/>
        <w:ind w:left="1134" w:right="1134"/>
        <w:jc w:val="both"/>
        <w:rPr>
          <w:lang w:val="en-US"/>
        </w:rPr>
      </w:pPr>
      <w:r w:rsidRPr="009D7631">
        <w:rPr>
          <w:lang w:val="en-US"/>
        </w:rPr>
        <w:tab/>
      </w:r>
      <w:r w:rsidR="008D6F03" w:rsidRPr="008D6F03">
        <w:rPr>
          <w:lang w:val="en-US"/>
        </w:rPr>
        <w:t xml:space="preserve">As </w:t>
      </w:r>
      <w:r w:rsidR="009A22DA">
        <w:rPr>
          <w:lang w:val="en-US"/>
        </w:rPr>
        <w:t>t</w:t>
      </w:r>
      <w:r w:rsidR="009A22DA" w:rsidRPr="008D6F03">
        <w:rPr>
          <w:lang w:val="en-US"/>
        </w:rPr>
        <w:t>he</w:t>
      </w:r>
      <w:r w:rsidR="009A22DA" w:rsidRPr="009A22DA">
        <w:t xml:space="preserve"> </w:t>
      </w:r>
      <w:r w:rsidR="009A22DA" w:rsidRPr="009A22DA">
        <w:rPr>
          <w:lang w:val="en-US"/>
        </w:rPr>
        <w:t>Informal Working Group "Simplification of the Lighting and Light-Signalling Regulations" (IWG SLR)</w:t>
      </w:r>
      <w:r w:rsidR="009A22DA" w:rsidRPr="008D6F03">
        <w:rPr>
          <w:lang w:val="en-US"/>
        </w:rPr>
        <w:t xml:space="preserve"> </w:t>
      </w:r>
      <w:r w:rsidR="009A22DA">
        <w:rPr>
          <w:lang w:val="en-US"/>
        </w:rPr>
        <w:t xml:space="preserve">continues working on </w:t>
      </w:r>
      <w:r w:rsidR="008D6F03" w:rsidRPr="008D6F03">
        <w:rPr>
          <w:lang w:val="en-US"/>
        </w:rPr>
        <w:t>the new RID Regulation</w:t>
      </w:r>
      <w:r w:rsidR="009A22DA">
        <w:rPr>
          <w:lang w:val="en-US"/>
        </w:rPr>
        <w:t xml:space="preserve">, </w:t>
      </w:r>
      <w:r w:rsidR="008D6F03" w:rsidRPr="008D6F03">
        <w:rPr>
          <w:lang w:val="en-US"/>
        </w:rPr>
        <w:t xml:space="preserve">it is not possible to indicate all detailed </w:t>
      </w:r>
      <w:r w:rsidR="00467A01">
        <w:rPr>
          <w:lang w:val="en-US"/>
        </w:rPr>
        <w:t xml:space="preserve">modifications </w:t>
      </w:r>
      <w:r w:rsidR="008D6F03" w:rsidRPr="008D6F03">
        <w:rPr>
          <w:lang w:val="en-US"/>
        </w:rPr>
        <w:t>that will be required to incorporate the replaceable LED light sources for forward lighting</w:t>
      </w:r>
      <w:r w:rsidR="009A22DA">
        <w:rPr>
          <w:lang w:val="en-US"/>
        </w:rPr>
        <w:t xml:space="preserve">. However, in general, </w:t>
      </w:r>
      <w:r w:rsidR="008D6F03" w:rsidRPr="008D6F03">
        <w:rPr>
          <w:lang w:val="en-US"/>
        </w:rPr>
        <w:t xml:space="preserve">only simple editorial changes will be required. The approach to the modification of the text of the new RID Regulation was presented </w:t>
      </w:r>
      <w:r w:rsidR="009A22DA">
        <w:rPr>
          <w:lang w:val="en-US"/>
        </w:rPr>
        <w:t>at the</w:t>
      </w:r>
      <w:r w:rsidR="008D6F03" w:rsidRPr="008D6F03">
        <w:rPr>
          <w:lang w:val="en-US"/>
        </w:rPr>
        <w:t xml:space="preserve"> </w:t>
      </w:r>
      <w:r w:rsidR="009A22DA">
        <w:rPr>
          <w:lang w:val="en-US"/>
        </w:rPr>
        <w:t xml:space="preserve">seventy-seventh </w:t>
      </w:r>
      <w:r w:rsidR="008D6F03" w:rsidRPr="008D6F03">
        <w:rPr>
          <w:lang w:val="en-US"/>
        </w:rPr>
        <w:t>session</w:t>
      </w:r>
      <w:r w:rsidR="009A22DA">
        <w:rPr>
          <w:lang w:val="en-US"/>
        </w:rPr>
        <w:t xml:space="preserve"> of GRE</w:t>
      </w:r>
      <w:r w:rsidR="008D6F03" w:rsidRPr="008D6F03">
        <w:rPr>
          <w:lang w:val="en-US"/>
        </w:rPr>
        <w:t xml:space="preserve"> </w:t>
      </w:r>
      <w:r w:rsidR="00467A01">
        <w:rPr>
          <w:lang w:val="en-US"/>
        </w:rPr>
        <w:t>(</w:t>
      </w:r>
      <w:r w:rsidR="00467A01" w:rsidRPr="008D6F03">
        <w:rPr>
          <w:lang w:val="en-US"/>
        </w:rPr>
        <w:t>GRE-77-14</w:t>
      </w:r>
      <w:r w:rsidR="00467A01">
        <w:rPr>
          <w:lang w:val="en-US"/>
        </w:rPr>
        <w:t xml:space="preserve">) </w:t>
      </w:r>
      <w:r w:rsidR="008D6F03" w:rsidRPr="008D6F03">
        <w:rPr>
          <w:lang w:val="en-US"/>
        </w:rPr>
        <w:t xml:space="preserve">and </w:t>
      </w:r>
      <w:r w:rsidR="009A22DA">
        <w:rPr>
          <w:lang w:val="en-US"/>
        </w:rPr>
        <w:t xml:space="preserve">was </w:t>
      </w:r>
      <w:r w:rsidR="008D6F03" w:rsidRPr="008D6F03">
        <w:rPr>
          <w:lang w:val="en-US"/>
        </w:rPr>
        <w:t>agreed</w:t>
      </w:r>
      <w:r w:rsidR="009A22DA">
        <w:rPr>
          <w:lang w:val="en-US"/>
        </w:rPr>
        <w:t>,</w:t>
      </w:r>
      <w:r w:rsidR="008D6F03" w:rsidRPr="008D6F03">
        <w:rPr>
          <w:lang w:val="en-US"/>
        </w:rPr>
        <w:t xml:space="preserve"> pending a formal examination in conjunction with the final text of the new draft RID </w:t>
      </w:r>
      <w:r w:rsidR="009405EF">
        <w:rPr>
          <w:lang w:val="en-US"/>
        </w:rPr>
        <w:t>R</w:t>
      </w:r>
      <w:r w:rsidR="008D6F03" w:rsidRPr="008D6F03">
        <w:rPr>
          <w:lang w:val="en-US"/>
        </w:rPr>
        <w:t xml:space="preserve">egulation. </w:t>
      </w:r>
      <w:r w:rsidR="00467A01">
        <w:rPr>
          <w:lang w:val="en-US"/>
        </w:rPr>
        <w:t xml:space="preserve">The progress in preparing </w:t>
      </w:r>
      <w:r w:rsidR="008D6F03" w:rsidRPr="008D6F03">
        <w:rPr>
          <w:lang w:val="en-US"/>
        </w:rPr>
        <w:t>the text of the</w:t>
      </w:r>
      <w:r w:rsidR="00467A01">
        <w:rPr>
          <w:lang w:val="en-US"/>
        </w:rPr>
        <w:t xml:space="preserve"> new</w:t>
      </w:r>
      <w:r w:rsidR="008D6F03" w:rsidRPr="008D6F03">
        <w:rPr>
          <w:lang w:val="en-US"/>
        </w:rPr>
        <w:t xml:space="preserve"> RID </w:t>
      </w:r>
      <w:r w:rsidR="009405EF">
        <w:rPr>
          <w:lang w:val="en-US"/>
        </w:rPr>
        <w:t>R</w:t>
      </w:r>
      <w:r w:rsidR="008D6F03" w:rsidRPr="008D6F03">
        <w:rPr>
          <w:lang w:val="en-US"/>
        </w:rPr>
        <w:t>egulation</w:t>
      </w:r>
      <w:r w:rsidR="00467A01">
        <w:rPr>
          <w:lang w:val="en-US"/>
        </w:rPr>
        <w:t xml:space="preserve"> has made it possible to indicate</w:t>
      </w:r>
      <w:r w:rsidR="00D94C1E">
        <w:rPr>
          <w:lang w:val="en-US"/>
        </w:rPr>
        <w:t>,</w:t>
      </w:r>
      <w:r w:rsidR="00467A01">
        <w:rPr>
          <w:lang w:val="en-US"/>
        </w:rPr>
        <w:t xml:space="preserve"> in the present document</w:t>
      </w:r>
      <w:r w:rsidR="00D94C1E">
        <w:rPr>
          <w:lang w:val="en-US"/>
        </w:rPr>
        <w:t>,</w:t>
      </w:r>
      <w:r w:rsidR="008D6F03" w:rsidRPr="008D6F03">
        <w:rPr>
          <w:lang w:val="en-US"/>
        </w:rPr>
        <w:t xml:space="preserve"> the detailed changes to the affected paragraphs </w:t>
      </w:r>
      <w:r w:rsidR="00467A01">
        <w:rPr>
          <w:lang w:val="en-US"/>
        </w:rPr>
        <w:t xml:space="preserve">of </w:t>
      </w:r>
      <w:r w:rsidR="008D6F03" w:rsidRPr="008D6F03">
        <w:rPr>
          <w:lang w:val="en-US"/>
        </w:rPr>
        <w:t>the main body</w:t>
      </w:r>
      <w:r w:rsidR="00467A01">
        <w:rPr>
          <w:lang w:val="en-US"/>
        </w:rPr>
        <w:t>. F</w:t>
      </w:r>
      <w:r w:rsidR="008D6F03" w:rsidRPr="008D6F03">
        <w:rPr>
          <w:lang w:val="en-US"/>
        </w:rPr>
        <w:t>urther work is required to identify the changes that will be required in the annexes.</w:t>
      </w:r>
    </w:p>
    <w:p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792D9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794" w:rsidRDefault="00FA1794"/>
  </w:endnote>
  <w:endnote w:type="continuationSeparator" w:id="0">
    <w:p w:rsidR="00FA1794" w:rsidRDefault="00FA1794"/>
  </w:endnote>
  <w:endnote w:type="continuationNotice" w:id="1">
    <w:p w:rsidR="00FA1794" w:rsidRDefault="00FA17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980C28"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2B0E67">
      <w:rPr>
        <w:b/>
        <w:noProof/>
        <w:sz w:val="18"/>
      </w:rPr>
      <w:t>4</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980C28"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2B0E67">
      <w:rPr>
        <w:b/>
        <w:noProof/>
        <w:sz w:val="18"/>
      </w:rPr>
      <w:t>5</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D1D" w:rsidRDefault="00CA7D1D" w:rsidP="00CA7D1D">
    <w:pPr>
      <w:pStyle w:val="Footer"/>
    </w:pPr>
    <w:r>
      <w:rPr>
        <w:rFonts w:ascii="C39T30Lfz" w:hAnsi="C39T30Lfz"/>
        <w:noProof/>
        <w:sz w:val="56"/>
        <w:lang w:eastAsia="en-GB"/>
      </w:rPr>
      <w:drawing>
        <wp:anchor distT="0" distB="0" distL="114300" distR="114300" simplePos="0" relativeHeight="251660288" behindDoc="0" locked="0" layoutInCell="1" allowOverlap="1" wp14:anchorId="66C612D0" wp14:editId="57CC9758">
          <wp:simplePos x="0" y="0"/>
          <wp:positionH relativeFrom="margin">
            <wp:posOffset>5429885</wp:posOffset>
          </wp:positionH>
          <wp:positionV relativeFrom="margin">
            <wp:posOffset>7948930</wp:posOffset>
          </wp:positionV>
          <wp:extent cx="638175" cy="638175"/>
          <wp:effectExtent l="0" t="0" r="9525" b="9525"/>
          <wp:wrapNone/>
          <wp:docPr id="2" name="Picture 1" descr="https://undocs.org/m2/QRCode.ashx?DS=ECE/TRANS/WP.29/GRE/2017/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7/1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3180C7FC" wp14:editId="3484D402">
          <wp:simplePos x="0" y="0"/>
          <wp:positionH relativeFrom="margin">
            <wp:posOffset>4364355</wp:posOffset>
          </wp:positionH>
          <wp:positionV relativeFrom="margin">
            <wp:posOffset>8278495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D1D" w:rsidRDefault="00CA7D1D" w:rsidP="00CA7D1D">
    <w:pPr>
      <w:pStyle w:val="Footer"/>
      <w:ind w:right="1134"/>
      <w:rPr>
        <w:sz w:val="20"/>
      </w:rPr>
    </w:pPr>
    <w:r>
      <w:rPr>
        <w:sz w:val="20"/>
      </w:rPr>
      <w:t>GE.17-13769(E)</w:t>
    </w:r>
  </w:p>
  <w:p w:rsidR="00CA7D1D" w:rsidRPr="00CA7D1D" w:rsidRDefault="00CA7D1D" w:rsidP="00CA7D1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794" w:rsidRPr="000B175B" w:rsidRDefault="00FA1794" w:rsidP="000B175B">
      <w:pPr>
        <w:tabs>
          <w:tab w:val="right" w:pos="2155"/>
        </w:tabs>
        <w:spacing w:after="80"/>
        <w:ind w:left="680"/>
        <w:rPr>
          <w:u w:val="single"/>
        </w:rPr>
      </w:pPr>
      <w:r>
        <w:rPr>
          <w:u w:val="single"/>
        </w:rPr>
        <w:tab/>
      </w:r>
    </w:p>
  </w:footnote>
  <w:footnote w:type="continuationSeparator" w:id="0">
    <w:p w:rsidR="00FA1794" w:rsidRPr="00FC68B7" w:rsidRDefault="00FA1794" w:rsidP="00FC68B7">
      <w:pPr>
        <w:tabs>
          <w:tab w:val="left" w:pos="2155"/>
        </w:tabs>
        <w:spacing w:after="80"/>
        <w:ind w:left="680"/>
        <w:rPr>
          <w:u w:val="single"/>
        </w:rPr>
      </w:pPr>
      <w:r>
        <w:rPr>
          <w:u w:val="single"/>
        </w:rPr>
        <w:tab/>
      </w:r>
    </w:p>
  </w:footnote>
  <w:footnote w:type="continuationNotice" w:id="1">
    <w:p w:rsidR="00FA1794" w:rsidRDefault="00FA1794"/>
  </w:footnote>
  <w:footnote w:id="2">
    <w:p w:rsidR="0054033E" w:rsidRPr="00B14735" w:rsidRDefault="0054033E" w:rsidP="0054033E">
      <w:pPr>
        <w:pStyle w:val="FootnoteText"/>
        <w:tabs>
          <w:tab w:val="clear" w:pos="1021"/>
        </w:tabs>
        <w:ind w:hanging="283"/>
        <w:rPr>
          <w:rFonts w:eastAsia="Calibri"/>
        </w:rPr>
      </w:pPr>
      <w:r w:rsidRPr="007406A7">
        <w:rPr>
          <w:rStyle w:val="FootnoteReference"/>
          <w:vertAlign w:val="baseline"/>
        </w:rPr>
        <w:t>*</w:t>
      </w:r>
      <w:r w:rsidRPr="007406A7">
        <w:tab/>
      </w:r>
      <w:r w:rsidRPr="00A138B2">
        <w:t xml:space="preserve">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980C28">
    <w:pPr>
      <w:pStyle w:val="Header"/>
    </w:pPr>
    <w:r>
      <w:t>ECE/TRANS/WP.29/GR</w:t>
    </w:r>
    <w:r w:rsidR="009B385D">
      <w:t>E</w:t>
    </w:r>
    <w:r>
      <w:t>/</w:t>
    </w:r>
    <w:r w:rsidRPr="00DF418A">
      <w:t>201</w:t>
    </w:r>
    <w:r w:rsidR="00A138B2">
      <w:t>7</w:t>
    </w:r>
    <w:r w:rsidRPr="00DF418A">
      <w:t>/</w:t>
    </w:r>
    <w:r w:rsidR="00393288">
      <w:t>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AC6C6D" w:rsidP="00803BF8">
    <w:pPr>
      <w:pStyle w:val="Header"/>
      <w:jc w:val="right"/>
    </w:pPr>
    <w:r>
      <w:t>ECE/TRANS/WP.29/GRE/2017</w:t>
    </w:r>
    <w:r w:rsidR="00754B4B" w:rsidRPr="00754B4B">
      <w:t>/</w:t>
    </w:r>
    <w:r w:rsidR="00393288">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216D33"/>
    <w:multiLevelType w:val="hybridMultilevel"/>
    <w:tmpl w:val="31C83314"/>
    <w:lvl w:ilvl="0" w:tplc="E640D9C2">
      <w:start w:val="1"/>
      <w:numFmt w:val="bullet"/>
      <w:lvlText w:val="-"/>
      <w:lvlJc w:val="left"/>
      <w:pPr>
        <w:tabs>
          <w:tab w:val="num" w:pos="720"/>
        </w:tabs>
        <w:ind w:left="720" w:hanging="360"/>
      </w:pPr>
      <w:rPr>
        <w:rFonts w:ascii="Times New Roman" w:hAnsi="Times New Roman" w:hint="default"/>
      </w:rPr>
    </w:lvl>
    <w:lvl w:ilvl="1" w:tplc="70B07714" w:tentative="1">
      <w:start w:val="1"/>
      <w:numFmt w:val="bullet"/>
      <w:lvlText w:val="-"/>
      <w:lvlJc w:val="left"/>
      <w:pPr>
        <w:tabs>
          <w:tab w:val="num" w:pos="1440"/>
        </w:tabs>
        <w:ind w:left="1440" w:hanging="360"/>
      </w:pPr>
      <w:rPr>
        <w:rFonts w:ascii="Times New Roman" w:hAnsi="Times New Roman" w:hint="default"/>
      </w:rPr>
    </w:lvl>
    <w:lvl w:ilvl="2" w:tplc="D99852AC" w:tentative="1">
      <w:start w:val="1"/>
      <w:numFmt w:val="bullet"/>
      <w:lvlText w:val="-"/>
      <w:lvlJc w:val="left"/>
      <w:pPr>
        <w:tabs>
          <w:tab w:val="num" w:pos="2160"/>
        </w:tabs>
        <w:ind w:left="2160" w:hanging="360"/>
      </w:pPr>
      <w:rPr>
        <w:rFonts w:ascii="Times New Roman" w:hAnsi="Times New Roman" w:hint="default"/>
      </w:rPr>
    </w:lvl>
    <w:lvl w:ilvl="3" w:tplc="E6C4AA7C" w:tentative="1">
      <w:start w:val="1"/>
      <w:numFmt w:val="bullet"/>
      <w:lvlText w:val="-"/>
      <w:lvlJc w:val="left"/>
      <w:pPr>
        <w:tabs>
          <w:tab w:val="num" w:pos="2880"/>
        </w:tabs>
        <w:ind w:left="2880" w:hanging="360"/>
      </w:pPr>
      <w:rPr>
        <w:rFonts w:ascii="Times New Roman" w:hAnsi="Times New Roman" w:hint="default"/>
      </w:rPr>
    </w:lvl>
    <w:lvl w:ilvl="4" w:tplc="D5CEE5A8" w:tentative="1">
      <w:start w:val="1"/>
      <w:numFmt w:val="bullet"/>
      <w:lvlText w:val="-"/>
      <w:lvlJc w:val="left"/>
      <w:pPr>
        <w:tabs>
          <w:tab w:val="num" w:pos="3600"/>
        </w:tabs>
        <w:ind w:left="3600" w:hanging="360"/>
      </w:pPr>
      <w:rPr>
        <w:rFonts w:ascii="Times New Roman" w:hAnsi="Times New Roman" w:hint="default"/>
      </w:rPr>
    </w:lvl>
    <w:lvl w:ilvl="5" w:tplc="2188D3B6" w:tentative="1">
      <w:start w:val="1"/>
      <w:numFmt w:val="bullet"/>
      <w:lvlText w:val="-"/>
      <w:lvlJc w:val="left"/>
      <w:pPr>
        <w:tabs>
          <w:tab w:val="num" w:pos="4320"/>
        </w:tabs>
        <w:ind w:left="4320" w:hanging="360"/>
      </w:pPr>
      <w:rPr>
        <w:rFonts w:ascii="Times New Roman" w:hAnsi="Times New Roman" w:hint="default"/>
      </w:rPr>
    </w:lvl>
    <w:lvl w:ilvl="6" w:tplc="A1F4A08C" w:tentative="1">
      <w:start w:val="1"/>
      <w:numFmt w:val="bullet"/>
      <w:lvlText w:val="-"/>
      <w:lvlJc w:val="left"/>
      <w:pPr>
        <w:tabs>
          <w:tab w:val="num" w:pos="5040"/>
        </w:tabs>
        <w:ind w:left="5040" w:hanging="360"/>
      </w:pPr>
      <w:rPr>
        <w:rFonts w:ascii="Times New Roman" w:hAnsi="Times New Roman" w:hint="default"/>
      </w:rPr>
    </w:lvl>
    <w:lvl w:ilvl="7" w:tplc="8EA6DC7C" w:tentative="1">
      <w:start w:val="1"/>
      <w:numFmt w:val="bullet"/>
      <w:lvlText w:val="-"/>
      <w:lvlJc w:val="left"/>
      <w:pPr>
        <w:tabs>
          <w:tab w:val="num" w:pos="5760"/>
        </w:tabs>
        <w:ind w:left="5760" w:hanging="360"/>
      </w:pPr>
      <w:rPr>
        <w:rFonts w:ascii="Times New Roman" w:hAnsi="Times New Roman" w:hint="default"/>
      </w:rPr>
    </w:lvl>
    <w:lvl w:ilvl="8" w:tplc="12FE1EB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F0D23AB"/>
    <w:multiLevelType w:val="hybridMultilevel"/>
    <w:tmpl w:val="2A5462CC"/>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93278B"/>
    <w:multiLevelType w:val="hybridMultilevel"/>
    <w:tmpl w:val="845C4C92"/>
    <w:lvl w:ilvl="0" w:tplc="67E66250">
      <w:start w:val="1"/>
      <w:numFmt w:val="decimal"/>
      <w:lvlText w:val="%1."/>
      <w:lvlJc w:val="left"/>
      <w:pPr>
        <w:ind w:left="1137" w:hanging="360"/>
      </w:pPr>
      <w:rPr>
        <w:rFonts w:ascii="Times New Roman" w:eastAsia="Times New Roman" w:hAnsi="Times New Roman" w:cs="Times New Roman"/>
      </w:rPr>
    </w:lvl>
    <w:lvl w:ilvl="1" w:tplc="04090001">
      <w:start w:val="1"/>
      <w:numFmt w:val="bullet"/>
      <w:lvlText w:val=""/>
      <w:lvlJc w:val="left"/>
      <w:pPr>
        <w:ind w:left="1857" w:hanging="360"/>
      </w:pPr>
      <w:rPr>
        <w:rFonts w:ascii="Symbol" w:hAnsi="Symbol" w:hint="default"/>
      </w:r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18">
    <w:nsid w:val="45121515"/>
    <w:multiLevelType w:val="hybridMultilevel"/>
    <w:tmpl w:val="F7E24E8C"/>
    <w:lvl w:ilvl="0" w:tplc="3F3A132C">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2117AB8"/>
    <w:multiLevelType w:val="hybridMultilevel"/>
    <w:tmpl w:val="8236CC40"/>
    <w:lvl w:ilvl="0" w:tplc="67E66250">
      <w:start w:val="1"/>
      <w:numFmt w:val="decimal"/>
      <w:lvlText w:val="%1."/>
      <w:lvlJc w:val="left"/>
      <w:pPr>
        <w:ind w:left="1137" w:hanging="360"/>
      </w:pPr>
      <w:rPr>
        <w:rFonts w:ascii="Times New Roman" w:eastAsia="Times New Roman" w:hAnsi="Times New Roman" w:cs="Times New Roman"/>
      </w:rPr>
    </w:lvl>
    <w:lvl w:ilvl="1" w:tplc="04090003">
      <w:start w:val="1"/>
      <w:numFmt w:val="bullet"/>
      <w:lvlText w:val="o"/>
      <w:lvlJc w:val="left"/>
      <w:pPr>
        <w:ind w:left="1857" w:hanging="360"/>
      </w:pPr>
      <w:rPr>
        <w:rFonts w:ascii="Courier New" w:hAnsi="Courier New" w:cs="Courier New" w:hint="default"/>
      </w:r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4"/>
  </w:num>
  <w:num w:numId="13">
    <w:abstractNumId w:val="12"/>
  </w:num>
  <w:num w:numId="14">
    <w:abstractNumId w:val="21"/>
  </w:num>
  <w:num w:numId="15">
    <w:abstractNumId w:val="23"/>
  </w:num>
  <w:num w:numId="16">
    <w:abstractNumId w:val="10"/>
  </w:num>
  <w:num w:numId="17">
    <w:abstractNumId w:val="16"/>
  </w:num>
  <w:num w:numId="18">
    <w:abstractNumId w:val="22"/>
  </w:num>
  <w:num w:numId="19">
    <w:abstractNumId w:val="15"/>
  </w:num>
  <w:num w:numId="20">
    <w:abstractNumId w:val="18"/>
  </w:num>
  <w:num w:numId="21">
    <w:abstractNumId w:val="11"/>
  </w:num>
  <w:num w:numId="22">
    <w:abstractNumId w:val="20"/>
  </w:num>
  <w:num w:numId="23">
    <w:abstractNumId w:val="17"/>
  </w:num>
  <w:num w:numId="24">
    <w:abstractNumId w:val="13"/>
  </w:num>
  <w:num w:numId="25">
    <w:abstractNumId w:val="21"/>
  </w:num>
  <w:num w:numId="26">
    <w:abstractNumId w:val="21"/>
  </w:num>
  <w:num w:numId="27">
    <w:abstractNumId w:val="21"/>
  </w:num>
  <w:num w:numId="28">
    <w:abstractNumId w:val="21"/>
  </w:num>
  <w:num w:numId="29">
    <w:abstractNumId w:val="2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799"/>
    <w:rsid w:val="0002015E"/>
    <w:rsid w:val="00025B62"/>
    <w:rsid w:val="00030495"/>
    <w:rsid w:val="00031ABF"/>
    <w:rsid w:val="00032937"/>
    <w:rsid w:val="000333D4"/>
    <w:rsid w:val="00034C7C"/>
    <w:rsid w:val="0003564D"/>
    <w:rsid w:val="00035DFA"/>
    <w:rsid w:val="00046515"/>
    <w:rsid w:val="00046A36"/>
    <w:rsid w:val="00046B1F"/>
    <w:rsid w:val="00046CDF"/>
    <w:rsid w:val="00050F6B"/>
    <w:rsid w:val="00052635"/>
    <w:rsid w:val="00054E4D"/>
    <w:rsid w:val="00056C6B"/>
    <w:rsid w:val="00057E97"/>
    <w:rsid w:val="000646F4"/>
    <w:rsid w:val="00065561"/>
    <w:rsid w:val="00065AC0"/>
    <w:rsid w:val="00066C0D"/>
    <w:rsid w:val="00067BCE"/>
    <w:rsid w:val="00067F6C"/>
    <w:rsid w:val="00072C8C"/>
    <w:rsid w:val="000733B5"/>
    <w:rsid w:val="00073F5F"/>
    <w:rsid w:val="00074B8A"/>
    <w:rsid w:val="00075E1A"/>
    <w:rsid w:val="0008164E"/>
    <w:rsid w:val="00081815"/>
    <w:rsid w:val="000876DE"/>
    <w:rsid w:val="000930EC"/>
    <w:rsid w:val="000931C0"/>
    <w:rsid w:val="00094F47"/>
    <w:rsid w:val="000A0D9B"/>
    <w:rsid w:val="000A525F"/>
    <w:rsid w:val="000A5649"/>
    <w:rsid w:val="000A6AA9"/>
    <w:rsid w:val="000B0595"/>
    <w:rsid w:val="000B175B"/>
    <w:rsid w:val="000B1CD2"/>
    <w:rsid w:val="000B2D7B"/>
    <w:rsid w:val="000B2F02"/>
    <w:rsid w:val="000B373D"/>
    <w:rsid w:val="000B3A0F"/>
    <w:rsid w:val="000B4EF7"/>
    <w:rsid w:val="000C16D3"/>
    <w:rsid w:val="000C2C03"/>
    <w:rsid w:val="000C2D2E"/>
    <w:rsid w:val="000D0516"/>
    <w:rsid w:val="000D4EB3"/>
    <w:rsid w:val="000D66AB"/>
    <w:rsid w:val="000D70AC"/>
    <w:rsid w:val="000E034C"/>
    <w:rsid w:val="000E0415"/>
    <w:rsid w:val="000E13D1"/>
    <w:rsid w:val="000E5E72"/>
    <w:rsid w:val="000F1AC1"/>
    <w:rsid w:val="00101131"/>
    <w:rsid w:val="001044E5"/>
    <w:rsid w:val="001058B4"/>
    <w:rsid w:val="00105AD8"/>
    <w:rsid w:val="00107CBF"/>
    <w:rsid w:val="001103AA"/>
    <w:rsid w:val="0011666B"/>
    <w:rsid w:val="00122CBC"/>
    <w:rsid w:val="00123206"/>
    <w:rsid w:val="00130A58"/>
    <w:rsid w:val="00130B1B"/>
    <w:rsid w:val="00130E03"/>
    <w:rsid w:val="00131F67"/>
    <w:rsid w:val="001328F8"/>
    <w:rsid w:val="00133B18"/>
    <w:rsid w:val="00133E6D"/>
    <w:rsid w:val="001359D2"/>
    <w:rsid w:val="001405F0"/>
    <w:rsid w:val="00143418"/>
    <w:rsid w:val="00147241"/>
    <w:rsid w:val="00152B52"/>
    <w:rsid w:val="00155592"/>
    <w:rsid w:val="00156C8F"/>
    <w:rsid w:val="001602AF"/>
    <w:rsid w:val="00160B90"/>
    <w:rsid w:val="00162F11"/>
    <w:rsid w:val="00163BF7"/>
    <w:rsid w:val="00164A85"/>
    <w:rsid w:val="00165F3A"/>
    <w:rsid w:val="001662EC"/>
    <w:rsid w:val="00182290"/>
    <w:rsid w:val="001827D1"/>
    <w:rsid w:val="00184490"/>
    <w:rsid w:val="0019102D"/>
    <w:rsid w:val="00192180"/>
    <w:rsid w:val="00193F1C"/>
    <w:rsid w:val="001963AC"/>
    <w:rsid w:val="00197D24"/>
    <w:rsid w:val="001A3955"/>
    <w:rsid w:val="001A5101"/>
    <w:rsid w:val="001B3446"/>
    <w:rsid w:val="001B4B04"/>
    <w:rsid w:val="001C4AFE"/>
    <w:rsid w:val="001C6663"/>
    <w:rsid w:val="001C7895"/>
    <w:rsid w:val="001D0C8C"/>
    <w:rsid w:val="001D1419"/>
    <w:rsid w:val="001D16DB"/>
    <w:rsid w:val="001D26DF"/>
    <w:rsid w:val="001D3882"/>
    <w:rsid w:val="001D3A03"/>
    <w:rsid w:val="001D4261"/>
    <w:rsid w:val="001D6907"/>
    <w:rsid w:val="001D72CF"/>
    <w:rsid w:val="001D7EA8"/>
    <w:rsid w:val="001E0C22"/>
    <w:rsid w:val="001E2593"/>
    <w:rsid w:val="001E47B9"/>
    <w:rsid w:val="001E7B67"/>
    <w:rsid w:val="001F59D7"/>
    <w:rsid w:val="001F7781"/>
    <w:rsid w:val="00202BF3"/>
    <w:rsid w:val="00202DA8"/>
    <w:rsid w:val="002057AE"/>
    <w:rsid w:val="002073C2"/>
    <w:rsid w:val="0021164B"/>
    <w:rsid w:val="00211E0B"/>
    <w:rsid w:val="002134E0"/>
    <w:rsid w:val="00213F99"/>
    <w:rsid w:val="00221BD3"/>
    <w:rsid w:val="0023072C"/>
    <w:rsid w:val="002324C6"/>
    <w:rsid w:val="00233BB0"/>
    <w:rsid w:val="00236F28"/>
    <w:rsid w:val="00243627"/>
    <w:rsid w:val="00246027"/>
    <w:rsid w:val="0024772E"/>
    <w:rsid w:val="00263A29"/>
    <w:rsid w:val="002676B0"/>
    <w:rsid w:val="00267F5F"/>
    <w:rsid w:val="00270BEB"/>
    <w:rsid w:val="00271CB5"/>
    <w:rsid w:val="002722E2"/>
    <w:rsid w:val="00273751"/>
    <w:rsid w:val="00276AEF"/>
    <w:rsid w:val="00283AEA"/>
    <w:rsid w:val="00283C63"/>
    <w:rsid w:val="002847BB"/>
    <w:rsid w:val="00284D1F"/>
    <w:rsid w:val="00286888"/>
    <w:rsid w:val="00286B4D"/>
    <w:rsid w:val="0028776F"/>
    <w:rsid w:val="00290947"/>
    <w:rsid w:val="002934A0"/>
    <w:rsid w:val="00294EAB"/>
    <w:rsid w:val="002973E8"/>
    <w:rsid w:val="002A0D4A"/>
    <w:rsid w:val="002A42DD"/>
    <w:rsid w:val="002A4687"/>
    <w:rsid w:val="002A4D51"/>
    <w:rsid w:val="002A6F6D"/>
    <w:rsid w:val="002B0E67"/>
    <w:rsid w:val="002B4079"/>
    <w:rsid w:val="002B47CA"/>
    <w:rsid w:val="002C5141"/>
    <w:rsid w:val="002C5463"/>
    <w:rsid w:val="002C567B"/>
    <w:rsid w:val="002C64E5"/>
    <w:rsid w:val="002C6BB6"/>
    <w:rsid w:val="002D4643"/>
    <w:rsid w:val="002D4CFC"/>
    <w:rsid w:val="002E093F"/>
    <w:rsid w:val="002E1678"/>
    <w:rsid w:val="002E2EB7"/>
    <w:rsid w:val="002E4283"/>
    <w:rsid w:val="002E5684"/>
    <w:rsid w:val="002E62DB"/>
    <w:rsid w:val="002F04B8"/>
    <w:rsid w:val="002F175C"/>
    <w:rsid w:val="002F1D8E"/>
    <w:rsid w:val="002F45F3"/>
    <w:rsid w:val="002F4FDB"/>
    <w:rsid w:val="002F5AC5"/>
    <w:rsid w:val="002F7DE0"/>
    <w:rsid w:val="0030272D"/>
    <w:rsid w:val="00302E18"/>
    <w:rsid w:val="0031067C"/>
    <w:rsid w:val="00312F59"/>
    <w:rsid w:val="00314E99"/>
    <w:rsid w:val="0031733E"/>
    <w:rsid w:val="003229D8"/>
    <w:rsid w:val="003237A4"/>
    <w:rsid w:val="00325908"/>
    <w:rsid w:val="00326932"/>
    <w:rsid w:val="00330F1A"/>
    <w:rsid w:val="00336789"/>
    <w:rsid w:val="003406CC"/>
    <w:rsid w:val="0034168B"/>
    <w:rsid w:val="003450DD"/>
    <w:rsid w:val="003451F4"/>
    <w:rsid w:val="003516C1"/>
    <w:rsid w:val="00352181"/>
    <w:rsid w:val="00352709"/>
    <w:rsid w:val="00356E54"/>
    <w:rsid w:val="00356F12"/>
    <w:rsid w:val="00360814"/>
    <w:rsid w:val="003619B5"/>
    <w:rsid w:val="00361AC3"/>
    <w:rsid w:val="00365763"/>
    <w:rsid w:val="00371178"/>
    <w:rsid w:val="00377817"/>
    <w:rsid w:val="003800C8"/>
    <w:rsid w:val="0038196E"/>
    <w:rsid w:val="00383155"/>
    <w:rsid w:val="00392E47"/>
    <w:rsid w:val="00393288"/>
    <w:rsid w:val="00394CC7"/>
    <w:rsid w:val="00396E5F"/>
    <w:rsid w:val="003A06B5"/>
    <w:rsid w:val="003A3D17"/>
    <w:rsid w:val="003A5828"/>
    <w:rsid w:val="003A6810"/>
    <w:rsid w:val="003B1EDF"/>
    <w:rsid w:val="003B23CA"/>
    <w:rsid w:val="003B275B"/>
    <w:rsid w:val="003C17CC"/>
    <w:rsid w:val="003C2CC4"/>
    <w:rsid w:val="003C46E4"/>
    <w:rsid w:val="003C534D"/>
    <w:rsid w:val="003D3F82"/>
    <w:rsid w:val="003D4B23"/>
    <w:rsid w:val="003E120B"/>
    <w:rsid w:val="003E130E"/>
    <w:rsid w:val="003F00E3"/>
    <w:rsid w:val="003F1796"/>
    <w:rsid w:val="003F6FC1"/>
    <w:rsid w:val="004019C4"/>
    <w:rsid w:val="00403D20"/>
    <w:rsid w:val="0040438C"/>
    <w:rsid w:val="00407687"/>
    <w:rsid w:val="00410C89"/>
    <w:rsid w:val="00420557"/>
    <w:rsid w:val="00422E03"/>
    <w:rsid w:val="00425C32"/>
    <w:rsid w:val="00426B9B"/>
    <w:rsid w:val="004325CB"/>
    <w:rsid w:val="00441335"/>
    <w:rsid w:val="00442A83"/>
    <w:rsid w:val="00443761"/>
    <w:rsid w:val="00443911"/>
    <w:rsid w:val="00451DEE"/>
    <w:rsid w:val="0045495B"/>
    <w:rsid w:val="004561E5"/>
    <w:rsid w:val="004572AE"/>
    <w:rsid w:val="00464BD6"/>
    <w:rsid w:val="004677F2"/>
    <w:rsid w:val="00467A01"/>
    <w:rsid w:val="00467FEF"/>
    <w:rsid w:val="00471BD2"/>
    <w:rsid w:val="00477526"/>
    <w:rsid w:val="00477A0D"/>
    <w:rsid w:val="00481E2E"/>
    <w:rsid w:val="0048237A"/>
    <w:rsid w:val="0048397A"/>
    <w:rsid w:val="0048419F"/>
    <w:rsid w:val="00485CBB"/>
    <w:rsid w:val="004866B7"/>
    <w:rsid w:val="004935FC"/>
    <w:rsid w:val="00493DB9"/>
    <w:rsid w:val="004A79FD"/>
    <w:rsid w:val="004B05F0"/>
    <w:rsid w:val="004B3889"/>
    <w:rsid w:val="004B5DF0"/>
    <w:rsid w:val="004C2461"/>
    <w:rsid w:val="004C3774"/>
    <w:rsid w:val="004C7462"/>
    <w:rsid w:val="004D0424"/>
    <w:rsid w:val="004D3FC5"/>
    <w:rsid w:val="004D65FF"/>
    <w:rsid w:val="004E0683"/>
    <w:rsid w:val="004E0FDB"/>
    <w:rsid w:val="004E57FB"/>
    <w:rsid w:val="004E77B2"/>
    <w:rsid w:val="004F1622"/>
    <w:rsid w:val="004F1CBD"/>
    <w:rsid w:val="00501396"/>
    <w:rsid w:val="005017D4"/>
    <w:rsid w:val="0050265D"/>
    <w:rsid w:val="00502DF4"/>
    <w:rsid w:val="0050463D"/>
    <w:rsid w:val="00504B2D"/>
    <w:rsid w:val="00504CD0"/>
    <w:rsid w:val="0052136D"/>
    <w:rsid w:val="00527001"/>
    <w:rsid w:val="0052775E"/>
    <w:rsid w:val="00535965"/>
    <w:rsid w:val="0054033E"/>
    <w:rsid w:val="005420F2"/>
    <w:rsid w:val="005462C2"/>
    <w:rsid w:val="0055161F"/>
    <w:rsid w:val="0055217D"/>
    <w:rsid w:val="0055307C"/>
    <w:rsid w:val="00554D08"/>
    <w:rsid w:val="00556130"/>
    <w:rsid w:val="00556DED"/>
    <w:rsid w:val="0056209A"/>
    <w:rsid w:val="005628B6"/>
    <w:rsid w:val="005642C2"/>
    <w:rsid w:val="00564BCC"/>
    <w:rsid w:val="0057118C"/>
    <w:rsid w:val="0057288A"/>
    <w:rsid w:val="00574006"/>
    <w:rsid w:val="00574E7A"/>
    <w:rsid w:val="005751FB"/>
    <w:rsid w:val="00581DFE"/>
    <w:rsid w:val="00583457"/>
    <w:rsid w:val="005907C7"/>
    <w:rsid w:val="00593353"/>
    <w:rsid w:val="00593753"/>
    <w:rsid w:val="005941EC"/>
    <w:rsid w:val="00596CF1"/>
    <w:rsid w:val="0059724D"/>
    <w:rsid w:val="0059757F"/>
    <w:rsid w:val="005A467E"/>
    <w:rsid w:val="005B04D8"/>
    <w:rsid w:val="005B1513"/>
    <w:rsid w:val="005B320C"/>
    <w:rsid w:val="005B3DB3"/>
    <w:rsid w:val="005B4E13"/>
    <w:rsid w:val="005C1629"/>
    <w:rsid w:val="005C2C9D"/>
    <w:rsid w:val="005C342F"/>
    <w:rsid w:val="005C4CF6"/>
    <w:rsid w:val="005C5509"/>
    <w:rsid w:val="005C7D1E"/>
    <w:rsid w:val="005D01D5"/>
    <w:rsid w:val="005E0D4D"/>
    <w:rsid w:val="005F4257"/>
    <w:rsid w:val="005F72B3"/>
    <w:rsid w:val="005F7B75"/>
    <w:rsid w:val="006001EE"/>
    <w:rsid w:val="00600492"/>
    <w:rsid w:val="00600CE8"/>
    <w:rsid w:val="00605042"/>
    <w:rsid w:val="00606FF3"/>
    <w:rsid w:val="006072D0"/>
    <w:rsid w:val="00611FC4"/>
    <w:rsid w:val="00616169"/>
    <w:rsid w:val="006176FB"/>
    <w:rsid w:val="006266D3"/>
    <w:rsid w:val="00626FBD"/>
    <w:rsid w:val="00630555"/>
    <w:rsid w:val="0063070C"/>
    <w:rsid w:val="00631AF6"/>
    <w:rsid w:val="0063242B"/>
    <w:rsid w:val="006336FD"/>
    <w:rsid w:val="00634F9F"/>
    <w:rsid w:val="006372E5"/>
    <w:rsid w:val="0064099B"/>
    <w:rsid w:val="00640B26"/>
    <w:rsid w:val="0064292F"/>
    <w:rsid w:val="00647BAD"/>
    <w:rsid w:val="00652D0A"/>
    <w:rsid w:val="0065391C"/>
    <w:rsid w:val="00662BB6"/>
    <w:rsid w:val="00663B3A"/>
    <w:rsid w:val="00664F9E"/>
    <w:rsid w:val="00665D25"/>
    <w:rsid w:val="006660D3"/>
    <w:rsid w:val="006679FE"/>
    <w:rsid w:val="00671B51"/>
    <w:rsid w:val="0067362F"/>
    <w:rsid w:val="00675314"/>
    <w:rsid w:val="00676606"/>
    <w:rsid w:val="00680563"/>
    <w:rsid w:val="00682E86"/>
    <w:rsid w:val="0068459E"/>
    <w:rsid w:val="00684C21"/>
    <w:rsid w:val="006958E8"/>
    <w:rsid w:val="006A0BC2"/>
    <w:rsid w:val="006A2530"/>
    <w:rsid w:val="006A2748"/>
    <w:rsid w:val="006A46E9"/>
    <w:rsid w:val="006A6267"/>
    <w:rsid w:val="006B4D98"/>
    <w:rsid w:val="006B4E9F"/>
    <w:rsid w:val="006B5488"/>
    <w:rsid w:val="006C3589"/>
    <w:rsid w:val="006D37AF"/>
    <w:rsid w:val="006D4450"/>
    <w:rsid w:val="006D4C02"/>
    <w:rsid w:val="006D51D0"/>
    <w:rsid w:val="006D52CA"/>
    <w:rsid w:val="006D5FB9"/>
    <w:rsid w:val="006D658E"/>
    <w:rsid w:val="006E564B"/>
    <w:rsid w:val="006E7191"/>
    <w:rsid w:val="006E7863"/>
    <w:rsid w:val="006F0360"/>
    <w:rsid w:val="006F2D70"/>
    <w:rsid w:val="006F3D7F"/>
    <w:rsid w:val="00702B9C"/>
    <w:rsid w:val="00703577"/>
    <w:rsid w:val="00705894"/>
    <w:rsid w:val="007072C1"/>
    <w:rsid w:val="00716CB7"/>
    <w:rsid w:val="007247D3"/>
    <w:rsid w:val="0072632A"/>
    <w:rsid w:val="00731186"/>
    <w:rsid w:val="007327D5"/>
    <w:rsid w:val="00735128"/>
    <w:rsid w:val="007377C5"/>
    <w:rsid w:val="00741C1C"/>
    <w:rsid w:val="00750A59"/>
    <w:rsid w:val="00750B8D"/>
    <w:rsid w:val="00754B4B"/>
    <w:rsid w:val="00757F2F"/>
    <w:rsid w:val="007629C8"/>
    <w:rsid w:val="00770168"/>
    <w:rsid w:val="0077047D"/>
    <w:rsid w:val="00775F7C"/>
    <w:rsid w:val="0077691F"/>
    <w:rsid w:val="007836F4"/>
    <w:rsid w:val="00790A9A"/>
    <w:rsid w:val="00792D92"/>
    <w:rsid w:val="00793B94"/>
    <w:rsid w:val="00796008"/>
    <w:rsid w:val="007A36CE"/>
    <w:rsid w:val="007A3BAE"/>
    <w:rsid w:val="007A52E6"/>
    <w:rsid w:val="007B23A2"/>
    <w:rsid w:val="007B6BA5"/>
    <w:rsid w:val="007C0546"/>
    <w:rsid w:val="007C2E71"/>
    <w:rsid w:val="007C3390"/>
    <w:rsid w:val="007C3B1C"/>
    <w:rsid w:val="007C4F4B"/>
    <w:rsid w:val="007D0567"/>
    <w:rsid w:val="007D24C3"/>
    <w:rsid w:val="007D7BE1"/>
    <w:rsid w:val="007E01E9"/>
    <w:rsid w:val="007E3C7D"/>
    <w:rsid w:val="007E5E15"/>
    <w:rsid w:val="007E63F3"/>
    <w:rsid w:val="007F0E12"/>
    <w:rsid w:val="007F3673"/>
    <w:rsid w:val="007F53E5"/>
    <w:rsid w:val="007F6611"/>
    <w:rsid w:val="007F6FD3"/>
    <w:rsid w:val="00801D6A"/>
    <w:rsid w:val="00803BF8"/>
    <w:rsid w:val="00804C91"/>
    <w:rsid w:val="00811920"/>
    <w:rsid w:val="00815AD0"/>
    <w:rsid w:val="00815EDB"/>
    <w:rsid w:val="00816704"/>
    <w:rsid w:val="00817C0F"/>
    <w:rsid w:val="00822B44"/>
    <w:rsid w:val="008231D3"/>
    <w:rsid w:val="008242D7"/>
    <w:rsid w:val="008250E7"/>
    <w:rsid w:val="008257B1"/>
    <w:rsid w:val="00832334"/>
    <w:rsid w:val="008339DF"/>
    <w:rsid w:val="00835C20"/>
    <w:rsid w:val="00843767"/>
    <w:rsid w:val="00847CEC"/>
    <w:rsid w:val="00851184"/>
    <w:rsid w:val="00854043"/>
    <w:rsid w:val="008562C9"/>
    <w:rsid w:val="00856494"/>
    <w:rsid w:val="00856FAA"/>
    <w:rsid w:val="00861117"/>
    <w:rsid w:val="0086135A"/>
    <w:rsid w:val="00861D0F"/>
    <w:rsid w:val="00863DFD"/>
    <w:rsid w:val="00865560"/>
    <w:rsid w:val="008679D9"/>
    <w:rsid w:val="00872EA9"/>
    <w:rsid w:val="00873BB6"/>
    <w:rsid w:val="008809C1"/>
    <w:rsid w:val="00881AE2"/>
    <w:rsid w:val="00883E85"/>
    <w:rsid w:val="00886690"/>
    <w:rsid w:val="008878DE"/>
    <w:rsid w:val="008927C5"/>
    <w:rsid w:val="00896B38"/>
    <w:rsid w:val="008979B1"/>
    <w:rsid w:val="008A137D"/>
    <w:rsid w:val="008A1ED5"/>
    <w:rsid w:val="008A4091"/>
    <w:rsid w:val="008A6467"/>
    <w:rsid w:val="008A660C"/>
    <w:rsid w:val="008A6B25"/>
    <w:rsid w:val="008A6C4F"/>
    <w:rsid w:val="008A7EAF"/>
    <w:rsid w:val="008B2335"/>
    <w:rsid w:val="008B2E36"/>
    <w:rsid w:val="008C1921"/>
    <w:rsid w:val="008D37F7"/>
    <w:rsid w:val="008D3ABA"/>
    <w:rsid w:val="008D440D"/>
    <w:rsid w:val="008D6F03"/>
    <w:rsid w:val="008D7558"/>
    <w:rsid w:val="008E05FB"/>
    <w:rsid w:val="008E0678"/>
    <w:rsid w:val="008E305A"/>
    <w:rsid w:val="008E6DB5"/>
    <w:rsid w:val="008F31D2"/>
    <w:rsid w:val="008F4D26"/>
    <w:rsid w:val="0090098B"/>
    <w:rsid w:val="009014EE"/>
    <w:rsid w:val="00906A89"/>
    <w:rsid w:val="0091023E"/>
    <w:rsid w:val="00915EF6"/>
    <w:rsid w:val="00920C5D"/>
    <w:rsid w:val="00921397"/>
    <w:rsid w:val="009223CA"/>
    <w:rsid w:val="009235EA"/>
    <w:rsid w:val="00927C2B"/>
    <w:rsid w:val="00932725"/>
    <w:rsid w:val="009348BE"/>
    <w:rsid w:val="00934FAC"/>
    <w:rsid w:val="009405EF"/>
    <w:rsid w:val="00940F93"/>
    <w:rsid w:val="009448C3"/>
    <w:rsid w:val="00945A10"/>
    <w:rsid w:val="009465E1"/>
    <w:rsid w:val="0095793C"/>
    <w:rsid w:val="009629C4"/>
    <w:rsid w:val="00963752"/>
    <w:rsid w:val="00963BF3"/>
    <w:rsid w:val="00963E1A"/>
    <w:rsid w:val="0096421E"/>
    <w:rsid w:val="009650B1"/>
    <w:rsid w:val="00972EEF"/>
    <w:rsid w:val="00974C2D"/>
    <w:rsid w:val="009760F3"/>
    <w:rsid w:val="009764DA"/>
    <w:rsid w:val="00976CFB"/>
    <w:rsid w:val="00980C28"/>
    <w:rsid w:val="00981AA1"/>
    <w:rsid w:val="00985228"/>
    <w:rsid w:val="00994520"/>
    <w:rsid w:val="00997605"/>
    <w:rsid w:val="009A0830"/>
    <w:rsid w:val="009A08AC"/>
    <w:rsid w:val="009A0E8D"/>
    <w:rsid w:val="009A22DA"/>
    <w:rsid w:val="009A26E0"/>
    <w:rsid w:val="009A5E59"/>
    <w:rsid w:val="009B250F"/>
    <w:rsid w:val="009B26E7"/>
    <w:rsid w:val="009B385D"/>
    <w:rsid w:val="009B5B90"/>
    <w:rsid w:val="009B64BB"/>
    <w:rsid w:val="009B69E9"/>
    <w:rsid w:val="009C5020"/>
    <w:rsid w:val="009C6945"/>
    <w:rsid w:val="009D272C"/>
    <w:rsid w:val="009D2D7A"/>
    <w:rsid w:val="009D4BEE"/>
    <w:rsid w:val="009D7631"/>
    <w:rsid w:val="009E15C8"/>
    <w:rsid w:val="009E28CD"/>
    <w:rsid w:val="009E5620"/>
    <w:rsid w:val="009F0B23"/>
    <w:rsid w:val="009F36A3"/>
    <w:rsid w:val="009F71D1"/>
    <w:rsid w:val="00A00697"/>
    <w:rsid w:val="00A00A3F"/>
    <w:rsid w:val="00A01326"/>
    <w:rsid w:val="00A01489"/>
    <w:rsid w:val="00A053B0"/>
    <w:rsid w:val="00A12786"/>
    <w:rsid w:val="00A138B2"/>
    <w:rsid w:val="00A14A4D"/>
    <w:rsid w:val="00A1546E"/>
    <w:rsid w:val="00A17663"/>
    <w:rsid w:val="00A20DE2"/>
    <w:rsid w:val="00A23763"/>
    <w:rsid w:val="00A3026E"/>
    <w:rsid w:val="00A32BBC"/>
    <w:rsid w:val="00A338F1"/>
    <w:rsid w:val="00A347B8"/>
    <w:rsid w:val="00A3529B"/>
    <w:rsid w:val="00A35BE0"/>
    <w:rsid w:val="00A366EE"/>
    <w:rsid w:val="00A37F51"/>
    <w:rsid w:val="00A508DF"/>
    <w:rsid w:val="00A51DCC"/>
    <w:rsid w:val="00A52B68"/>
    <w:rsid w:val="00A54EBE"/>
    <w:rsid w:val="00A6129C"/>
    <w:rsid w:val="00A62A3C"/>
    <w:rsid w:val="00A72F22"/>
    <w:rsid w:val="00A7360F"/>
    <w:rsid w:val="00A748A6"/>
    <w:rsid w:val="00A74E3E"/>
    <w:rsid w:val="00A769F4"/>
    <w:rsid w:val="00A776B4"/>
    <w:rsid w:val="00A81C59"/>
    <w:rsid w:val="00A860E7"/>
    <w:rsid w:val="00A86546"/>
    <w:rsid w:val="00A877CE"/>
    <w:rsid w:val="00A94361"/>
    <w:rsid w:val="00AA293C"/>
    <w:rsid w:val="00AA43F1"/>
    <w:rsid w:val="00AB01AB"/>
    <w:rsid w:val="00AB10D2"/>
    <w:rsid w:val="00AC1563"/>
    <w:rsid w:val="00AC3244"/>
    <w:rsid w:val="00AC38EE"/>
    <w:rsid w:val="00AC3BEE"/>
    <w:rsid w:val="00AC56C3"/>
    <w:rsid w:val="00AC5792"/>
    <w:rsid w:val="00AC6594"/>
    <w:rsid w:val="00AC6C6D"/>
    <w:rsid w:val="00AD0033"/>
    <w:rsid w:val="00AD0670"/>
    <w:rsid w:val="00AD087C"/>
    <w:rsid w:val="00AD6B56"/>
    <w:rsid w:val="00AE02E1"/>
    <w:rsid w:val="00AE03EE"/>
    <w:rsid w:val="00AE7431"/>
    <w:rsid w:val="00AF6850"/>
    <w:rsid w:val="00B048EE"/>
    <w:rsid w:val="00B06136"/>
    <w:rsid w:val="00B17761"/>
    <w:rsid w:val="00B238A5"/>
    <w:rsid w:val="00B25FAF"/>
    <w:rsid w:val="00B30179"/>
    <w:rsid w:val="00B33901"/>
    <w:rsid w:val="00B341FF"/>
    <w:rsid w:val="00B351D3"/>
    <w:rsid w:val="00B371CD"/>
    <w:rsid w:val="00B41B66"/>
    <w:rsid w:val="00B421C1"/>
    <w:rsid w:val="00B43821"/>
    <w:rsid w:val="00B47053"/>
    <w:rsid w:val="00B50BFB"/>
    <w:rsid w:val="00B50D1A"/>
    <w:rsid w:val="00B51E98"/>
    <w:rsid w:val="00B53C21"/>
    <w:rsid w:val="00B55C71"/>
    <w:rsid w:val="00B56E37"/>
    <w:rsid w:val="00B56E4A"/>
    <w:rsid w:val="00B56E9C"/>
    <w:rsid w:val="00B64B1F"/>
    <w:rsid w:val="00B64F8E"/>
    <w:rsid w:val="00B6553F"/>
    <w:rsid w:val="00B74954"/>
    <w:rsid w:val="00B77D05"/>
    <w:rsid w:val="00B81206"/>
    <w:rsid w:val="00B8192C"/>
    <w:rsid w:val="00B81E12"/>
    <w:rsid w:val="00B8584A"/>
    <w:rsid w:val="00B924F0"/>
    <w:rsid w:val="00BA12BA"/>
    <w:rsid w:val="00BA22E5"/>
    <w:rsid w:val="00BA2B79"/>
    <w:rsid w:val="00BA523F"/>
    <w:rsid w:val="00BA5FB8"/>
    <w:rsid w:val="00BA73AB"/>
    <w:rsid w:val="00BA770E"/>
    <w:rsid w:val="00BB290D"/>
    <w:rsid w:val="00BB2CFC"/>
    <w:rsid w:val="00BB3C8F"/>
    <w:rsid w:val="00BB646D"/>
    <w:rsid w:val="00BC14F0"/>
    <w:rsid w:val="00BC3FA0"/>
    <w:rsid w:val="00BC6ABF"/>
    <w:rsid w:val="00BC74E9"/>
    <w:rsid w:val="00BC7E50"/>
    <w:rsid w:val="00BD0112"/>
    <w:rsid w:val="00BD577B"/>
    <w:rsid w:val="00BE1BD5"/>
    <w:rsid w:val="00BE24CA"/>
    <w:rsid w:val="00BE41AC"/>
    <w:rsid w:val="00BE54D3"/>
    <w:rsid w:val="00BE584F"/>
    <w:rsid w:val="00BF68A8"/>
    <w:rsid w:val="00C04469"/>
    <w:rsid w:val="00C06463"/>
    <w:rsid w:val="00C0710B"/>
    <w:rsid w:val="00C074E5"/>
    <w:rsid w:val="00C11A03"/>
    <w:rsid w:val="00C15D44"/>
    <w:rsid w:val="00C22C0C"/>
    <w:rsid w:val="00C24EC4"/>
    <w:rsid w:val="00C27BD6"/>
    <w:rsid w:val="00C27EEB"/>
    <w:rsid w:val="00C30E2E"/>
    <w:rsid w:val="00C31046"/>
    <w:rsid w:val="00C31258"/>
    <w:rsid w:val="00C425BC"/>
    <w:rsid w:val="00C4527F"/>
    <w:rsid w:val="00C463DD"/>
    <w:rsid w:val="00C4724C"/>
    <w:rsid w:val="00C51808"/>
    <w:rsid w:val="00C522C3"/>
    <w:rsid w:val="00C57E75"/>
    <w:rsid w:val="00C629A0"/>
    <w:rsid w:val="00C64574"/>
    <w:rsid w:val="00C64629"/>
    <w:rsid w:val="00C65898"/>
    <w:rsid w:val="00C67DB7"/>
    <w:rsid w:val="00C7153B"/>
    <w:rsid w:val="00C73591"/>
    <w:rsid w:val="00C74128"/>
    <w:rsid w:val="00C745C3"/>
    <w:rsid w:val="00C752BA"/>
    <w:rsid w:val="00C7562D"/>
    <w:rsid w:val="00C7656E"/>
    <w:rsid w:val="00C81F83"/>
    <w:rsid w:val="00C843AA"/>
    <w:rsid w:val="00C85255"/>
    <w:rsid w:val="00C85C77"/>
    <w:rsid w:val="00C86E02"/>
    <w:rsid w:val="00C91017"/>
    <w:rsid w:val="00C953EC"/>
    <w:rsid w:val="00C96DF2"/>
    <w:rsid w:val="00C9755B"/>
    <w:rsid w:val="00CA6DDD"/>
    <w:rsid w:val="00CA7D1D"/>
    <w:rsid w:val="00CB17B6"/>
    <w:rsid w:val="00CB3E03"/>
    <w:rsid w:val="00CC121D"/>
    <w:rsid w:val="00CC138B"/>
    <w:rsid w:val="00CD3978"/>
    <w:rsid w:val="00CD4AA6"/>
    <w:rsid w:val="00CE4032"/>
    <w:rsid w:val="00CE4A8F"/>
    <w:rsid w:val="00CE5946"/>
    <w:rsid w:val="00CF1FA5"/>
    <w:rsid w:val="00CF263E"/>
    <w:rsid w:val="00CF2B7C"/>
    <w:rsid w:val="00CF7C95"/>
    <w:rsid w:val="00D0541A"/>
    <w:rsid w:val="00D05E5E"/>
    <w:rsid w:val="00D12117"/>
    <w:rsid w:val="00D153A7"/>
    <w:rsid w:val="00D2031B"/>
    <w:rsid w:val="00D24361"/>
    <w:rsid w:val="00D248B6"/>
    <w:rsid w:val="00D25FB2"/>
    <w:rsid w:val="00D25FE2"/>
    <w:rsid w:val="00D26E07"/>
    <w:rsid w:val="00D27713"/>
    <w:rsid w:val="00D3203E"/>
    <w:rsid w:val="00D32431"/>
    <w:rsid w:val="00D342A8"/>
    <w:rsid w:val="00D35FE4"/>
    <w:rsid w:val="00D41A20"/>
    <w:rsid w:val="00D43252"/>
    <w:rsid w:val="00D45E95"/>
    <w:rsid w:val="00D46A88"/>
    <w:rsid w:val="00D46D61"/>
    <w:rsid w:val="00D47EEA"/>
    <w:rsid w:val="00D51801"/>
    <w:rsid w:val="00D54E2A"/>
    <w:rsid w:val="00D5792F"/>
    <w:rsid w:val="00D60A2A"/>
    <w:rsid w:val="00D66211"/>
    <w:rsid w:val="00D70083"/>
    <w:rsid w:val="00D75C92"/>
    <w:rsid w:val="00D773DF"/>
    <w:rsid w:val="00D84D1A"/>
    <w:rsid w:val="00D84F14"/>
    <w:rsid w:val="00D92E08"/>
    <w:rsid w:val="00D94543"/>
    <w:rsid w:val="00D94A0D"/>
    <w:rsid w:val="00D94C1E"/>
    <w:rsid w:val="00D95303"/>
    <w:rsid w:val="00D95D10"/>
    <w:rsid w:val="00D978C6"/>
    <w:rsid w:val="00D97FCD"/>
    <w:rsid w:val="00DA2C03"/>
    <w:rsid w:val="00DA3C1C"/>
    <w:rsid w:val="00DA3C80"/>
    <w:rsid w:val="00DA6998"/>
    <w:rsid w:val="00DB0466"/>
    <w:rsid w:val="00DB259A"/>
    <w:rsid w:val="00DB3822"/>
    <w:rsid w:val="00DC022E"/>
    <w:rsid w:val="00DC4365"/>
    <w:rsid w:val="00DC6D39"/>
    <w:rsid w:val="00DD13A2"/>
    <w:rsid w:val="00DD19F5"/>
    <w:rsid w:val="00DD455F"/>
    <w:rsid w:val="00DD640F"/>
    <w:rsid w:val="00DE2082"/>
    <w:rsid w:val="00DE501A"/>
    <w:rsid w:val="00DE5FF7"/>
    <w:rsid w:val="00DF418A"/>
    <w:rsid w:val="00DF49B0"/>
    <w:rsid w:val="00DF4F3B"/>
    <w:rsid w:val="00E008AC"/>
    <w:rsid w:val="00E00FC9"/>
    <w:rsid w:val="00E03443"/>
    <w:rsid w:val="00E046DF"/>
    <w:rsid w:val="00E04BE9"/>
    <w:rsid w:val="00E1085B"/>
    <w:rsid w:val="00E109DD"/>
    <w:rsid w:val="00E12AA1"/>
    <w:rsid w:val="00E1356F"/>
    <w:rsid w:val="00E2018A"/>
    <w:rsid w:val="00E201F4"/>
    <w:rsid w:val="00E2176E"/>
    <w:rsid w:val="00E22B0C"/>
    <w:rsid w:val="00E27346"/>
    <w:rsid w:val="00E31333"/>
    <w:rsid w:val="00E320F1"/>
    <w:rsid w:val="00E34CD5"/>
    <w:rsid w:val="00E36EB6"/>
    <w:rsid w:val="00E40A45"/>
    <w:rsid w:val="00E466D9"/>
    <w:rsid w:val="00E525B6"/>
    <w:rsid w:val="00E55173"/>
    <w:rsid w:val="00E560CA"/>
    <w:rsid w:val="00E62AFD"/>
    <w:rsid w:val="00E71BC8"/>
    <w:rsid w:val="00E7260F"/>
    <w:rsid w:val="00E726E5"/>
    <w:rsid w:val="00E73F5D"/>
    <w:rsid w:val="00E74454"/>
    <w:rsid w:val="00E76341"/>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3E7C"/>
    <w:rsid w:val="00EB44C5"/>
    <w:rsid w:val="00EB6C45"/>
    <w:rsid w:val="00EC08AE"/>
    <w:rsid w:val="00EC5B5A"/>
    <w:rsid w:val="00EC5F72"/>
    <w:rsid w:val="00ED09AC"/>
    <w:rsid w:val="00ED46C6"/>
    <w:rsid w:val="00ED5D0B"/>
    <w:rsid w:val="00ED5F6E"/>
    <w:rsid w:val="00ED72B5"/>
    <w:rsid w:val="00ED754F"/>
    <w:rsid w:val="00ED7A2A"/>
    <w:rsid w:val="00EE0B1C"/>
    <w:rsid w:val="00EE40EF"/>
    <w:rsid w:val="00EE5FCD"/>
    <w:rsid w:val="00EF088A"/>
    <w:rsid w:val="00EF1D7F"/>
    <w:rsid w:val="00EF404C"/>
    <w:rsid w:val="00EF52D2"/>
    <w:rsid w:val="00EF54BA"/>
    <w:rsid w:val="00F02C84"/>
    <w:rsid w:val="00F03A60"/>
    <w:rsid w:val="00F05945"/>
    <w:rsid w:val="00F11455"/>
    <w:rsid w:val="00F1224B"/>
    <w:rsid w:val="00F15DC0"/>
    <w:rsid w:val="00F20293"/>
    <w:rsid w:val="00F211B8"/>
    <w:rsid w:val="00F2422D"/>
    <w:rsid w:val="00F2770E"/>
    <w:rsid w:val="00F31279"/>
    <w:rsid w:val="00F31E5F"/>
    <w:rsid w:val="00F4348A"/>
    <w:rsid w:val="00F435BD"/>
    <w:rsid w:val="00F452EF"/>
    <w:rsid w:val="00F51A5B"/>
    <w:rsid w:val="00F5203B"/>
    <w:rsid w:val="00F531FD"/>
    <w:rsid w:val="00F54668"/>
    <w:rsid w:val="00F55A63"/>
    <w:rsid w:val="00F55ADC"/>
    <w:rsid w:val="00F6100A"/>
    <w:rsid w:val="00F7336D"/>
    <w:rsid w:val="00F73CB2"/>
    <w:rsid w:val="00F7570D"/>
    <w:rsid w:val="00F80A68"/>
    <w:rsid w:val="00F81727"/>
    <w:rsid w:val="00F836E5"/>
    <w:rsid w:val="00F848F2"/>
    <w:rsid w:val="00F93781"/>
    <w:rsid w:val="00F947D6"/>
    <w:rsid w:val="00F9569F"/>
    <w:rsid w:val="00F96D3C"/>
    <w:rsid w:val="00FA1794"/>
    <w:rsid w:val="00FA7AA7"/>
    <w:rsid w:val="00FA7BFA"/>
    <w:rsid w:val="00FB0434"/>
    <w:rsid w:val="00FB0E26"/>
    <w:rsid w:val="00FB1056"/>
    <w:rsid w:val="00FB4FEB"/>
    <w:rsid w:val="00FB613B"/>
    <w:rsid w:val="00FC598C"/>
    <w:rsid w:val="00FC68B7"/>
    <w:rsid w:val="00FC71C6"/>
    <w:rsid w:val="00FD14FA"/>
    <w:rsid w:val="00FD3F98"/>
    <w:rsid w:val="00FD4DDB"/>
    <w:rsid w:val="00FD7127"/>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SingleTxtG"/>
    <w:link w:val="paraChar"/>
    <w:qFormat/>
    <w:rsid w:val="00DE2082"/>
    <w:pPr>
      <w:ind w:left="2268" w:hanging="1134"/>
    </w:pPr>
    <w:rPr>
      <w:rFonts w:eastAsia="Times New Roman"/>
      <w:lang w:val="fr-CH"/>
    </w:rPr>
  </w:style>
  <w:style w:type="character" w:customStyle="1" w:styleId="paraChar">
    <w:name w:val="para Char"/>
    <w:link w:val="para"/>
    <w:rsid w:val="00DE2082"/>
    <w:rPr>
      <w:rFonts w:eastAsia="Times New Roman"/>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SingleTxtG"/>
    <w:link w:val="paraChar"/>
    <w:qFormat/>
    <w:rsid w:val="00DE2082"/>
    <w:pPr>
      <w:ind w:left="2268" w:hanging="1134"/>
    </w:pPr>
    <w:rPr>
      <w:rFonts w:eastAsia="Times New Roman"/>
      <w:lang w:val="fr-CH"/>
    </w:rPr>
  </w:style>
  <w:style w:type="character" w:customStyle="1" w:styleId="paraChar">
    <w:name w:val="para Char"/>
    <w:link w:val="para"/>
    <w:rsid w:val="00DE2082"/>
    <w:rPr>
      <w:rFonts w:eastAsia="Times New Roman"/>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95113-4F58-4D61-889F-D309F4743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5</Pages>
  <Words>1575</Words>
  <Characters>8983</Characters>
  <Application>Microsoft Office Word</Application>
  <DocSecurity>4</DocSecurity>
  <Lines>74</Lines>
  <Paragraphs>21</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1713769</vt:lpstr>
      <vt:lpstr>United Nations</vt:lpstr>
      <vt:lpstr>United Nations</vt:lpstr>
    </vt:vector>
  </TitlesOfParts>
  <Company>CSD</Company>
  <LinksUpToDate>false</LinksUpToDate>
  <CharactersWithSpaces>10537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1713769</dc:title>
  <dc:subject>ECE/TRANS/WP.29/GRE/2017/15</dc:subject>
  <dc:creator>Romain HUBERT</dc:creator>
  <cp:lastModifiedBy>Benedicte Boudol</cp:lastModifiedBy>
  <cp:revision>2</cp:revision>
  <cp:lastPrinted>2017-08-10T11:47:00Z</cp:lastPrinted>
  <dcterms:created xsi:type="dcterms:W3CDTF">2017-09-04T15:18:00Z</dcterms:created>
  <dcterms:modified xsi:type="dcterms:W3CDTF">2017-09-04T15:18:00Z</dcterms:modified>
</cp:coreProperties>
</file>