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20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20EE" w:rsidP="004020EE">
            <w:pPr>
              <w:jc w:val="right"/>
            </w:pPr>
            <w:r w:rsidRPr="004020EE">
              <w:rPr>
                <w:sz w:val="40"/>
              </w:rPr>
              <w:t>ECE</w:t>
            </w:r>
            <w:r>
              <w:t>/TRANS/WP.29/GRE/2017/15</w:t>
            </w:r>
          </w:p>
        </w:tc>
      </w:tr>
      <w:tr w:rsidR="002D5AAC" w:rsidRPr="00F20C6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20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20EE" w:rsidRDefault="004020EE" w:rsidP="004020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2017</w:t>
            </w:r>
          </w:p>
          <w:p w:rsidR="004020EE" w:rsidRDefault="004020EE" w:rsidP="004020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20EE" w:rsidRPr="008D53B6" w:rsidRDefault="004020EE" w:rsidP="004020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20EE" w:rsidRPr="00311B21" w:rsidRDefault="004020EE" w:rsidP="004020EE">
      <w:pPr>
        <w:spacing w:before="80" w:line="240" w:lineRule="auto"/>
        <w:rPr>
          <w:sz w:val="28"/>
          <w:szCs w:val="28"/>
        </w:rPr>
      </w:pPr>
      <w:r w:rsidRPr="00311B21">
        <w:rPr>
          <w:sz w:val="28"/>
          <w:szCs w:val="28"/>
        </w:rPr>
        <w:t>Комитет по внутреннему транспорту</w:t>
      </w:r>
    </w:p>
    <w:p w:rsidR="004020EE" w:rsidRPr="00311B21" w:rsidRDefault="004020EE" w:rsidP="004020EE">
      <w:pPr>
        <w:spacing w:before="80" w:line="240" w:lineRule="auto"/>
        <w:rPr>
          <w:b/>
          <w:bCs/>
          <w:sz w:val="24"/>
          <w:szCs w:val="24"/>
        </w:rPr>
      </w:pPr>
      <w:r w:rsidRPr="00311B21">
        <w:rPr>
          <w:b/>
          <w:bCs/>
          <w:sz w:val="24"/>
          <w:szCs w:val="24"/>
        </w:rPr>
        <w:t>Всемирный форум для согласования правил</w:t>
      </w:r>
      <w:r w:rsidRPr="00311B21">
        <w:rPr>
          <w:b/>
          <w:bCs/>
          <w:sz w:val="24"/>
          <w:szCs w:val="24"/>
        </w:rPr>
        <w:br/>
        <w:t>в области транспортных средств</w:t>
      </w:r>
    </w:p>
    <w:p w:rsidR="004020EE" w:rsidRPr="00311B21" w:rsidRDefault="004020EE" w:rsidP="004020EE">
      <w:pPr>
        <w:spacing w:before="120" w:after="120"/>
        <w:rPr>
          <w:b/>
          <w:bCs/>
        </w:rPr>
      </w:pPr>
      <w:r w:rsidRPr="00311B21">
        <w:rPr>
          <w:b/>
          <w:bCs/>
        </w:rPr>
        <w:t>Рабочая группа по вопросам освещения</w:t>
      </w:r>
      <w:r w:rsidRPr="00311B21">
        <w:rPr>
          <w:b/>
          <w:bCs/>
        </w:rPr>
        <w:br/>
        <w:t>и световой сигнализации</w:t>
      </w:r>
    </w:p>
    <w:p w:rsidR="004020EE" w:rsidRPr="00311B21" w:rsidRDefault="004020EE" w:rsidP="004020EE">
      <w:pPr>
        <w:rPr>
          <w:b/>
        </w:rPr>
      </w:pPr>
      <w:r>
        <w:rPr>
          <w:b/>
        </w:rPr>
        <w:t>Семьдесят восьмая сессия</w:t>
      </w:r>
    </w:p>
    <w:p w:rsidR="004020EE" w:rsidRPr="00311B21" w:rsidRDefault="004020EE" w:rsidP="004020EE">
      <w:pPr>
        <w:rPr>
          <w:bCs/>
        </w:rPr>
      </w:pPr>
      <w:r>
        <w:t>Женева</w:t>
      </w:r>
      <w:r w:rsidRPr="00311B21">
        <w:rPr>
          <w:bCs/>
        </w:rPr>
        <w:t xml:space="preserve">, 24–27 </w:t>
      </w:r>
      <w:r>
        <w:rPr>
          <w:bCs/>
        </w:rPr>
        <w:t xml:space="preserve">октября </w:t>
      </w:r>
      <w:r w:rsidRPr="00311B21">
        <w:rPr>
          <w:bCs/>
        </w:rPr>
        <w:t>2017</w:t>
      </w:r>
      <w:r>
        <w:rPr>
          <w:bCs/>
        </w:rPr>
        <w:t xml:space="preserve"> года</w:t>
      </w:r>
    </w:p>
    <w:p w:rsidR="004020EE" w:rsidRPr="00A91180" w:rsidRDefault="004020EE" w:rsidP="004020EE">
      <w:pPr>
        <w:ind w:right="1134"/>
        <w:rPr>
          <w:bCs/>
        </w:rPr>
      </w:pPr>
      <w:r w:rsidRPr="009C2CB7">
        <w:t>Пункт</w:t>
      </w:r>
      <w:r w:rsidRPr="00A91180">
        <w:t xml:space="preserve"> 4 </w:t>
      </w:r>
      <w:r w:rsidRPr="009C2CB7">
        <w:t>предварительной</w:t>
      </w:r>
      <w:r w:rsidRPr="00A91180">
        <w:t xml:space="preserve"> </w:t>
      </w:r>
      <w:r w:rsidRPr="009C2CB7">
        <w:t>повестки</w:t>
      </w:r>
      <w:r w:rsidRPr="00A91180">
        <w:t xml:space="preserve"> </w:t>
      </w:r>
      <w:r w:rsidRPr="009C2CB7">
        <w:t>дня</w:t>
      </w:r>
    </w:p>
    <w:p w:rsidR="004020EE" w:rsidRPr="00A91180" w:rsidRDefault="004020EE" w:rsidP="004020EE">
      <w:pPr>
        <w:ind w:right="1134"/>
        <w:rPr>
          <w:bCs/>
        </w:rPr>
      </w:pPr>
      <w:r>
        <w:rPr>
          <w:b/>
          <w:bCs/>
        </w:rPr>
        <w:t xml:space="preserve">Упрощение правил, касающихся освещения </w:t>
      </w:r>
      <w:r w:rsidRPr="004020EE">
        <w:rPr>
          <w:b/>
          <w:bCs/>
        </w:rPr>
        <w:br/>
      </w:r>
      <w:r>
        <w:rPr>
          <w:b/>
          <w:bCs/>
        </w:rPr>
        <w:t>и световой сигнализации</w:t>
      </w:r>
      <w:r w:rsidRPr="00A91180">
        <w:rPr>
          <w:b/>
          <w:bCs/>
        </w:rPr>
        <w:t xml:space="preserve"> </w:t>
      </w:r>
    </w:p>
    <w:p w:rsidR="004020EE" w:rsidRPr="004020EE" w:rsidRDefault="004020EE" w:rsidP="004020EE">
      <w:pPr>
        <w:pStyle w:val="HChGR"/>
      </w:pPr>
      <w:r w:rsidRPr="004020EE">
        <w:tab/>
      </w:r>
      <w:r w:rsidRPr="004020EE">
        <w:tab/>
        <w:t xml:space="preserve">Предложение о введении требований относительно использования сменных источников света </w:t>
      </w:r>
      <w:r w:rsidRPr="004020EE">
        <w:br/>
        <w:t>на светоизлучающих диодах для переднего освещения в новые правила, касающиеся устройств освещения дороги</w:t>
      </w:r>
    </w:p>
    <w:p w:rsidR="004020EE" w:rsidRPr="004020EE" w:rsidRDefault="004020EE" w:rsidP="004020EE">
      <w:pPr>
        <w:pStyle w:val="H1GR"/>
      </w:pPr>
      <w:r w:rsidRPr="00F20C60">
        <w:tab/>
      </w:r>
      <w:r w:rsidRPr="00F20C60">
        <w:tab/>
      </w:r>
      <w:r w:rsidRPr="004020EE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4020EE">
        <w:rPr>
          <w:b w:val="0"/>
          <w:sz w:val="20"/>
        </w:rPr>
        <w:footnoteReference w:customMarkFollows="1" w:id="1"/>
        <w:t>*</w:t>
      </w:r>
    </w:p>
    <w:p w:rsidR="004020EE" w:rsidRPr="00403649" w:rsidRDefault="004020EE" w:rsidP="00403649">
      <w:pPr>
        <w:pStyle w:val="SingleTxtGR"/>
      </w:pPr>
      <w:r w:rsidRPr="00403649">
        <w:tab/>
        <w:t>Воспроизведенный ниже текст был подготовлен экспертом от БРГ с ц</w:t>
      </w:r>
      <w:r w:rsidRPr="00403649">
        <w:t>е</w:t>
      </w:r>
      <w:r w:rsidRPr="00403649">
        <w:t>лью введения требований относительно сменных источников света на светои</w:t>
      </w:r>
      <w:r w:rsidRPr="00403649">
        <w:t>з</w:t>
      </w:r>
      <w:r w:rsidRPr="00403649">
        <w:t>лучающих диодах (СИД) для переднего освещения в новые правила, касающи</w:t>
      </w:r>
      <w:r w:rsidRPr="00403649">
        <w:t>е</w:t>
      </w:r>
      <w:r w:rsidRPr="00403649">
        <w:t>ся устройств освещения дороги (УОД). Текст проекта новых правил, касающи</w:t>
      </w:r>
      <w:r w:rsidRPr="00403649">
        <w:t>х</w:t>
      </w:r>
      <w:r w:rsidRPr="00403649">
        <w:t>ся УОД, все еще разрабатывается, однако в настоящем документе содержатся более всеобъемлющие указания характера изменений, которые требуется внести в основной текст проекта этих правил, по сравнению с неофициальным док</w:t>
      </w:r>
      <w:r w:rsidRPr="00403649">
        <w:t>у</w:t>
      </w:r>
      <w:r w:rsidRPr="00403649">
        <w:t xml:space="preserve">ментом, представленным Рабочей группе по вопросам освещения и световой сигнализации (GRE) на ее семьдесят седьмой сессии в качестве GRE-77-14. Изменения к приложениям находятся в стадии разработки, но в связи с ними будет использован такой же подход. Изменения к тексту проекта новых правил выделены жирным шрифтом в случае новых положений или зачеркиванием в случае исключенных элементов. </w:t>
      </w:r>
    </w:p>
    <w:p w:rsidR="004020EE" w:rsidRPr="004020EE" w:rsidRDefault="004020EE" w:rsidP="004020EE">
      <w:pPr>
        <w:pStyle w:val="HChGR"/>
      </w:pPr>
      <w:r w:rsidRPr="004020EE">
        <w:lastRenderedPageBreak/>
        <w:br w:type="page"/>
      </w:r>
      <w:r w:rsidRPr="004020EE">
        <w:lastRenderedPageBreak/>
        <w:tab/>
      </w:r>
      <w:r w:rsidRPr="004020EE">
        <w:rPr>
          <w:lang w:val="en-GB"/>
        </w:rPr>
        <w:t>I</w:t>
      </w:r>
      <w:r w:rsidRPr="004020EE">
        <w:t>.</w:t>
      </w:r>
      <w:r w:rsidRPr="004020EE">
        <w:tab/>
        <w:t>Предложение</w:t>
      </w:r>
    </w:p>
    <w:p w:rsidR="004020EE" w:rsidRPr="004020EE" w:rsidRDefault="004020EE" w:rsidP="004020EE">
      <w:pPr>
        <w:pStyle w:val="SingleTxtGR"/>
      </w:pPr>
      <w:r w:rsidRPr="004020EE">
        <w:rPr>
          <w:i/>
          <w:iCs/>
        </w:rPr>
        <w:t>Пункт 3.3.2.5.2</w:t>
      </w:r>
      <w:r>
        <w:rPr>
          <w:i/>
          <w:iCs/>
        </w:rPr>
        <w:t xml:space="preserve">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rPr>
          <w:iCs/>
        </w:rPr>
        <w:t>3.3.2.5.2</w:t>
      </w:r>
      <w:r w:rsidRPr="004020EE">
        <w:tab/>
        <w:t>в случае встраиваемого модуля из фар/АСПО для обоих напра</w:t>
      </w:r>
      <w:r w:rsidRPr="004020EE">
        <w:t>в</w:t>
      </w:r>
      <w:r w:rsidRPr="004020EE">
        <w:t>лений дорожного движения, устанавливаемого посредством соо</w:t>
      </w:r>
      <w:r w:rsidRPr="004020EE">
        <w:t>т</w:t>
      </w:r>
      <w:r w:rsidRPr="004020EE">
        <w:t>ветствующей регулировки оптического элемента или лампы нак</w:t>
      </w:r>
      <w:r w:rsidRPr="004020EE">
        <w:t>а</w:t>
      </w:r>
      <w:r w:rsidRPr="004020EE">
        <w:t xml:space="preserve">ливания </w:t>
      </w:r>
      <w:r w:rsidRPr="004020EE">
        <w:rPr>
          <w:b/>
          <w:bCs/>
        </w:rPr>
        <w:t>либо</w:t>
      </w:r>
      <w:r w:rsidRPr="004020EE">
        <w:t xml:space="preserve"> источника света </w:t>
      </w:r>
      <w:r w:rsidRPr="004020EE">
        <w:rPr>
          <w:b/>
          <w:bCs/>
        </w:rPr>
        <w:t>на СИД</w:t>
      </w:r>
      <w:r w:rsidRPr="004020EE">
        <w:t xml:space="preserve"> или модуля(ей) СИД, г</w:t>
      </w:r>
      <w:r w:rsidRPr="004020EE">
        <w:t>о</w:t>
      </w:r>
      <w:r w:rsidRPr="004020EE">
        <w:t>ризонтальную стрелку, имеющую два острия, направленных соо</w:t>
      </w:r>
      <w:r w:rsidRPr="004020EE">
        <w:t>т</w:t>
      </w:r>
      <w:r w:rsidRPr="004020EE">
        <w:t>ветственно влево и вправо;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 xml:space="preserve">Пункт 3.3.2.5.6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rPr>
          <w:iCs/>
        </w:rPr>
        <w:t>3.3.2.5.6</w:t>
      </w:r>
      <w:r w:rsidRPr="004020EE">
        <w:tab/>
        <w:t>в случае встраиваемого модуля из фар/АСПО, сконструированн</w:t>
      </w:r>
      <w:r w:rsidRPr="004020EE">
        <w:t>о</w:t>
      </w:r>
      <w:r w:rsidR="00F20C60">
        <w:t>го таким образом, что источник</w:t>
      </w:r>
      <w:r w:rsidRPr="004020EE">
        <w:t xml:space="preserve">(и) света с нитью накала </w:t>
      </w:r>
      <w:r w:rsidRPr="004020EE">
        <w:rPr>
          <w:b/>
          <w:bCs/>
        </w:rPr>
        <w:t>либо</w:t>
      </w:r>
      <w:r w:rsidRPr="004020EE">
        <w:t xml:space="preserve"> и</w:t>
      </w:r>
      <w:r w:rsidRPr="004020EE">
        <w:t>с</w:t>
      </w:r>
      <w:r w:rsidR="00F20C60">
        <w:t>точник</w:t>
      </w:r>
      <w:r w:rsidRPr="004020EE">
        <w:t xml:space="preserve">(и) света </w:t>
      </w:r>
      <w:r w:rsidRPr="004020EE">
        <w:rPr>
          <w:b/>
          <w:bCs/>
        </w:rPr>
        <w:t>на СИД</w:t>
      </w:r>
      <w:r>
        <w:t xml:space="preserve"> </w:t>
      </w:r>
      <w:r w:rsidRPr="004020EE">
        <w:t>или модуль(и) СИД, создающий(е) о</w:t>
      </w:r>
      <w:r w:rsidRPr="004020EE">
        <w:t>с</w:t>
      </w:r>
      <w:r w:rsidRPr="004020EE">
        <w:t>новной луч ближнего света, не включается(ются) одновременно с каким-либо другим огнем, с которым ближний свет может быть совмещен, на знаке официального утверждения после обознач</w:t>
      </w:r>
      <w:r w:rsidRPr="004020EE">
        <w:t>е</w:t>
      </w:r>
      <w:r w:rsidRPr="004020EE">
        <w:t>ния фары, создающей луч ближнего света, проставляют накло</w:t>
      </w:r>
      <w:r w:rsidRPr="004020EE">
        <w:t>н</w:t>
      </w:r>
      <w:r w:rsidRPr="004020EE">
        <w:t>ную черту (/).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>Пункт 3.3.2.7.7.2.1</w:t>
      </w:r>
      <w:r>
        <w:rPr>
          <w:i/>
          <w:iCs/>
        </w:rPr>
        <w:t xml:space="preserve">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t>3.3.2.7.7.2.1</w:t>
      </w:r>
      <w:r w:rsidRPr="004020EE">
        <w:tab/>
        <w:t xml:space="preserve">В случае источника света с нитью накала </w:t>
      </w:r>
      <w:r w:rsidRPr="004020EE">
        <w:rPr>
          <w:b/>
          <w:bCs/>
        </w:rPr>
        <w:t>или на СИД</w:t>
      </w:r>
      <w:r w:rsidRPr="004020EE">
        <w:t>,</w:t>
      </w:r>
      <w:r>
        <w:t xml:space="preserve"> катег</w:t>
      </w:r>
      <w:r>
        <w:t>о</w:t>
      </w:r>
      <w:r>
        <w:t>рии</w:t>
      </w:r>
      <w:r w:rsidRPr="004020EE">
        <w:t xml:space="preserve">(й) </w:t>
      </w:r>
      <w:r w:rsidRPr="004020EE">
        <w:rPr>
          <w:strike/>
        </w:rPr>
        <w:t>ламп накаливания</w:t>
      </w:r>
      <w:r w:rsidRPr="004020EE">
        <w:t xml:space="preserve"> </w:t>
      </w:r>
      <w:r w:rsidRPr="004020EE">
        <w:rPr>
          <w:b/>
          <w:bCs/>
        </w:rPr>
        <w:t>источников света с нитью накала</w:t>
      </w:r>
      <w:r w:rsidRPr="004020EE">
        <w:t xml:space="preserve"> </w:t>
      </w:r>
      <w:r w:rsidRPr="004020EE">
        <w:rPr>
          <w:b/>
          <w:bCs/>
        </w:rPr>
        <w:t xml:space="preserve">или на СИД </w:t>
      </w:r>
      <w:r w:rsidRPr="004020EE">
        <w:t>и/или в случае модуля(ей) на СИД, номинального напр</w:t>
      </w:r>
      <w:r w:rsidRPr="004020EE">
        <w:t>я</w:t>
      </w:r>
      <w:r w:rsidRPr="004020EE">
        <w:t>жения и номинальной мощности, а также конкретного(ых) иде</w:t>
      </w:r>
      <w:r w:rsidRPr="004020EE">
        <w:t>н</w:t>
      </w:r>
      <w:r w:rsidRPr="004020EE">
        <w:t>тификационного(ых) кода(ов) модуля(ей) на СИД.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>Пункт 4.5.2.2.5</w:t>
      </w:r>
      <w:r>
        <w:rPr>
          <w:i/>
          <w:iCs/>
        </w:rPr>
        <w:t xml:space="preserve">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t>4.5.2.2.5</w:t>
      </w:r>
      <w:r w:rsidRPr="004020EE">
        <w:tab/>
        <w:t>В соответствии с определениями, приведенными в Прав</w:t>
      </w:r>
      <w:r w:rsidRPr="004020EE">
        <w:t>и</w:t>
      </w:r>
      <w:r w:rsidRPr="004020EE">
        <w:t>лах</w:t>
      </w:r>
      <w:r>
        <w:t> </w:t>
      </w:r>
      <w:r w:rsidRPr="004020EE">
        <w:t>№</w:t>
      </w:r>
      <w:r>
        <w:t> </w:t>
      </w:r>
      <w:r w:rsidRPr="004020EE">
        <w:t>48,</w:t>
      </w:r>
      <w:r>
        <w:t xml:space="preserve"> </w:t>
      </w:r>
      <w:r w:rsidRPr="004020EE">
        <w:t>допускается использование модулей СИД, в которых могут содержаться патроны, предназначенные для других исто</w:t>
      </w:r>
      <w:r w:rsidRPr="004020EE">
        <w:t>ч</w:t>
      </w:r>
      <w:r w:rsidRPr="004020EE">
        <w:t xml:space="preserve">ников света. Независимо от данного положения не допускается использование </w:t>
      </w:r>
      <w:r w:rsidRPr="004020EE">
        <w:rPr>
          <w:b/>
          <w:bCs/>
        </w:rPr>
        <w:t>источников света на СИД</w:t>
      </w:r>
      <w:r w:rsidRPr="004020EE">
        <w:t xml:space="preserve"> </w:t>
      </w:r>
      <w:r w:rsidRPr="004020EE">
        <w:rPr>
          <w:b/>
          <w:bCs/>
        </w:rPr>
        <w:t>или модуля(ей) СИД</w:t>
      </w:r>
      <w:r w:rsidRPr="004020EE">
        <w:t xml:space="preserve"> совместно с другими источниками света для основного луча ближнего света, поворотного освещения либо каждого из лучей дальнего света, как указано в настоящих Правилах.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>Пункт 4.17.3.3.3</w:t>
      </w:r>
      <w:r>
        <w:rPr>
          <w:i/>
          <w:iCs/>
        </w:rPr>
        <w:t xml:space="preserve">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t>4.17.3.3.3</w:t>
      </w:r>
      <w:r w:rsidRPr="004020EE">
        <w:tab/>
        <w:t xml:space="preserve">общий номинальный световой поток всех </w:t>
      </w:r>
      <w:r w:rsidRPr="004020EE">
        <w:rPr>
          <w:b/>
          <w:bCs/>
        </w:rPr>
        <w:t>источников света на СИД и</w:t>
      </w:r>
      <w:r w:rsidRPr="004020EE">
        <w:t xml:space="preserve"> модулей СИД, создающих основной луч ближнего света, измеренный в соответствии с пунктом 5 приложения 12, должен составлять не менее 1</w:t>
      </w:r>
      <w:r w:rsidRPr="004020EE">
        <w:rPr>
          <w:lang w:val="en-GB"/>
        </w:rPr>
        <w:t> </w:t>
      </w:r>
      <w:r w:rsidRPr="004020EE">
        <w:t>000 люмен.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>Пункт 4.17.2.1</w:t>
      </w:r>
      <w:r>
        <w:rPr>
          <w:i/>
          <w:iCs/>
        </w:rPr>
        <w:t xml:space="preserve">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rPr>
          <w:iCs/>
        </w:rPr>
        <w:t>4</w:t>
      </w:r>
      <w:r w:rsidRPr="004020EE">
        <w:t>.17.2.1</w:t>
      </w:r>
      <w:r w:rsidRPr="004020EE">
        <w:tab/>
        <w:t>Фары должны оборудоваться устройством, позволяющим прои</w:t>
      </w:r>
      <w:r w:rsidRPr="004020EE">
        <w:t>з</w:t>
      </w:r>
      <w:r w:rsidRPr="004020EE">
        <w:t>водить предписанную регулировку на транспортном средстве в соответствии с применяемыми к ним предписаниями.</w:t>
      </w:r>
      <w:r w:rsidR="00F20C60">
        <w:t xml:space="preserve"> </w:t>
      </w:r>
      <w:r w:rsidRPr="004020EE">
        <w:t>Такое устройство может предусматривать или не предусматривать</w:t>
      </w:r>
      <w:r>
        <w:t xml:space="preserve"> </w:t>
      </w:r>
      <w:r w:rsidRPr="004020EE">
        <w:t>гор</w:t>
      </w:r>
      <w:r w:rsidRPr="004020EE">
        <w:t>и</w:t>
      </w:r>
      <w:r w:rsidRPr="004020EE">
        <w:t>зонтальную регулировку при условии, что конструкция фар по</w:t>
      </w:r>
      <w:r w:rsidRPr="004020EE">
        <w:t>з</w:t>
      </w:r>
      <w:r w:rsidRPr="004020EE">
        <w:t>воляет им сохранять правильное горизонтальное направление д</w:t>
      </w:r>
      <w:r w:rsidRPr="004020EE">
        <w:t>а</w:t>
      </w:r>
      <w:r w:rsidRPr="004020EE">
        <w:t>же после корректировки вертикального направления. Такое устройство может не предусматриваться для комплектов фар, в которых отражатель и рассеиватель неотделимы друг от друга, если использование таких комплектов ограничивается транспор</w:t>
      </w:r>
      <w:r w:rsidRPr="004020EE">
        <w:t>т</w:t>
      </w:r>
      <w:r w:rsidRPr="004020EE">
        <w:t>ными средствами, на которых регулировка фар обеспечивается иным образом.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F20C60">
        <w:tab/>
      </w:r>
      <w:r w:rsidRPr="00F20C60">
        <w:tab/>
      </w:r>
      <w:r w:rsidRPr="004020EE">
        <w:t xml:space="preserve">Если фара, создающая луч ближнего света, и фара дальнего света, каждая из которых снабжена </w:t>
      </w:r>
      <w:r w:rsidRPr="003B5E1D">
        <w:rPr>
          <w:strike/>
        </w:rPr>
        <w:t>отдельной(ыми) лампой(ами) нак</w:t>
      </w:r>
      <w:r w:rsidRPr="003B5E1D">
        <w:rPr>
          <w:strike/>
        </w:rPr>
        <w:t>а</w:t>
      </w:r>
      <w:r w:rsidRPr="003B5E1D">
        <w:rPr>
          <w:strike/>
        </w:rPr>
        <w:t>ливания</w:t>
      </w:r>
      <w:r w:rsidRPr="004020EE">
        <w:t xml:space="preserve"> отдельным источником света с нитью накала, газора</w:t>
      </w:r>
      <w:r w:rsidRPr="004020EE">
        <w:t>з</w:t>
      </w:r>
      <w:r w:rsidRPr="004020EE">
        <w:t xml:space="preserve">рядным источником света </w:t>
      </w:r>
      <w:r w:rsidRPr="004020EE">
        <w:rPr>
          <w:b/>
          <w:bCs/>
        </w:rPr>
        <w:t>или</w:t>
      </w:r>
      <w:r w:rsidRPr="004020EE">
        <w:t xml:space="preserve"> </w:t>
      </w:r>
      <w:r w:rsidRPr="004020EE">
        <w:rPr>
          <w:b/>
          <w:bCs/>
        </w:rPr>
        <w:t>источником света на СИД</w:t>
      </w:r>
      <w:r w:rsidRPr="004020EE">
        <w:t xml:space="preserve"> либо</w:t>
      </w:r>
      <w:r>
        <w:t xml:space="preserve"> </w:t>
      </w:r>
      <w:r w:rsidRPr="004020EE">
        <w:t>отдельным(и) модулем(ями) СИД, совмещаются в единый блок, то устройство регулировки должно допускать надлежащую рег</w:t>
      </w:r>
      <w:r w:rsidRPr="004020EE">
        <w:t>у</w:t>
      </w:r>
      <w:r w:rsidRPr="004020EE">
        <w:t>лировку каждой оптической системы в отдельности.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 xml:space="preserve">Пункт 4.17.3.1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rPr>
          <w:iCs/>
        </w:rPr>
        <w:t>4.</w:t>
      </w:r>
      <w:r w:rsidR="003B5E1D">
        <w:t>17.3.1</w:t>
      </w:r>
      <w:r w:rsidR="003B5E1D">
        <w:tab/>
        <w:t xml:space="preserve">Фары оснащают </w:t>
      </w:r>
      <w:r w:rsidR="003B5E1D" w:rsidRPr="003B5E1D">
        <w:rPr>
          <w:strike/>
        </w:rPr>
        <w:t>лампой</w:t>
      </w:r>
      <w:r w:rsidRPr="003B5E1D">
        <w:rPr>
          <w:strike/>
        </w:rPr>
        <w:t>(ами) накаливания</w:t>
      </w:r>
      <w:r w:rsidR="00F20C60">
        <w:t xml:space="preserve"> источником</w:t>
      </w:r>
      <w:r w:rsidRPr="004020EE">
        <w:t xml:space="preserve">(ами) света </w:t>
      </w:r>
      <w:r w:rsidRPr="004020EE">
        <w:rPr>
          <w:b/>
          <w:bCs/>
        </w:rPr>
        <w:t>с нитью накала</w:t>
      </w:r>
      <w:r w:rsidRPr="004020EE">
        <w:t xml:space="preserve"> </w:t>
      </w:r>
      <w:r w:rsidRPr="004020EE">
        <w:rPr>
          <w:b/>
          <w:bCs/>
        </w:rPr>
        <w:t>или на СИД</w:t>
      </w:r>
      <w:r w:rsidRPr="004020EE">
        <w:t>, официально утвержденным(и) на основании Правил № 37</w:t>
      </w:r>
      <w:r w:rsidRPr="004020EE">
        <w:rPr>
          <w:b/>
          <w:bCs/>
        </w:rPr>
        <w:t xml:space="preserve"> и № 128 соответственно</w:t>
      </w:r>
      <w:r w:rsidRPr="004020EE">
        <w:t>, и/или мод</w:t>
      </w:r>
      <w:r w:rsidRPr="004020EE">
        <w:t>у</w:t>
      </w:r>
      <w:r w:rsidRPr="004020EE">
        <w:t>лем(ями) СИД.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tab/>
      </w:r>
      <w:r w:rsidRPr="004020EE">
        <w:tab/>
        <w:t>В случае использования дополнительного(ых) источника(ов) св</w:t>
      </w:r>
      <w:r w:rsidRPr="004020EE">
        <w:t>е</w:t>
      </w:r>
      <w:r w:rsidRPr="004020EE">
        <w:t xml:space="preserve">та и/или дополнительного(ых) светового(ых) модуля(ей) для обеспечения подсветки поворотов должны использоваться только категории </w:t>
      </w:r>
      <w:r w:rsidRPr="003B5E1D">
        <w:rPr>
          <w:strike/>
        </w:rPr>
        <w:t>ламп накаливания</w:t>
      </w:r>
      <w:r w:rsidRPr="004020EE">
        <w:t xml:space="preserve"> источников света </w:t>
      </w:r>
      <w:r w:rsidRPr="004020EE">
        <w:rPr>
          <w:b/>
          <w:bCs/>
        </w:rPr>
        <w:t>с нитью накала или на СИД</w:t>
      </w:r>
      <w:r w:rsidRPr="004020EE">
        <w:t xml:space="preserve">, охватываемые Правилами № 37 </w:t>
      </w:r>
      <w:r w:rsidRPr="004020EE">
        <w:rPr>
          <w:b/>
          <w:bCs/>
        </w:rPr>
        <w:t>или Пра</w:t>
      </w:r>
      <w:r>
        <w:rPr>
          <w:b/>
          <w:bCs/>
        </w:rPr>
        <w:t>вил</w:t>
      </w:r>
      <w:r>
        <w:rPr>
          <w:b/>
          <w:bCs/>
        </w:rPr>
        <w:t>а</w:t>
      </w:r>
      <w:r>
        <w:rPr>
          <w:b/>
          <w:bCs/>
        </w:rPr>
        <w:t>ми</w:t>
      </w:r>
      <w:r>
        <w:rPr>
          <w:b/>
          <w:bCs/>
          <w:lang w:val="en-US"/>
        </w:rPr>
        <w:t> </w:t>
      </w:r>
      <w:r>
        <w:rPr>
          <w:b/>
          <w:bCs/>
        </w:rPr>
        <w:t>№</w:t>
      </w:r>
      <w:r>
        <w:rPr>
          <w:b/>
          <w:bCs/>
          <w:lang w:val="en-US"/>
        </w:rPr>
        <w:t> </w:t>
      </w:r>
      <w:r w:rsidRPr="004020EE">
        <w:rPr>
          <w:b/>
          <w:bCs/>
        </w:rPr>
        <w:t>128</w:t>
      </w:r>
      <w:r w:rsidRPr="004020EE">
        <w:t xml:space="preserve">, − при условии, что в Правилах № 37 </w:t>
      </w:r>
      <w:r w:rsidRPr="004020EE">
        <w:rPr>
          <w:b/>
          <w:bCs/>
        </w:rPr>
        <w:t>и</w:t>
      </w:r>
      <w:r w:rsidRPr="004020EE">
        <w:t xml:space="preserve"> </w:t>
      </w:r>
      <w:r w:rsidR="003B5E1D">
        <w:rPr>
          <w:b/>
          <w:bCs/>
        </w:rPr>
        <w:t>Прав</w:t>
      </w:r>
      <w:r w:rsidR="003B5E1D">
        <w:rPr>
          <w:b/>
          <w:bCs/>
        </w:rPr>
        <w:t>и</w:t>
      </w:r>
      <w:r w:rsidR="003B5E1D">
        <w:rPr>
          <w:b/>
          <w:bCs/>
        </w:rPr>
        <w:t>лах № </w:t>
      </w:r>
      <w:r w:rsidRPr="004020EE">
        <w:rPr>
          <w:b/>
          <w:bCs/>
        </w:rPr>
        <w:t>128 соответственно, а также в</w:t>
      </w:r>
      <w:r w:rsidRPr="004020EE">
        <w:t xml:space="preserve"> сериях поправок к ним, действующих на момент подачи заявки на официальное утве</w:t>
      </w:r>
      <w:r w:rsidRPr="004020EE">
        <w:t>р</w:t>
      </w:r>
      <w:r w:rsidRPr="004020EE">
        <w:t>ждение типа, не предусматривается никаких ограничений на и</w:t>
      </w:r>
      <w:r w:rsidRPr="004020EE">
        <w:t>с</w:t>
      </w:r>
      <w:r w:rsidRPr="004020EE">
        <w:t>пользование подсветки поворотов, − и/или модуль(и) СИД.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 xml:space="preserve">Пункт 4.17.3.2 </w:t>
      </w:r>
      <w:r w:rsidRPr="004020EE">
        <w:t xml:space="preserve">изменить следующим образом: 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 xml:space="preserve"> «</w:t>
      </w:r>
      <w:r w:rsidRPr="004020EE">
        <w:t>4.17.3.2</w:t>
      </w:r>
      <w:r w:rsidRPr="004020EE">
        <w:tab/>
        <w:t>Можно использовать два источника света с нитью накала ближн</w:t>
      </w:r>
      <w:r w:rsidRPr="004020EE">
        <w:t>е</w:t>
      </w:r>
      <w:r w:rsidRPr="004020EE">
        <w:t>го света и несколько источников света с нитью накала дальнего света.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ab/>
      </w:r>
      <w:r>
        <w:tab/>
      </w:r>
      <w:r w:rsidRPr="004020EE">
        <w:t xml:space="preserve">Может использоваться </w:t>
      </w:r>
      <w:r w:rsidRPr="003B5E1D">
        <w:rPr>
          <w:strike/>
        </w:rPr>
        <w:t>любая лампа накаливания</w:t>
      </w:r>
      <w:r w:rsidRPr="004020EE">
        <w:t xml:space="preserve"> </w:t>
      </w:r>
      <w:r w:rsidRPr="004020EE">
        <w:rPr>
          <w:b/>
          <w:bCs/>
        </w:rPr>
        <w:t>любой исто</w:t>
      </w:r>
      <w:r w:rsidRPr="004020EE">
        <w:rPr>
          <w:b/>
          <w:bCs/>
        </w:rPr>
        <w:t>ч</w:t>
      </w:r>
      <w:r w:rsidRPr="004020EE">
        <w:rPr>
          <w:b/>
          <w:bCs/>
        </w:rPr>
        <w:t>ник света с нитью накала</w:t>
      </w:r>
      <w:r w:rsidRPr="004020EE">
        <w:t xml:space="preserve">, официально </w:t>
      </w:r>
      <w:r w:rsidRPr="003B5E1D">
        <w:rPr>
          <w:strike/>
        </w:rPr>
        <w:t>утвержденная</w:t>
      </w:r>
      <w:r w:rsidRPr="004020EE">
        <w:t xml:space="preserve"> </w:t>
      </w:r>
      <w:r w:rsidRPr="004020EE">
        <w:rPr>
          <w:b/>
          <w:bCs/>
        </w:rPr>
        <w:t>утве</w:t>
      </w:r>
      <w:r w:rsidRPr="004020EE">
        <w:rPr>
          <w:b/>
          <w:bCs/>
        </w:rPr>
        <w:t>р</w:t>
      </w:r>
      <w:r w:rsidRPr="004020EE">
        <w:rPr>
          <w:b/>
          <w:bCs/>
        </w:rPr>
        <w:t>жденный</w:t>
      </w:r>
      <w:r w:rsidRPr="004020EE">
        <w:t xml:space="preserve"> на основании Правил № 37, при условии, что: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835" w:hanging="1701"/>
      </w:pPr>
      <w:r>
        <w:tab/>
      </w:r>
      <w:r>
        <w:tab/>
      </w:r>
      <w:r w:rsidRPr="004020EE">
        <w:rPr>
          <w:lang w:val="en-GB"/>
        </w:rPr>
        <w:t>a</w:t>
      </w:r>
      <w:r w:rsidRPr="004020EE">
        <w:t>)</w:t>
      </w:r>
      <w:r w:rsidRPr="004020EE">
        <w:tab/>
        <w:t>в Правилах № 37 и в сериях поправок к ним, действующих на момент подачи заявки на официальное утверждение типа, не предусмотрено никаких ограничений на его использов</w:t>
      </w:r>
      <w:r w:rsidRPr="004020EE">
        <w:t>а</w:t>
      </w:r>
      <w:r w:rsidRPr="004020EE">
        <w:t xml:space="preserve">ние; 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835" w:hanging="1701"/>
      </w:pPr>
      <w:r>
        <w:tab/>
      </w:r>
      <w:r>
        <w:tab/>
      </w:r>
      <w:r w:rsidRPr="004020EE">
        <w:rPr>
          <w:lang w:val="en-GB"/>
        </w:rPr>
        <w:t>b</w:t>
      </w:r>
      <w:r w:rsidRPr="004020EE">
        <w:t>)</w:t>
      </w:r>
      <w:r w:rsidRPr="004020EE">
        <w:tab/>
        <w:t xml:space="preserve">для классов А и В </w:t>
      </w:r>
      <w:r w:rsidRPr="003B5E1D">
        <w:rPr>
          <w:strike/>
        </w:rPr>
        <w:t>ее</w:t>
      </w:r>
      <w:r w:rsidRPr="004020EE">
        <w:t xml:space="preserve"> его общий контрольный световой поток при напряжении 13,2 </w:t>
      </w:r>
      <w:r w:rsidRPr="004020EE">
        <w:rPr>
          <w:lang w:val="en-GB"/>
        </w:rPr>
        <w:t>B</w:t>
      </w:r>
      <w:r w:rsidRPr="004020EE">
        <w:t xml:space="preserve"> в случае основного луча ближнего света не превышает 900 лм;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835" w:hanging="1701"/>
      </w:pPr>
      <w:r>
        <w:tab/>
      </w:r>
      <w:r>
        <w:tab/>
      </w:r>
      <w:r w:rsidRPr="004020EE">
        <w:rPr>
          <w:lang w:val="en-GB"/>
        </w:rPr>
        <w:t>c</w:t>
      </w:r>
      <w:r w:rsidRPr="004020EE">
        <w:t>)</w:t>
      </w:r>
      <w:r w:rsidRPr="004020EE">
        <w:tab/>
        <w:t xml:space="preserve">для классов С и </w:t>
      </w:r>
      <w:r w:rsidRPr="004020EE">
        <w:rPr>
          <w:lang w:val="en-GB"/>
        </w:rPr>
        <w:t>D</w:t>
      </w:r>
      <w:r w:rsidRPr="004020EE">
        <w:t xml:space="preserve"> </w:t>
      </w:r>
      <w:r w:rsidRPr="00F20C60">
        <w:rPr>
          <w:strike/>
        </w:rPr>
        <w:t>ее</w:t>
      </w:r>
      <w:r w:rsidRPr="004020EE">
        <w:t xml:space="preserve"> его общий контрольный световой поток при напряжении 13,2 В в случае основного луча ближнего света не превышает 2 000 лм.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tab/>
      </w:r>
      <w:r w:rsidRPr="004020EE">
        <w:tab/>
        <w:t xml:space="preserve">Конструкция устройства должна быть такой, чтобы </w:t>
      </w:r>
      <w:r w:rsidRPr="003B5E1D">
        <w:rPr>
          <w:strike/>
        </w:rPr>
        <w:t>лампу нак</w:t>
      </w:r>
      <w:r w:rsidRPr="003B5E1D">
        <w:rPr>
          <w:strike/>
        </w:rPr>
        <w:t>а</w:t>
      </w:r>
      <w:r w:rsidRPr="003B5E1D">
        <w:rPr>
          <w:strike/>
        </w:rPr>
        <w:t>ливания</w:t>
      </w:r>
      <w:r w:rsidRPr="004020EE">
        <w:t xml:space="preserve"> </w:t>
      </w:r>
      <w:r w:rsidRPr="004020EE">
        <w:rPr>
          <w:b/>
          <w:bCs/>
        </w:rPr>
        <w:t>источник света с нитью накала</w:t>
      </w:r>
      <w:r w:rsidRPr="004020EE">
        <w:t xml:space="preserve"> можно было устан</w:t>
      </w:r>
      <w:r w:rsidRPr="004020EE">
        <w:t>о</w:t>
      </w:r>
      <w:r w:rsidRPr="004020EE">
        <w:t>вить только в правильном положении</w:t>
      </w:r>
      <w:r w:rsidRPr="004020EE">
        <w:rPr>
          <w:vertAlign w:val="superscript"/>
        </w:rPr>
        <w:t>8</w:t>
      </w:r>
      <w:r w:rsidRPr="004020EE">
        <w:t>.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tab/>
      </w:r>
      <w:r w:rsidRPr="004020EE">
        <w:tab/>
        <w:t xml:space="preserve">Патрон </w:t>
      </w:r>
      <w:r w:rsidRPr="003B5E1D">
        <w:rPr>
          <w:strike/>
        </w:rPr>
        <w:t>лампы накаливания</w:t>
      </w:r>
      <w:r w:rsidRPr="004020EE">
        <w:t xml:space="preserve"> </w:t>
      </w:r>
      <w:r w:rsidRPr="004020EE">
        <w:rPr>
          <w:b/>
          <w:bCs/>
        </w:rPr>
        <w:t>источника света с нитью накала</w:t>
      </w:r>
      <w:r w:rsidRPr="004020EE">
        <w:t xml:space="preserve"> должен соответствовать характеристикам, указанным в публик</w:t>
      </w:r>
      <w:r w:rsidRPr="004020EE">
        <w:t>а</w:t>
      </w:r>
      <w:r w:rsidRPr="004020EE">
        <w:t>ции № 60061 МЭК. Применяются спецификации патрона, отн</w:t>
      </w:r>
      <w:r w:rsidRPr="004020EE">
        <w:t>о</w:t>
      </w:r>
      <w:r w:rsidRPr="004020EE">
        <w:t xml:space="preserve">сящиеся к используемой категории </w:t>
      </w:r>
      <w:r w:rsidRPr="003B5E1D">
        <w:rPr>
          <w:strike/>
        </w:rPr>
        <w:t>лампы накаливания</w:t>
      </w:r>
      <w:r w:rsidRPr="004020EE">
        <w:t xml:space="preserve"> </w:t>
      </w:r>
      <w:r w:rsidRPr="004020EE">
        <w:rPr>
          <w:b/>
          <w:bCs/>
        </w:rPr>
        <w:t>источн</w:t>
      </w:r>
      <w:r w:rsidRPr="004020EE">
        <w:rPr>
          <w:b/>
          <w:bCs/>
        </w:rPr>
        <w:t>и</w:t>
      </w:r>
      <w:r w:rsidRPr="004020EE">
        <w:rPr>
          <w:b/>
          <w:bCs/>
        </w:rPr>
        <w:t>ка света с нитью накала</w:t>
      </w:r>
      <w:r w:rsidRPr="004020EE">
        <w:t>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>Пункты 4.17.4.1 и 4.17.4.2</w:t>
      </w:r>
      <w:r>
        <w:rPr>
          <w:i/>
          <w:iCs/>
        </w:rPr>
        <w:t xml:space="preserve">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rPr>
          <w:iCs/>
        </w:rPr>
        <w:t>4</w:t>
      </w:r>
      <w:r w:rsidRPr="004020EE">
        <w:t xml:space="preserve">.17.4.1 </w:t>
      </w:r>
      <w:r w:rsidRPr="004020EE">
        <w:tab/>
        <w:t>Фару оснащают газоразрядным(и) источником(ами) света, офиц</w:t>
      </w:r>
      <w:r w:rsidRPr="004020EE">
        <w:t>и</w:t>
      </w:r>
      <w:r w:rsidRPr="004020EE">
        <w:t xml:space="preserve">ально утвержденным(и) в соответствии с Правилами № 99, </w:t>
      </w:r>
      <w:r w:rsidRPr="004020EE">
        <w:rPr>
          <w:b/>
          <w:bCs/>
        </w:rPr>
        <w:t>и/или источником(ами) света на СИД, официально утвержде</w:t>
      </w:r>
      <w:r w:rsidRPr="004020EE">
        <w:rPr>
          <w:b/>
          <w:bCs/>
        </w:rPr>
        <w:t>н</w:t>
      </w:r>
      <w:r w:rsidRPr="004020EE">
        <w:rPr>
          <w:b/>
          <w:bCs/>
        </w:rPr>
        <w:t>ным(и) на основании Правил № 128</w:t>
      </w:r>
      <w:r w:rsidRPr="004020EE">
        <w:t>, и/или модулем(ями) СИД.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ab/>
      </w:r>
      <w:r>
        <w:tab/>
      </w:r>
      <w:r w:rsidRPr="004020EE">
        <w:t>В случае использования дополнительного(ых) источника(ов) св</w:t>
      </w:r>
      <w:r w:rsidRPr="004020EE">
        <w:t>е</w:t>
      </w:r>
      <w:r w:rsidRPr="004020EE">
        <w:t>та и/или дополнительного(ых) светового(ых) модуля(ей) для обеспечения поворотного освещения должны использоваться только категории ламп накаливания, охва</w:t>
      </w:r>
      <w:r>
        <w:t>тываемые Правил</w:t>
      </w:r>
      <w:r>
        <w:t>а</w:t>
      </w:r>
      <w:r>
        <w:t>ми № </w:t>
      </w:r>
      <w:r w:rsidRPr="004020EE">
        <w:t>37, при условии, что в Правилах № 37 и в сериях поправок к ним, действующих на момент подачи заявки на официальное утверждение типа, не предусмотрено никаких ограничений на и</w:t>
      </w:r>
      <w:r w:rsidRPr="004020EE">
        <w:t>с</w:t>
      </w:r>
      <w:r w:rsidRPr="004020EE">
        <w:t>пользование поворотного освещения;</w:t>
      </w:r>
      <w:r w:rsidRPr="004020EE">
        <w:rPr>
          <w:b/>
          <w:bCs/>
        </w:rPr>
        <w:t xml:space="preserve"> и/или категории источн</w:t>
      </w:r>
      <w:r w:rsidRPr="004020EE">
        <w:rPr>
          <w:b/>
          <w:bCs/>
        </w:rPr>
        <w:t>и</w:t>
      </w:r>
      <w:r w:rsidRPr="004020EE">
        <w:rPr>
          <w:b/>
          <w:bCs/>
        </w:rPr>
        <w:t>ков света на СИД, охватываемые Правилами № 128, при условии, что в Правилах № 128 и в сериях поправок к ним, действующих на момент подачи заявки на официальное утверждение типа, не предусмотрено никаких ограничений на использование поворотного освещения; и/или модуль(и) СИД</w:t>
      </w:r>
      <w:r w:rsidRPr="004020EE">
        <w:t>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rPr>
          <w:iCs/>
        </w:rPr>
        <w:t>4</w:t>
      </w:r>
      <w:r w:rsidRPr="004020EE">
        <w:t>.17.4.2</w:t>
      </w:r>
      <w:r w:rsidRPr="004020EE">
        <w:tab/>
        <w:t xml:space="preserve">В случае сменных </w:t>
      </w:r>
      <w:r w:rsidRPr="003B5E1D">
        <w:rPr>
          <w:strike/>
        </w:rPr>
        <w:t>газоразрядных</w:t>
      </w:r>
      <w:r w:rsidRPr="004020EE">
        <w:t xml:space="preserve"> источников света патрон лампы должен соответствовать размерным характеристикам, указанным в публикации 60061-2</w:t>
      </w:r>
      <w:r>
        <w:t xml:space="preserve"> </w:t>
      </w:r>
      <w:r w:rsidRPr="004020EE">
        <w:t>МЭК в зависимости от используемой кат</w:t>
      </w:r>
      <w:r w:rsidRPr="004020EE">
        <w:t>е</w:t>
      </w:r>
      <w:r w:rsidRPr="004020EE">
        <w:t>гории газоразрядного источника(ов) света. Газоразрядные исто</w:t>
      </w:r>
      <w:r w:rsidRPr="004020EE">
        <w:t>ч</w:t>
      </w:r>
      <w:r w:rsidRPr="004020EE">
        <w:t>ники света должны легко устанавливаться в фаре.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 xml:space="preserve">Пункт </w:t>
      </w:r>
      <w:r w:rsidRPr="004020EE">
        <w:rPr>
          <w:b/>
          <w:i/>
          <w:iCs/>
        </w:rPr>
        <w:t>4</w:t>
      </w:r>
      <w:r w:rsidRPr="004020EE">
        <w:rPr>
          <w:i/>
          <w:iCs/>
        </w:rPr>
        <w:t xml:space="preserve">.17.9 </w:t>
      </w:r>
      <w:r w:rsidRPr="004020EE">
        <w:t>изменить</w:t>
      </w:r>
      <w:r w:rsidRPr="004020EE">
        <w:rPr>
          <w:i/>
          <w:iCs/>
        </w:rPr>
        <w:t xml:space="preserve"> </w:t>
      </w:r>
      <w:r w:rsidRPr="004020EE">
        <w:t>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t>4.17.9</w:t>
      </w:r>
      <w:r w:rsidRPr="004020EE">
        <w:tab/>
        <w:t xml:space="preserve">Что касается классов </w:t>
      </w:r>
      <w:r w:rsidRPr="004020EE">
        <w:rPr>
          <w:lang w:val="en-GB"/>
        </w:rPr>
        <w:t>A</w:t>
      </w:r>
      <w:r w:rsidRPr="004020EE">
        <w:t xml:space="preserve"> и </w:t>
      </w:r>
      <w:r w:rsidRPr="004020EE">
        <w:rPr>
          <w:lang w:val="en-GB"/>
        </w:rPr>
        <w:t>B</w:t>
      </w:r>
      <w:r w:rsidRPr="004020EE">
        <w:t xml:space="preserve">, а также луча ближнего света класса </w:t>
      </w:r>
      <w:r w:rsidRPr="004020EE">
        <w:rPr>
          <w:lang w:val="en-GB"/>
        </w:rPr>
        <w:t>D</w:t>
      </w:r>
      <w:r w:rsidRPr="004020EE">
        <w:t xml:space="preserve"> и АСПО, то в соответствии с определениями, приведенными в пунктах</w:t>
      </w:r>
      <w:r w:rsidRPr="004020EE">
        <w:rPr>
          <w:lang w:val="en-GB"/>
        </w:rPr>
        <w:t> </w:t>
      </w:r>
      <w:r w:rsidRPr="004020EE">
        <w:t>2.7.1.1.3 и 2.7.1.1.7 Правил № 48 ООН, допускается и</w:t>
      </w:r>
      <w:r w:rsidRPr="004020EE">
        <w:t>с</w:t>
      </w:r>
      <w:r w:rsidRPr="004020EE">
        <w:t xml:space="preserve">пользование модуля СИД, в котором могут содержаться патроны, предназначенные для других источников света. Независимо от данного положения не допускается использования </w:t>
      </w:r>
      <w:r w:rsidRPr="004020EE">
        <w:rPr>
          <w:b/>
          <w:bCs/>
        </w:rPr>
        <w:t>источников света на СИД или</w:t>
      </w:r>
      <w:r w:rsidRPr="004020EE">
        <w:t xml:space="preserve"> </w:t>
      </w:r>
      <w:r w:rsidRPr="003B5E1D">
        <w:rPr>
          <w:strike/>
        </w:rPr>
        <w:t>модуля(ей)</w:t>
      </w:r>
      <w:r w:rsidRPr="004020EE">
        <w:rPr>
          <w:b/>
          <w:bCs/>
        </w:rPr>
        <w:t xml:space="preserve"> модулей</w:t>
      </w:r>
      <w:r w:rsidRPr="004020EE">
        <w:t xml:space="preserve"> СИД </w:t>
      </w:r>
      <w:r w:rsidRPr="003B5E1D">
        <w:rPr>
          <w:strike/>
        </w:rPr>
        <w:t>совместно</w:t>
      </w:r>
      <w:r w:rsidRPr="004020EE">
        <w:t xml:space="preserve"> с друг</w:t>
      </w:r>
      <w:r w:rsidRPr="004020EE">
        <w:t>и</w:t>
      </w:r>
      <w:r w:rsidRPr="004020EE">
        <w:t>ми источниками света, обеспечивающими луч ближнего света л</w:t>
      </w:r>
      <w:r w:rsidRPr="004020EE">
        <w:t>и</w:t>
      </w:r>
      <w:r w:rsidRPr="004020EE">
        <w:t>бо каждый из лучей дальнего света, как указано в настоящих Правилах.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>Пункт 5.2.4</w:t>
      </w:r>
      <w:r w:rsidRPr="004020EE">
        <w:t xml:space="preserve"> изменить</w:t>
      </w:r>
      <w:r w:rsidRPr="004020EE">
        <w:rPr>
          <w:i/>
          <w:iCs/>
        </w:rPr>
        <w:t xml:space="preserve"> </w:t>
      </w:r>
      <w:r w:rsidRPr="004020EE">
        <w:t>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t>5.2.4</w:t>
      </w:r>
      <w:r w:rsidRPr="004020EE">
        <w:tab/>
      </w:r>
      <w:r w:rsidRPr="004020EE">
        <w:tab/>
        <w:t>Фары, конструкция которых отвечает требованиям как правост</w:t>
      </w:r>
      <w:r w:rsidRPr="004020EE">
        <w:t>о</w:t>
      </w:r>
      <w:r w:rsidRPr="004020EE">
        <w:t>роннего, так и левостороннего движения, должны соответств</w:t>
      </w:r>
      <w:r w:rsidRPr="004020EE">
        <w:t>о</w:t>
      </w:r>
      <w:r w:rsidRPr="004020EE">
        <w:t>вать при каждой из двух позиций установки оптического элеме</w:t>
      </w:r>
      <w:r w:rsidRPr="004020EE">
        <w:t>н</w:t>
      </w:r>
      <w:r w:rsidRPr="004020EE">
        <w:t xml:space="preserve">та или модуля(ей) СИД, создающего(их) основной луч ближнего света, </w:t>
      </w:r>
      <w:r w:rsidRPr="003B5E1D">
        <w:rPr>
          <w:strike/>
        </w:rPr>
        <w:t>или лампы накаливания</w:t>
      </w:r>
      <w:r w:rsidRPr="004020EE">
        <w:t xml:space="preserve"> источника света с нитью накала </w:t>
      </w:r>
      <w:r w:rsidRPr="004020EE">
        <w:rPr>
          <w:b/>
          <w:bCs/>
        </w:rPr>
        <w:t>или источника(ов) света на СИД</w:t>
      </w:r>
      <w:r w:rsidRPr="004020EE">
        <w:t xml:space="preserve"> требованиям, изложенным выше в отношении соответствующего направления движения.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 xml:space="preserve">Пункт 5.2.5.1.3 </w:t>
      </w:r>
      <w:r w:rsidRPr="004020EE">
        <w:t>изменить</w:t>
      </w:r>
      <w:r w:rsidRPr="004020EE">
        <w:rPr>
          <w:i/>
          <w:iCs/>
        </w:rPr>
        <w:t xml:space="preserve"> </w:t>
      </w:r>
      <w:r w:rsidRPr="004020EE">
        <w:t>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t>5.2.5.1.3</w:t>
      </w:r>
      <w:r w:rsidRPr="004020EE">
        <w:tab/>
        <w:t xml:space="preserve">одного дополнительного источника света с нитью накала </w:t>
      </w:r>
      <w:r w:rsidRPr="004020EE">
        <w:rPr>
          <w:b/>
          <w:bCs/>
        </w:rPr>
        <w:t>либо одного или нескольких источников света на СИД</w:t>
      </w:r>
      <w:r w:rsidRPr="004020EE">
        <w:t xml:space="preserve"> или одного модуля либо нескольких модулей СИД без горизонтального пер</w:t>
      </w:r>
      <w:r w:rsidRPr="004020EE">
        <w:t>е</w:t>
      </w:r>
      <w:r w:rsidRPr="004020EE">
        <w:t>мещения контурной линии светотеневой границы, то измерения проводят при включенном</w:t>
      </w:r>
      <w:r w:rsidRPr="004020EE">
        <w:rPr>
          <w:b/>
          <w:bCs/>
        </w:rPr>
        <w:t>(ых</w:t>
      </w:r>
      <w:r w:rsidRPr="004020EE">
        <w:t>) источнике(</w:t>
      </w:r>
      <w:r w:rsidRPr="004020EE">
        <w:rPr>
          <w:b/>
          <w:bCs/>
        </w:rPr>
        <w:t>ах</w:t>
      </w:r>
      <w:r w:rsidRPr="004020EE">
        <w:t>) света или мод</w:t>
      </w:r>
      <w:r w:rsidRPr="004020EE">
        <w:t>у</w:t>
      </w:r>
      <w:r w:rsidRPr="004020EE">
        <w:t>ле(ях) СИД.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 xml:space="preserve">Пункт 5.2.6 и его подпункты </w:t>
      </w:r>
      <w:r w:rsidRPr="004020EE">
        <w:t>изменить</w:t>
      </w:r>
      <w:r w:rsidRPr="004020EE">
        <w:rPr>
          <w:i/>
          <w:iCs/>
        </w:rPr>
        <w:t xml:space="preserve"> </w:t>
      </w:r>
      <w:r w:rsidRPr="004020EE">
        <w:t>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>
        <w:t>«</w:t>
      </w:r>
      <w:r w:rsidRPr="004020EE">
        <w:t>5.2.6</w:t>
      </w:r>
      <w:r w:rsidRPr="004020EE">
        <w:tab/>
      </w:r>
      <w:r w:rsidRPr="004020EE">
        <w:tab/>
        <w:t xml:space="preserve">Для основного луча ближнего света допускается использование только одного источника света с нитью накала </w:t>
      </w:r>
      <w:r w:rsidRPr="004020EE">
        <w:rPr>
          <w:b/>
          <w:bCs/>
        </w:rPr>
        <w:t>или на СИД</w:t>
      </w:r>
      <w:r w:rsidRPr="004020EE">
        <w:t xml:space="preserve"> либо одного модуля или нескольких модулей СИД. Использование д</w:t>
      </w:r>
      <w:r w:rsidRPr="004020EE">
        <w:t>о</w:t>
      </w:r>
      <w:r w:rsidRPr="004020EE">
        <w:t>полнительных источников света или модулей СИД разрешается только в следующих случаях (см. приложение 10):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t>5.2.6.1</w:t>
      </w:r>
      <w:r w:rsidRPr="004020EE">
        <w:tab/>
        <w:t>один дополнительный источник света в соответствии с Правил</w:t>
      </w:r>
      <w:r w:rsidRPr="004020EE">
        <w:t>а</w:t>
      </w:r>
      <w:r w:rsidRPr="004020EE">
        <w:t xml:space="preserve">ми № 37 </w:t>
      </w:r>
      <w:r w:rsidRPr="004020EE">
        <w:rPr>
          <w:b/>
          <w:bCs/>
        </w:rPr>
        <w:t>или № 128</w:t>
      </w:r>
      <w:r w:rsidRPr="004020EE">
        <w:t xml:space="preserve"> либо один дополнительный модуль или н</w:t>
      </w:r>
      <w:r w:rsidRPr="004020EE">
        <w:t>е</w:t>
      </w:r>
      <w:r w:rsidRPr="004020EE">
        <w:t>сколько дополнительных модулей СИД может (могут) использ</w:t>
      </w:r>
      <w:r w:rsidRPr="004020EE">
        <w:t>о</w:t>
      </w:r>
      <w:r w:rsidRPr="004020EE">
        <w:t>ваться внутри фары ближнего света для поворотного освещения;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t>5.2.6.2</w:t>
      </w:r>
      <w:r w:rsidRPr="004020EE">
        <w:tab/>
        <w:t>один дополнительный источник света в соответствии с Правил</w:t>
      </w:r>
      <w:r w:rsidRPr="004020EE">
        <w:t>а</w:t>
      </w:r>
      <w:r w:rsidRPr="004020EE">
        <w:t xml:space="preserve">ми № 37 </w:t>
      </w:r>
      <w:r w:rsidRPr="004020EE">
        <w:rPr>
          <w:b/>
          <w:bCs/>
        </w:rPr>
        <w:t>либо № 128</w:t>
      </w:r>
      <w:r w:rsidRPr="004020EE">
        <w:t xml:space="preserve"> и/или один модуль либо несколько модулей СИД может (могут) использоваться внутри фары ближнего света для целей обеспечения инфракрасного излучения. Он/они должен (должны) включаться только одновременно с основным источн</w:t>
      </w:r>
      <w:r w:rsidRPr="004020EE">
        <w:t>и</w:t>
      </w:r>
      <w:r w:rsidRPr="004020EE">
        <w:t>ком света либо модулем(ями) СИД. В случае выхода из строя о</w:t>
      </w:r>
      <w:r w:rsidRPr="004020EE">
        <w:t>с</w:t>
      </w:r>
      <w:r w:rsidRPr="004020EE">
        <w:t>новного источника света или основного модуля (одного из осно</w:t>
      </w:r>
      <w:r w:rsidRPr="004020EE">
        <w:t>в</w:t>
      </w:r>
      <w:r w:rsidRPr="004020EE">
        <w:t>ных модулей) СИД этот дополнительный источник света и/или модуль(и) СИД должен (должны) автоматически отключаться;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t>5.2.6.3</w:t>
      </w:r>
      <w:r w:rsidRPr="004020EE">
        <w:tab/>
        <w:t xml:space="preserve">в случае выхода из строя дополнительного источника света </w:t>
      </w:r>
      <w:r w:rsidRPr="003B5E1D">
        <w:rPr>
          <w:strike/>
        </w:rPr>
        <w:t>с н</w:t>
      </w:r>
      <w:r w:rsidRPr="003B5E1D">
        <w:rPr>
          <w:strike/>
        </w:rPr>
        <w:t>и</w:t>
      </w:r>
      <w:r w:rsidRPr="003B5E1D">
        <w:rPr>
          <w:strike/>
        </w:rPr>
        <w:t>тью накала</w:t>
      </w:r>
      <w:r w:rsidRPr="004020EE">
        <w:t xml:space="preserve"> либо одного дополнительного модуля или дополн</w:t>
      </w:r>
      <w:r w:rsidRPr="004020EE">
        <w:t>и</w:t>
      </w:r>
      <w:r w:rsidRPr="004020EE">
        <w:t>тельных модулей СИД фара должна по-прежнему отвечать треб</w:t>
      </w:r>
      <w:r w:rsidRPr="004020EE">
        <w:t>о</w:t>
      </w:r>
      <w:r w:rsidRPr="004020EE">
        <w:t>ваниям, касающимся ближнего света.</w:t>
      </w:r>
      <w:r>
        <w:t>»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</w:pPr>
      <w:r w:rsidRPr="004020EE">
        <w:rPr>
          <w:i/>
          <w:iCs/>
        </w:rPr>
        <w:t xml:space="preserve">Пункт 5.4.4.5 </w:t>
      </w:r>
      <w:r w:rsidRPr="004020EE">
        <w:t>изменить следующим образом:</w:t>
      </w:r>
    </w:p>
    <w:p w:rsidR="004020EE" w:rsidRPr="004020EE" w:rsidRDefault="004020EE" w:rsidP="004020EE">
      <w:pPr>
        <w:pStyle w:val="SingleTxtGR"/>
        <w:tabs>
          <w:tab w:val="clear" w:pos="2268"/>
          <w:tab w:val="left" w:pos="2410"/>
        </w:tabs>
        <w:ind w:left="2410" w:hanging="1276"/>
        <w:rPr>
          <w:i/>
        </w:rPr>
      </w:pPr>
      <w:r>
        <w:t>«</w:t>
      </w:r>
      <w:r w:rsidRPr="004020EE">
        <w:t xml:space="preserve">5.4.4.5 </w:t>
      </w:r>
      <w:r w:rsidRPr="004020EE">
        <w:tab/>
        <w:t xml:space="preserve">Для основного луча ближнего света допускается использование одного или двух источников света с нитью накала </w:t>
      </w:r>
      <w:r w:rsidRPr="004020EE">
        <w:rPr>
          <w:b/>
          <w:bCs/>
        </w:rPr>
        <w:t>или на СИД</w:t>
      </w:r>
      <w:r w:rsidRPr="004020EE">
        <w:t xml:space="preserve"> (классов </w:t>
      </w:r>
      <w:r w:rsidRPr="004020EE">
        <w:rPr>
          <w:lang w:val="en-GB"/>
        </w:rPr>
        <w:t>AS</w:t>
      </w:r>
      <w:r w:rsidRPr="004020EE">
        <w:t xml:space="preserve">, </w:t>
      </w:r>
      <w:r w:rsidRPr="004020EE">
        <w:rPr>
          <w:lang w:val="en-GB"/>
        </w:rPr>
        <w:t>BS</w:t>
      </w:r>
      <w:r w:rsidRPr="004020EE">
        <w:t xml:space="preserve">, </w:t>
      </w:r>
      <w:r w:rsidRPr="004020EE">
        <w:rPr>
          <w:lang w:val="en-GB"/>
        </w:rPr>
        <w:t>CS</w:t>
      </w:r>
      <w:r w:rsidRPr="004020EE">
        <w:t xml:space="preserve">, </w:t>
      </w:r>
      <w:r w:rsidRPr="004020EE">
        <w:rPr>
          <w:lang w:val="en-GB"/>
        </w:rPr>
        <w:t>DS</w:t>
      </w:r>
      <w:r w:rsidRPr="004020EE">
        <w:t xml:space="preserve">), одного газоразрядного источника света (класса </w:t>
      </w:r>
      <w:r w:rsidRPr="004020EE">
        <w:rPr>
          <w:lang w:val="en-GB"/>
        </w:rPr>
        <w:t>ES</w:t>
      </w:r>
      <w:r w:rsidRPr="004020EE">
        <w:t xml:space="preserve">) либо одного или более модулей СИД (классов </w:t>
      </w:r>
      <w:r w:rsidRPr="004020EE">
        <w:rPr>
          <w:lang w:val="en-GB"/>
        </w:rPr>
        <w:t>CS</w:t>
      </w:r>
      <w:r w:rsidRPr="004020EE">
        <w:t xml:space="preserve">, </w:t>
      </w:r>
      <w:r w:rsidRPr="004020EE">
        <w:rPr>
          <w:lang w:val="en-GB"/>
        </w:rPr>
        <w:t>DS</w:t>
      </w:r>
      <w:r w:rsidRPr="004020EE">
        <w:t xml:space="preserve">, </w:t>
      </w:r>
      <w:r w:rsidRPr="004020EE">
        <w:rPr>
          <w:lang w:val="en-GB"/>
        </w:rPr>
        <w:t>ES</w:t>
      </w:r>
      <w:r w:rsidRPr="004020EE">
        <w:t>).</w:t>
      </w:r>
      <w:r>
        <w:t>»</w:t>
      </w:r>
    </w:p>
    <w:p w:rsidR="004020EE" w:rsidRPr="004020EE" w:rsidRDefault="004020EE" w:rsidP="004020EE">
      <w:pPr>
        <w:pStyle w:val="HChGR"/>
        <w:rPr>
          <w:lang w:val="en-US"/>
        </w:rPr>
      </w:pPr>
      <w:r w:rsidRPr="004020EE">
        <w:tab/>
      </w:r>
      <w:r w:rsidRPr="004020EE">
        <w:rPr>
          <w:lang w:val="en-GB"/>
        </w:rPr>
        <w:t>II.</w:t>
      </w:r>
      <w:r w:rsidRPr="004020EE">
        <w:rPr>
          <w:lang w:val="en-GB"/>
        </w:rPr>
        <w:tab/>
      </w:r>
      <w:r w:rsidRPr="004020EE">
        <w:t>Обоснование</w:t>
      </w:r>
    </w:p>
    <w:p w:rsidR="004020EE" w:rsidRDefault="004020EE" w:rsidP="004020EE">
      <w:pPr>
        <w:pStyle w:val="SingleTxtGR"/>
        <w:rPr>
          <w:lang w:val="en-US"/>
        </w:rPr>
      </w:pPr>
      <w:r w:rsidRPr="004020EE">
        <w:rPr>
          <w:lang w:val="en-US"/>
        </w:rPr>
        <w:tab/>
      </w:r>
      <w:r w:rsidRPr="004020EE">
        <w:t>Поскольку Рабочая группа по упрощению правил, касающихся освещ</w:t>
      </w:r>
      <w:r w:rsidRPr="004020EE">
        <w:t>е</w:t>
      </w:r>
      <w:r w:rsidRPr="004020EE">
        <w:t>ния и световой сигнализации (НРГ по УПОСС), продолжает работу над новыми правилами, касающимися УПОСС, подробно указать все изменения, которые потребуются для введения сменных источников света на СИД для переднего освещения, невозможно. Вместе с тем в целом понадобятся лишь простые р</w:t>
      </w:r>
      <w:r w:rsidRPr="004020EE">
        <w:t>е</w:t>
      </w:r>
      <w:r w:rsidRPr="004020EE">
        <w:t xml:space="preserve">дакционные изменения. Подход к изменению текста новых правил, касающихся УПОСС, был представлен на семьдесят седьмой сессии </w:t>
      </w:r>
      <w:r w:rsidRPr="004020EE">
        <w:rPr>
          <w:lang w:val="en-US"/>
        </w:rPr>
        <w:t>GRE</w:t>
      </w:r>
      <w:r w:rsidRPr="004020EE">
        <w:t xml:space="preserve"> (</w:t>
      </w:r>
      <w:r w:rsidRPr="004020EE">
        <w:rPr>
          <w:lang w:val="en-US"/>
        </w:rPr>
        <w:t>GRE</w:t>
      </w:r>
      <w:r w:rsidRPr="004020EE">
        <w:t>-77-14) и был одобрен в ожидании его официального рассмотрения совместно с текстом проекта новых правил, касающихся УПОСС. Достигнутый прогресс в подг</w:t>
      </w:r>
      <w:r w:rsidRPr="004020EE">
        <w:t>о</w:t>
      </w:r>
      <w:r w:rsidRPr="004020EE">
        <w:t>товке текста новых правил, касающихся УПОСС, позволяет в настоящем док</w:t>
      </w:r>
      <w:r w:rsidRPr="004020EE">
        <w:t>у</w:t>
      </w:r>
      <w:r w:rsidRPr="004020EE">
        <w:t>менте указать подробные изменения к соответствующим пунктам основного текста. Для</w:t>
      </w:r>
      <w:r w:rsidRPr="004020EE">
        <w:rPr>
          <w:lang w:val="en-US"/>
        </w:rPr>
        <w:t xml:space="preserve"> </w:t>
      </w:r>
      <w:r w:rsidRPr="004020EE">
        <w:t>определения</w:t>
      </w:r>
      <w:r w:rsidRPr="004020EE">
        <w:rPr>
          <w:lang w:val="en-US"/>
        </w:rPr>
        <w:t xml:space="preserve"> </w:t>
      </w:r>
      <w:r w:rsidRPr="004020EE">
        <w:t>изменений</w:t>
      </w:r>
      <w:r w:rsidRPr="004020EE">
        <w:rPr>
          <w:lang w:val="en-US"/>
        </w:rPr>
        <w:t xml:space="preserve"> </w:t>
      </w:r>
      <w:r w:rsidRPr="004020EE">
        <w:t>к</w:t>
      </w:r>
      <w:r w:rsidRPr="004020EE">
        <w:rPr>
          <w:lang w:val="en-US"/>
        </w:rPr>
        <w:t xml:space="preserve"> </w:t>
      </w:r>
      <w:r w:rsidRPr="004020EE">
        <w:t>приложениям</w:t>
      </w:r>
      <w:r w:rsidRPr="004020EE">
        <w:rPr>
          <w:lang w:val="en-US"/>
        </w:rPr>
        <w:t xml:space="preserve"> </w:t>
      </w:r>
      <w:r w:rsidRPr="004020EE">
        <w:t>потребуется</w:t>
      </w:r>
      <w:r w:rsidRPr="004020EE">
        <w:rPr>
          <w:lang w:val="en-US"/>
        </w:rPr>
        <w:t xml:space="preserve"> </w:t>
      </w:r>
      <w:r w:rsidRPr="004020EE">
        <w:t>дальнейшая</w:t>
      </w:r>
      <w:r w:rsidRPr="004020EE">
        <w:rPr>
          <w:lang w:val="en-US"/>
        </w:rPr>
        <w:t xml:space="preserve"> </w:t>
      </w:r>
      <w:r w:rsidRPr="004020EE">
        <w:t>работа</w:t>
      </w:r>
      <w:r w:rsidRPr="004020EE">
        <w:rPr>
          <w:lang w:val="en-US"/>
        </w:rPr>
        <w:t>.</w:t>
      </w:r>
    </w:p>
    <w:p w:rsidR="00E12C5F" w:rsidRPr="004020EE" w:rsidRDefault="004020EE" w:rsidP="004020E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020EE" w:rsidSect="004020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EE" w:rsidRPr="00A312BC" w:rsidRDefault="004020EE" w:rsidP="00A312BC"/>
  </w:endnote>
  <w:endnote w:type="continuationSeparator" w:id="0">
    <w:p w:rsidR="004020EE" w:rsidRPr="00A312BC" w:rsidRDefault="004020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EE" w:rsidRPr="004020EE" w:rsidRDefault="004020EE">
    <w:pPr>
      <w:pStyle w:val="Footer"/>
    </w:pPr>
    <w:r w:rsidRPr="004020EE">
      <w:rPr>
        <w:b/>
        <w:sz w:val="18"/>
      </w:rPr>
      <w:fldChar w:fldCharType="begin"/>
    </w:r>
    <w:r w:rsidRPr="004020EE">
      <w:rPr>
        <w:b/>
        <w:sz w:val="18"/>
      </w:rPr>
      <w:instrText xml:space="preserve"> PAGE  \* MERGEFORMAT </w:instrText>
    </w:r>
    <w:r w:rsidRPr="004020EE">
      <w:rPr>
        <w:b/>
        <w:sz w:val="18"/>
      </w:rPr>
      <w:fldChar w:fldCharType="separate"/>
    </w:r>
    <w:r w:rsidR="00404AE8">
      <w:rPr>
        <w:b/>
        <w:noProof/>
        <w:sz w:val="18"/>
      </w:rPr>
      <w:t>6</w:t>
    </w:r>
    <w:r w:rsidRPr="004020EE">
      <w:rPr>
        <w:b/>
        <w:sz w:val="18"/>
      </w:rPr>
      <w:fldChar w:fldCharType="end"/>
    </w:r>
    <w:r>
      <w:rPr>
        <w:b/>
        <w:sz w:val="18"/>
      </w:rPr>
      <w:tab/>
    </w:r>
    <w:r>
      <w:t>GE.17-13769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EE" w:rsidRPr="004020EE" w:rsidRDefault="004020EE" w:rsidP="004020E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GE.17-13769</w:t>
    </w:r>
    <w:r>
      <w:tab/>
    </w:r>
    <w:r w:rsidRPr="004020EE">
      <w:rPr>
        <w:b/>
        <w:sz w:val="18"/>
      </w:rPr>
      <w:fldChar w:fldCharType="begin"/>
    </w:r>
    <w:r w:rsidRPr="004020EE">
      <w:rPr>
        <w:b/>
        <w:sz w:val="18"/>
      </w:rPr>
      <w:instrText xml:space="preserve"> PAGE  \* MERGEFORMAT </w:instrText>
    </w:r>
    <w:r w:rsidRPr="004020EE">
      <w:rPr>
        <w:b/>
        <w:sz w:val="18"/>
      </w:rPr>
      <w:fldChar w:fldCharType="separate"/>
    </w:r>
    <w:r w:rsidR="00404AE8">
      <w:rPr>
        <w:b/>
        <w:noProof/>
        <w:sz w:val="18"/>
      </w:rPr>
      <w:t>5</w:t>
    </w:r>
    <w:r w:rsidRPr="004020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EE" w:rsidRPr="004020EE" w:rsidRDefault="004020EE" w:rsidP="004020EE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86AFC10" wp14:editId="0B549E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17-13769  (R)</w:t>
    </w:r>
    <w:r>
      <w:rPr>
        <w:lang w:val="en-US"/>
      </w:rPr>
      <w:t xml:space="preserve">   220817  290817</w:t>
    </w:r>
    <w:r>
      <w:br/>
    </w:r>
    <w:r w:rsidRPr="004020EE">
      <w:rPr>
        <w:rFonts w:ascii="C39T30Lfz" w:hAnsi="C39T30Lfz"/>
        <w:spacing w:val="0"/>
        <w:w w:val="100"/>
        <w:sz w:val="56"/>
      </w:rPr>
      <w:t></w:t>
    </w:r>
    <w:r w:rsidRPr="004020EE">
      <w:rPr>
        <w:rFonts w:ascii="C39T30Lfz" w:hAnsi="C39T30Lfz"/>
        <w:spacing w:val="0"/>
        <w:w w:val="100"/>
        <w:sz w:val="56"/>
      </w:rPr>
      <w:t></w:t>
    </w:r>
    <w:r w:rsidRPr="004020EE">
      <w:rPr>
        <w:rFonts w:ascii="C39T30Lfz" w:hAnsi="C39T30Lfz"/>
        <w:spacing w:val="0"/>
        <w:w w:val="100"/>
        <w:sz w:val="56"/>
      </w:rPr>
      <w:t></w:t>
    </w:r>
    <w:r w:rsidRPr="004020EE">
      <w:rPr>
        <w:rFonts w:ascii="C39T30Lfz" w:hAnsi="C39T30Lfz"/>
        <w:spacing w:val="0"/>
        <w:w w:val="100"/>
        <w:sz w:val="56"/>
      </w:rPr>
      <w:t></w:t>
    </w:r>
    <w:r w:rsidRPr="004020EE">
      <w:rPr>
        <w:rFonts w:ascii="C39T30Lfz" w:hAnsi="C39T30Lfz"/>
        <w:spacing w:val="0"/>
        <w:w w:val="100"/>
        <w:sz w:val="56"/>
      </w:rPr>
      <w:t></w:t>
    </w:r>
    <w:r w:rsidRPr="004020EE">
      <w:rPr>
        <w:rFonts w:ascii="C39T30Lfz" w:hAnsi="C39T30Lfz"/>
        <w:spacing w:val="0"/>
        <w:w w:val="100"/>
        <w:sz w:val="56"/>
      </w:rPr>
      <w:t></w:t>
    </w:r>
    <w:r w:rsidRPr="004020EE">
      <w:rPr>
        <w:rFonts w:ascii="C39T30Lfz" w:hAnsi="C39T30Lfz"/>
        <w:spacing w:val="0"/>
        <w:w w:val="100"/>
        <w:sz w:val="56"/>
      </w:rPr>
      <w:t></w:t>
    </w:r>
    <w:r w:rsidRPr="004020EE">
      <w:rPr>
        <w:rFonts w:ascii="C39T30Lfz" w:hAnsi="C39T30Lfz"/>
        <w:spacing w:val="0"/>
        <w:w w:val="100"/>
        <w:sz w:val="56"/>
      </w:rPr>
      <w:t></w:t>
    </w:r>
    <w:r w:rsidRPr="004020E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EE" w:rsidRPr="001075E9" w:rsidRDefault="004020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20EE" w:rsidRDefault="004020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020EE" w:rsidRPr="00336C7F" w:rsidRDefault="004020EE" w:rsidP="004020EE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5F263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336C7F">
        <w:rPr>
          <w:lang w:val="ru-RU"/>
        </w:rPr>
        <w:t xml:space="preserve"> </w:t>
      </w:r>
      <w:r>
        <w:rPr>
          <w:lang w:val="ru-RU"/>
        </w:rPr>
        <w:t>документ</w:t>
      </w:r>
      <w:r w:rsidRPr="00336C7F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36C7F">
        <w:rPr>
          <w:lang w:val="ru-RU"/>
        </w:rPr>
        <w:t xml:space="preserve"> </w:t>
      </w:r>
      <w:r>
        <w:rPr>
          <w:lang w:val="ru-RU"/>
        </w:rPr>
        <w:t>в</w:t>
      </w:r>
      <w:r w:rsidRPr="00336C7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36C7F">
        <w:rPr>
          <w:lang w:val="ru-RU"/>
        </w:rPr>
        <w:t xml:space="preserve"> </w:t>
      </w:r>
      <w:r>
        <w:rPr>
          <w:lang w:val="ru-RU"/>
        </w:rPr>
        <w:t>с</w:t>
      </w:r>
      <w:r w:rsidRPr="00336C7F">
        <w:rPr>
          <w:lang w:val="ru-RU"/>
        </w:rPr>
        <w:t xml:space="preserve"> </w:t>
      </w:r>
      <w:r>
        <w:rPr>
          <w:lang w:val="ru-RU"/>
        </w:rPr>
        <w:t>этим</w:t>
      </w:r>
      <w:r w:rsidRPr="00336C7F">
        <w:rPr>
          <w:lang w:val="ru-RU"/>
        </w:rPr>
        <w:t xml:space="preserve"> </w:t>
      </w:r>
      <w:r>
        <w:rPr>
          <w:lang w:val="ru-RU"/>
        </w:rPr>
        <w:t>мандатом</w:t>
      </w:r>
      <w:r w:rsidRPr="00336C7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EE" w:rsidRPr="004020EE" w:rsidRDefault="00404AE8">
    <w:pPr>
      <w:pStyle w:val="Header"/>
    </w:pPr>
    <w:r>
      <w:fldChar w:fldCharType="begin"/>
    </w:r>
    <w:r>
      <w:instrText xml:space="preserve"> TITLE  \</w:instrText>
    </w:r>
    <w:r>
      <w:instrText xml:space="preserve">* MERGEFORMAT </w:instrText>
    </w:r>
    <w:r>
      <w:fldChar w:fldCharType="separate"/>
    </w:r>
    <w:r w:rsidR="000D0AEA">
      <w:t>ECE/TRANS/WP.29/GRE/2017/15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EE" w:rsidRPr="004020EE" w:rsidRDefault="00404AE8" w:rsidP="004020E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D0AEA">
      <w:t>ECE/TRANS/WP.29/GRE/2017/15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F1"/>
    <w:rsid w:val="00033EE1"/>
    <w:rsid w:val="00042B72"/>
    <w:rsid w:val="000558BD"/>
    <w:rsid w:val="000B57E7"/>
    <w:rsid w:val="000B6373"/>
    <w:rsid w:val="000D0AE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E1D"/>
    <w:rsid w:val="004020EE"/>
    <w:rsid w:val="00403649"/>
    <w:rsid w:val="00404AE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4845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447F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0C6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1815</Words>
  <Characters>10352</Characters>
  <Application>Microsoft Office Word</Application>
  <DocSecurity>4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ECE/TRANS/WP.29/GRE/2017/15</vt:lpstr>
      <vt:lpstr>ECE/TRANS/WP.29/GRE/2017/15</vt:lpstr>
      <vt:lpstr>A/</vt:lpstr>
    </vt:vector>
  </TitlesOfParts>
  <Company>DCM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ECE/TRANS/WP.29/GRE/2017/15</dc:title>
  <dc:creator>Anna Blagodatskikh</dc:creator>
  <cp:lastModifiedBy>Benedicte Boudol</cp:lastModifiedBy>
  <cp:revision>2</cp:revision>
  <cp:lastPrinted>2017-08-29T14:40:00Z</cp:lastPrinted>
  <dcterms:created xsi:type="dcterms:W3CDTF">2017-09-04T15:19:00Z</dcterms:created>
  <dcterms:modified xsi:type="dcterms:W3CDTF">2017-09-04T15:19:00Z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