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F17C81">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F17C81" w:rsidP="00F17C81">
            <w:pPr>
              <w:jc w:val="right"/>
            </w:pPr>
            <w:r w:rsidRPr="00F17C81">
              <w:rPr>
                <w:sz w:val="40"/>
              </w:rPr>
              <w:t>ECE</w:t>
            </w:r>
            <w:r>
              <w:t>/TRANS/WP.29/GRE/2017/26</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val="en-GB" w:eastAsia="en-GB"/>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F17C81" w:rsidP="00C97039">
            <w:pPr>
              <w:spacing w:before="240"/>
            </w:pPr>
            <w:r>
              <w:t>Distr. générale</w:t>
            </w:r>
          </w:p>
          <w:p w:rsidR="00F17C81" w:rsidRDefault="00F17C81" w:rsidP="00F17C81">
            <w:pPr>
              <w:spacing w:line="240" w:lineRule="exact"/>
            </w:pPr>
            <w:r>
              <w:t>9 août 2017</w:t>
            </w:r>
          </w:p>
          <w:p w:rsidR="00F17C81" w:rsidRDefault="00F17C81" w:rsidP="00F17C81">
            <w:pPr>
              <w:spacing w:line="240" w:lineRule="exact"/>
            </w:pPr>
            <w:r>
              <w:t>Français</w:t>
            </w:r>
          </w:p>
          <w:p w:rsidR="00F17C81" w:rsidRPr="00DB58B5" w:rsidRDefault="00F17C81" w:rsidP="00F17C81">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824083" w:rsidRDefault="00824083" w:rsidP="00AF0CB5">
      <w:pPr>
        <w:spacing w:before="120"/>
        <w:rPr>
          <w:b/>
          <w:sz w:val="24"/>
          <w:szCs w:val="24"/>
        </w:rPr>
      </w:pPr>
      <w:r w:rsidRPr="00685843">
        <w:rPr>
          <w:b/>
          <w:sz w:val="24"/>
          <w:szCs w:val="24"/>
        </w:rPr>
        <w:t>Forum mondial de l’harmonisation</w:t>
      </w:r>
      <w:r>
        <w:rPr>
          <w:b/>
          <w:sz w:val="24"/>
          <w:szCs w:val="24"/>
        </w:rPr>
        <w:t xml:space="preserve"> </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rsidR="00824083" w:rsidRDefault="00824083" w:rsidP="00257168">
      <w:pPr>
        <w:spacing w:before="120" w:after="120" w:line="240" w:lineRule="exact"/>
        <w:rPr>
          <w:b/>
        </w:rPr>
      </w:pPr>
      <w:r>
        <w:rPr>
          <w:b/>
        </w:rPr>
        <w:t>Groupe de travail de l’éclairage et de la signalisation lumineuse</w:t>
      </w:r>
    </w:p>
    <w:p w:rsidR="00824083" w:rsidRDefault="00824083" w:rsidP="00257168">
      <w:pPr>
        <w:spacing w:before="120" w:line="240" w:lineRule="exact"/>
        <w:rPr>
          <w:b/>
        </w:rPr>
      </w:pPr>
      <w:r>
        <w:rPr>
          <w:b/>
        </w:rPr>
        <w:t>Soixante-dix-huitième session</w:t>
      </w:r>
    </w:p>
    <w:p w:rsidR="00824083" w:rsidRDefault="00824083" w:rsidP="00257168">
      <w:pPr>
        <w:spacing w:line="240" w:lineRule="exact"/>
      </w:pPr>
      <w:r>
        <w:t>Genève, 24-27 octobre 2017</w:t>
      </w:r>
    </w:p>
    <w:p w:rsidR="00824083" w:rsidRDefault="00824083" w:rsidP="00257168">
      <w:pPr>
        <w:spacing w:line="240" w:lineRule="exact"/>
      </w:pPr>
      <w:r>
        <w:t>Point 7 b) de l’ordre du jour</w:t>
      </w:r>
      <w:r w:rsidR="00147774">
        <w:t xml:space="preserve"> provisoire</w:t>
      </w:r>
    </w:p>
    <w:p w:rsidR="00147774" w:rsidRPr="00DF418A" w:rsidRDefault="00147774" w:rsidP="00147774">
      <w:pPr>
        <w:rPr>
          <w:b/>
        </w:rPr>
      </w:pPr>
      <w:r>
        <w:rPr>
          <w:b/>
        </w:rPr>
        <w:t xml:space="preserve">Autres Règlements − Règlement </w:t>
      </w:r>
      <w:r w:rsidRPr="00147774">
        <w:rPr>
          <w:rFonts w:eastAsia="MS Mincho"/>
          <w:b/>
          <w:szCs w:val="22"/>
        </w:rPr>
        <w:t>n</w:t>
      </w:r>
      <w:r w:rsidRPr="00147774">
        <w:rPr>
          <w:rFonts w:eastAsia="MS Mincho"/>
          <w:b/>
          <w:szCs w:val="22"/>
          <w:vertAlign w:val="superscript"/>
        </w:rPr>
        <w:t>o</w:t>
      </w:r>
      <w:r>
        <w:rPr>
          <w:b/>
        </w:rPr>
        <w:t xml:space="preserve"> 53 (Installation des dispositifs d’éclairage </w:t>
      </w:r>
      <w:r>
        <w:rPr>
          <w:b/>
        </w:rPr>
        <w:br/>
        <w:t>et de signalisation lumineuse sur les véhicules de la catégorie L</w:t>
      </w:r>
      <w:r w:rsidRPr="00B31AB4">
        <w:rPr>
          <w:b/>
          <w:vertAlign w:val="subscript"/>
        </w:rPr>
        <w:t>3</w:t>
      </w:r>
      <w:r>
        <w:rPr>
          <w:b/>
        </w:rPr>
        <w:t>)</w:t>
      </w:r>
    </w:p>
    <w:p w:rsidR="00147774" w:rsidRPr="00EE3238" w:rsidRDefault="00147774" w:rsidP="00EE3238">
      <w:pPr>
        <w:pStyle w:val="HChG"/>
      </w:pPr>
      <w:r w:rsidRPr="00006A0C">
        <w:rPr>
          <w:spacing w:val="-1"/>
        </w:rPr>
        <w:tab/>
      </w:r>
      <w:r w:rsidRPr="00006A0C">
        <w:rPr>
          <w:spacing w:val="-1"/>
        </w:rPr>
        <w:tab/>
      </w:r>
      <w:r w:rsidRPr="00EE3238">
        <w:t>Proposition de complément 20 à la série 01 d’amendements au</w:t>
      </w:r>
      <w:r w:rsidR="00C47163" w:rsidRPr="00EE3238">
        <w:t> </w:t>
      </w:r>
      <w:r w:rsidRPr="00EE3238">
        <w:t xml:space="preserve">Règlement </w:t>
      </w:r>
      <w:r w:rsidR="00006A0C" w:rsidRPr="00EE3238">
        <w:t>n</w:t>
      </w:r>
      <w:r w:rsidR="00006A0C" w:rsidRPr="00EE3238">
        <w:rPr>
          <w:vertAlign w:val="superscript"/>
        </w:rPr>
        <w:t>o</w:t>
      </w:r>
      <w:r w:rsidR="00006A0C" w:rsidRPr="00EE3238">
        <w:t> </w:t>
      </w:r>
      <w:r w:rsidRPr="00EE3238">
        <w:t>53</w:t>
      </w:r>
      <w:r w:rsidR="00C47163" w:rsidRPr="00EE3238">
        <w:t xml:space="preserve"> et de complément 2 à la série d’amendements 02 au Règlement n</w:t>
      </w:r>
      <w:r w:rsidR="00C47163" w:rsidRPr="00EE3238">
        <w:rPr>
          <w:vertAlign w:val="superscript"/>
        </w:rPr>
        <w:t>o</w:t>
      </w:r>
      <w:r w:rsidR="00C47163" w:rsidRPr="00EE3238">
        <w:t> 53</w:t>
      </w:r>
      <w:r w:rsidRPr="00EE3238">
        <w:t xml:space="preserve"> </w:t>
      </w:r>
      <w:r w:rsidR="00EE3238">
        <w:t xml:space="preserve">(Installation </w:t>
      </w:r>
      <w:r w:rsidR="00EE3238">
        <w:br/>
        <w:t xml:space="preserve">des </w:t>
      </w:r>
      <w:r w:rsidRPr="00EE3238">
        <w:t>dispositifs d’éclairage et</w:t>
      </w:r>
      <w:r w:rsidR="00006A0C" w:rsidRPr="00EE3238">
        <w:t xml:space="preserve"> </w:t>
      </w:r>
      <w:r w:rsidRPr="00EE3238">
        <w:t xml:space="preserve">de signalisation lumineuse </w:t>
      </w:r>
      <w:r w:rsidR="00EE3238">
        <w:br/>
      </w:r>
      <w:r w:rsidRPr="00EE3238">
        <w:t>sur les véhicules de la catégorie L</w:t>
      </w:r>
      <w:r w:rsidRPr="00EE3238">
        <w:rPr>
          <w:vertAlign w:val="subscript"/>
        </w:rPr>
        <w:t>3</w:t>
      </w:r>
      <w:r w:rsidRPr="00EE3238">
        <w:t>)</w:t>
      </w:r>
    </w:p>
    <w:p w:rsidR="00147774" w:rsidRPr="00147774" w:rsidRDefault="00147774" w:rsidP="00147774">
      <w:pPr>
        <w:pStyle w:val="H1G"/>
        <w:rPr>
          <w:b w:val="0"/>
        </w:rPr>
      </w:pPr>
      <w:r>
        <w:tab/>
      </w:r>
      <w:r>
        <w:tab/>
        <w:t>Communication de l’expert de l’</w:t>
      </w:r>
      <w:r w:rsidR="00006A0C">
        <w:t>Association internationale des </w:t>
      </w:r>
      <w:r>
        <w:t>constructeurs de motocycles (IMMA)</w:t>
      </w:r>
      <w:r w:rsidRPr="00147774">
        <w:rPr>
          <w:rStyle w:val="FootnoteReference"/>
          <w:b w:val="0"/>
          <w:sz w:val="20"/>
          <w:vertAlign w:val="baseline"/>
        </w:rPr>
        <w:footnoteReference w:customMarkFollows="1" w:id="2"/>
        <w:t>*</w:t>
      </w:r>
    </w:p>
    <w:p w:rsidR="00F9573C" w:rsidRDefault="00147774" w:rsidP="00147774">
      <w:pPr>
        <w:pStyle w:val="SingleTxtG"/>
        <w:ind w:firstLine="567"/>
      </w:pPr>
      <w:r>
        <w:t xml:space="preserve">Le texte reproduit ci-après a été établi par l’expert de l’IMMA afin d’aligner le texte du Règlement </w:t>
      </w:r>
      <w:r w:rsidRPr="002D76F4">
        <w:rPr>
          <w:rFonts w:eastAsia="MS Mincho"/>
          <w:szCs w:val="22"/>
        </w:rPr>
        <w:t>n</w:t>
      </w:r>
      <w:r w:rsidRPr="002D76F4">
        <w:rPr>
          <w:rFonts w:eastAsia="MS Mincho"/>
          <w:szCs w:val="22"/>
          <w:vertAlign w:val="superscript"/>
        </w:rPr>
        <w:t>o</w:t>
      </w:r>
      <w:r>
        <w:t xml:space="preserve"> 53 sur celui du Règlement </w:t>
      </w:r>
      <w:r w:rsidRPr="002D76F4">
        <w:rPr>
          <w:rFonts w:eastAsia="MS Mincho"/>
          <w:szCs w:val="22"/>
        </w:rPr>
        <w:t>n</w:t>
      </w:r>
      <w:r w:rsidRPr="002D76F4">
        <w:rPr>
          <w:rFonts w:eastAsia="MS Mincho"/>
          <w:szCs w:val="22"/>
          <w:vertAlign w:val="superscript"/>
        </w:rPr>
        <w:t>o</w:t>
      </w:r>
      <w:r>
        <w:t> 48 et de corriger une erreur introduite au titre d’une série d’amendements antérieure. Les modifications qu’il est proposé d’apporter au texte actuel du Règlement sont signalées en caractères gras pour les ajouts ou biffés pour les suppressions.</w:t>
      </w:r>
    </w:p>
    <w:p w:rsidR="008432B8" w:rsidRPr="00204121" w:rsidRDefault="00147774" w:rsidP="00D24823">
      <w:pPr>
        <w:pStyle w:val="HChG"/>
      </w:pPr>
      <w:r>
        <w:br w:type="page"/>
      </w:r>
      <w:r w:rsidR="00D24823">
        <w:lastRenderedPageBreak/>
        <w:tab/>
      </w:r>
      <w:r w:rsidR="008432B8">
        <w:t>I.</w:t>
      </w:r>
      <w:r w:rsidR="008432B8">
        <w:tab/>
        <w:t>Proposition</w:t>
      </w:r>
    </w:p>
    <w:p w:rsidR="008432B8" w:rsidRPr="004B621E" w:rsidRDefault="008432B8" w:rsidP="008432B8">
      <w:pPr>
        <w:pStyle w:val="SingleTxtG"/>
        <w:rPr>
          <w:kern w:val="24"/>
        </w:rPr>
      </w:pPr>
      <w:r>
        <w:rPr>
          <w:i/>
          <w:color w:val="000000" w:themeColor="text1"/>
        </w:rPr>
        <w:t>Paragraphe 6.3.7</w:t>
      </w:r>
      <w:r>
        <w:rPr>
          <w:color w:val="000000" w:themeColor="text1"/>
        </w:rPr>
        <w:t xml:space="preserve">, </w:t>
      </w:r>
      <w:proofErr w:type="gramStart"/>
      <w:r>
        <w:rPr>
          <w:color w:val="000000" w:themeColor="text1"/>
        </w:rPr>
        <w:t>supprimer</w:t>
      </w:r>
      <w:proofErr w:type="gramEnd"/>
      <w:r w:rsidR="002402BF">
        <w:rPr>
          <w:color w:val="000000" w:themeColor="text1"/>
        </w:rPr>
        <w:t> :</w:t>
      </w:r>
    </w:p>
    <w:p w:rsidR="008432B8" w:rsidRPr="00C437C0" w:rsidRDefault="00D24823" w:rsidP="00BB0A8D">
      <w:pPr>
        <w:pStyle w:val="SingleTxtG"/>
        <w:ind w:left="2268" w:hanging="1134"/>
      </w:pPr>
      <w:r>
        <w:t>« </w:t>
      </w:r>
      <w:r w:rsidR="008432B8">
        <w:rPr>
          <w:strike/>
        </w:rPr>
        <w:t>6.3.7</w:t>
      </w:r>
      <w:r w:rsidR="008432B8">
        <w:tab/>
      </w:r>
      <w:r w:rsidR="008432B8">
        <w:rPr>
          <w:strike/>
        </w:rPr>
        <w:tab/>
        <w:t xml:space="preserve">Ne peut être </w:t>
      </w:r>
      <w:r w:rsidR="006160B4">
        <w:rPr>
          <w:strike/>
        </w:rPr>
        <w:t>“</w:t>
      </w:r>
      <w:r w:rsidR="008432B8">
        <w:rPr>
          <w:strike/>
        </w:rPr>
        <w:t>mutuellement incorporé</w:t>
      </w:r>
      <w:r w:rsidR="006160B4">
        <w:rPr>
          <w:strike/>
        </w:rPr>
        <w:t>”</w:t>
      </w:r>
      <w:r w:rsidR="008432B8">
        <w:rPr>
          <w:strike/>
        </w:rPr>
        <w:t xml:space="preserve"> avec un autre feu, sauf un feu de position avant orange.</w:t>
      </w:r>
      <w:r>
        <w:t> »</w:t>
      </w:r>
      <w:r w:rsidR="008432B8">
        <w:t>.</w:t>
      </w:r>
    </w:p>
    <w:p w:rsidR="008432B8" w:rsidRPr="005A467E" w:rsidRDefault="008432B8" w:rsidP="008432B8">
      <w:pPr>
        <w:pStyle w:val="SingleTxtG"/>
        <w:rPr>
          <w:i/>
        </w:rPr>
      </w:pPr>
      <w:r>
        <w:rPr>
          <w:i/>
          <w:color w:val="000000" w:themeColor="text1"/>
        </w:rPr>
        <w:t xml:space="preserve">Les paragraphes 6.3.8 à 6.3.9.4 </w:t>
      </w:r>
      <w:r>
        <w:rPr>
          <w:color w:val="000000" w:themeColor="text1"/>
        </w:rPr>
        <w:t>deviennent les paragraphes 6.3.7 à 6.3.8.4.</w:t>
      </w:r>
    </w:p>
    <w:p w:rsidR="008432B8" w:rsidRPr="00DF418A" w:rsidRDefault="00D24823" w:rsidP="00D24823">
      <w:pPr>
        <w:pStyle w:val="HChG"/>
      </w:pPr>
      <w:r>
        <w:tab/>
      </w:r>
      <w:r w:rsidR="008432B8">
        <w:t>II.</w:t>
      </w:r>
      <w:r w:rsidR="008432B8">
        <w:tab/>
        <w:t>Justification</w:t>
      </w:r>
    </w:p>
    <w:p w:rsidR="008432B8" w:rsidRPr="006125BB" w:rsidRDefault="008432B8" w:rsidP="008432B8">
      <w:pPr>
        <w:pStyle w:val="SingleTxtG"/>
      </w:pPr>
      <w:r>
        <w:t>1.</w:t>
      </w:r>
      <w:r>
        <w:tab/>
        <w:t xml:space="preserve">La présente proposition vise à aligner le texte du Règlement </w:t>
      </w:r>
      <w:r w:rsidR="00D24823" w:rsidRPr="002D76F4">
        <w:rPr>
          <w:rFonts w:eastAsia="MS Mincho"/>
          <w:szCs w:val="22"/>
        </w:rPr>
        <w:t>n</w:t>
      </w:r>
      <w:r w:rsidR="00D24823" w:rsidRPr="002D76F4">
        <w:rPr>
          <w:rFonts w:eastAsia="MS Mincho"/>
          <w:szCs w:val="22"/>
          <w:vertAlign w:val="superscript"/>
        </w:rPr>
        <w:t>o</w:t>
      </w:r>
      <w:r w:rsidR="00D24823">
        <w:t> </w:t>
      </w:r>
      <w:r w:rsidR="00E7061B">
        <w:t>53 sur celui du </w:t>
      </w:r>
      <w:r>
        <w:t>Règlement</w:t>
      </w:r>
      <w:r w:rsidR="00D24823">
        <w:t xml:space="preserve"> </w:t>
      </w:r>
      <w:r w:rsidR="00D24823" w:rsidRPr="002D76F4">
        <w:rPr>
          <w:rFonts w:eastAsia="MS Mincho"/>
          <w:szCs w:val="22"/>
        </w:rPr>
        <w:t>n</w:t>
      </w:r>
      <w:r w:rsidR="00D24823" w:rsidRPr="002D76F4">
        <w:rPr>
          <w:rFonts w:eastAsia="MS Mincho"/>
          <w:szCs w:val="22"/>
          <w:vertAlign w:val="superscript"/>
        </w:rPr>
        <w:t>o</w:t>
      </w:r>
      <w:r w:rsidR="00D24823">
        <w:t> </w:t>
      </w:r>
      <w:r>
        <w:t>48 et à corriger une erreur introduite au titre d’une série d’amendements antérieure.</w:t>
      </w:r>
    </w:p>
    <w:p w:rsidR="008432B8" w:rsidRPr="006125BB" w:rsidRDefault="008432B8" w:rsidP="008432B8">
      <w:pPr>
        <w:pStyle w:val="SingleTxtG"/>
      </w:pPr>
      <w:r>
        <w:t>2.</w:t>
      </w:r>
      <w:r>
        <w:tab/>
        <w:t>Une proposition analogue (ECE/TRANS/GRE/2010/22) visant à supprimer le paragraphe 6.3.7, entre autres paragraphes, a été adoptée à l</w:t>
      </w:r>
      <w:r w:rsidR="00D24823">
        <w:t>a soixante-troisième session du </w:t>
      </w:r>
      <w:r>
        <w:t>Groupe de travail de l’éclairage et de la signalisation lumineuse (GRE) ; elle est entrée en vigueur en tant que complément 12 à la série 01 d’amendements au Règlement.</w:t>
      </w:r>
    </w:p>
    <w:p w:rsidR="00147774" w:rsidRDefault="008432B8" w:rsidP="008432B8">
      <w:pPr>
        <w:pStyle w:val="SingleTxtG"/>
      </w:pPr>
      <w:r>
        <w:t>3.</w:t>
      </w:r>
      <w:r>
        <w:tab/>
        <w:t>Parallèlement à ce processus, une autre proposition (ECE/TRANS/GRE/2009/67), dans laquelle il était question de modifier le paragraphe 6.3.7 de sorte à autoriser l’utilisation de feux de position avant de couleur jaune-auto, était également en cours d’examen. Elle a été adoptée à la soixante-quatrième session du GRE et est entrée en vigueur en tant que complément 13. En conséquence, bien que le paragraphe 6.3.7 ait déjà été supprimé au titre du complément 12, il a été réintroduit par inadvertance au titre du complément 13.</w:t>
      </w:r>
    </w:p>
    <w:p w:rsidR="008432B8" w:rsidRPr="008432B8" w:rsidRDefault="008432B8" w:rsidP="008432B8">
      <w:pPr>
        <w:pStyle w:val="SingleTxtG"/>
        <w:spacing w:before="240" w:after="0"/>
        <w:jc w:val="center"/>
        <w:rPr>
          <w:u w:val="single"/>
        </w:rPr>
      </w:pPr>
      <w:r>
        <w:rPr>
          <w:u w:val="single"/>
        </w:rPr>
        <w:tab/>
      </w:r>
      <w:r>
        <w:rPr>
          <w:u w:val="single"/>
        </w:rPr>
        <w:tab/>
      </w:r>
      <w:r>
        <w:rPr>
          <w:u w:val="single"/>
        </w:rPr>
        <w:tab/>
      </w:r>
    </w:p>
    <w:sectPr w:rsidR="008432B8" w:rsidRPr="008432B8" w:rsidSect="00F17C81">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A84" w:rsidRDefault="00990A84" w:rsidP="00F95C08">
      <w:pPr>
        <w:spacing w:line="240" w:lineRule="auto"/>
      </w:pPr>
    </w:p>
  </w:endnote>
  <w:endnote w:type="continuationSeparator" w:id="0">
    <w:p w:rsidR="00990A84" w:rsidRPr="00AC3823" w:rsidRDefault="00990A84" w:rsidP="00AC3823">
      <w:pPr>
        <w:pStyle w:val="Footer"/>
      </w:pPr>
    </w:p>
  </w:endnote>
  <w:endnote w:type="continuationNotice" w:id="1">
    <w:p w:rsidR="00990A84" w:rsidRDefault="00990A8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C81" w:rsidRPr="00F17C81" w:rsidRDefault="00F17C81" w:rsidP="00F17C81">
    <w:pPr>
      <w:pStyle w:val="Footer"/>
      <w:tabs>
        <w:tab w:val="right" w:pos="9638"/>
      </w:tabs>
    </w:pPr>
    <w:r w:rsidRPr="00F17C81">
      <w:rPr>
        <w:b/>
        <w:sz w:val="18"/>
      </w:rPr>
      <w:fldChar w:fldCharType="begin"/>
    </w:r>
    <w:r w:rsidRPr="00F17C81">
      <w:rPr>
        <w:b/>
        <w:sz w:val="18"/>
      </w:rPr>
      <w:instrText xml:space="preserve"> PAGE  \* MERGEFORMAT </w:instrText>
    </w:r>
    <w:r w:rsidRPr="00F17C81">
      <w:rPr>
        <w:b/>
        <w:sz w:val="18"/>
      </w:rPr>
      <w:fldChar w:fldCharType="separate"/>
    </w:r>
    <w:r w:rsidR="00FC0146">
      <w:rPr>
        <w:b/>
        <w:noProof/>
        <w:sz w:val="18"/>
      </w:rPr>
      <w:t>2</w:t>
    </w:r>
    <w:r w:rsidRPr="00F17C81">
      <w:rPr>
        <w:b/>
        <w:sz w:val="18"/>
      </w:rPr>
      <w:fldChar w:fldCharType="end"/>
    </w:r>
    <w:r>
      <w:rPr>
        <w:b/>
        <w:sz w:val="18"/>
      </w:rPr>
      <w:tab/>
    </w:r>
    <w:r>
      <w:t>GE.17-13605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C81" w:rsidRPr="00F17C81" w:rsidRDefault="00F17C81" w:rsidP="00F17C81">
    <w:pPr>
      <w:pStyle w:val="Footer"/>
      <w:tabs>
        <w:tab w:val="right" w:pos="9638"/>
      </w:tabs>
      <w:rPr>
        <w:b/>
        <w:sz w:val="18"/>
      </w:rPr>
    </w:pPr>
    <w:r>
      <w:t>GE.17-13605</w:t>
    </w:r>
    <w:r>
      <w:tab/>
    </w:r>
    <w:r w:rsidRPr="00F17C81">
      <w:rPr>
        <w:b/>
        <w:sz w:val="18"/>
      </w:rPr>
      <w:fldChar w:fldCharType="begin"/>
    </w:r>
    <w:r w:rsidRPr="00F17C81">
      <w:rPr>
        <w:b/>
        <w:sz w:val="18"/>
      </w:rPr>
      <w:instrText xml:space="preserve"> PAGE  \* MERGEFORMAT </w:instrText>
    </w:r>
    <w:r w:rsidRPr="00F17C81">
      <w:rPr>
        <w:b/>
        <w:sz w:val="18"/>
      </w:rPr>
      <w:fldChar w:fldCharType="separate"/>
    </w:r>
    <w:r w:rsidR="0022454E">
      <w:rPr>
        <w:b/>
        <w:noProof/>
        <w:sz w:val="18"/>
      </w:rPr>
      <w:t>2</w:t>
    </w:r>
    <w:r w:rsidRPr="00F17C81">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0FA" w:rsidRPr="00F17C81" w:rsidRDefault="00F17C81" w:rsidP="00F17C81">
    <w:pPr>
      <w:pStyle w:val="Footer"/>
      <w:spacing w:before="120"/>
      <w:rPr>
        <w:sz w:val="20"/>
      </w:rPr>
    </w:pPr>
    <w:r>
      <w:rPr>
        <w:sz w:val="20"/>
      </w:rPr>
      <w:t>GE.</w:t>
    </w:r>
    <w:r w:rsidR="007F20FA">
      <w:rPr>
        <w:noProof/>
        <w:lang w:val="en-GB" w:eastAsia="en-GB"/>
      </w:rPr>
      <w:drawing>
        <wp:anchor distT="0" distB="0" distL="114300" distR="114300" simplePos="0" relativeHeight="251660288"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17-13605  (F)    070917    080917</w:t>
    </w:r>
    <w:r>
      <w:rPr>
        <w:sz w:val="20"/>
      </w:rPr>
      <w:br/>
    </w:r>
    <w:r w:rsidRPr="00F17C81">
      <w:rPr>
        <w:rFonts w:ascii="C39T30Lfz" w:hAnsi="C39T30Lfz"/>
        <w:sz w:val="56"/>
      </w:rPr>
      <w:t></w:t>
    </w:r>
    <w:r w:rsidRPr="00F17C81">
      <w:rPr>
        <w:rFonts w:ascii="C39T30Lfz" w:hAnsi="C39T30Lfz"/>
        <w:sz w:val="56"/>
      </w:rPr>
      <w:t></w:t>
    </w:r>
    <w:r w:rsidRPr="00F17C81">
      <w:rPr>
        <w:rFonts w:ascii="C39T30Lfz" w:hAnsi="C39T30Lfz"/>
        <w:sz w:val="56"/>
      </w:rPr>
      <w:t></w:t>
    </w:r>
    <w:r w:rsidRPr="00F17C81">
      <w:rPr>
        <w:rFonts w:ascii="C39T30Lfz" w:hAnsi="C39T30Lfz"/>
        <w:sz w:val="56"/>
      </w:rPr>
      <w:t></w:t>
    </w:r>
    <w:r w:rsidRPr="00F17C81">
      <w:rPr>
        <w:rFonts w:ascii="C39T30Lfz" w:hAnsi="C39T30Lfz"/>
        <w:sz w:val="56"/>
      </w:rPr>
      <w:t></w:t>
    </w:r>
    <w:r w:rsidRPr="00F17C81">
      <w:rPr>
        <w:rFonts w:ascii="C39T30Lfz" w:hAnsi="C39T30Lfz"/>
        <w:sz w:val="56"/>
      </w:rPr>
      <w:t></w:t>
    </w:r>
    <w:r w:rsidRPr="00F17C81">
      <w:rPr>
        <w:rFonts w:ascii="C39T30Lfz" w:hAnsi="C39T30Lfz"/>
        <w:sz w:val="56"/>
      </w:rPr>
      <w:t></w:t>
    </w:r>
    <w:r w:rsidRPr="00F17C81">
      <w:rPr>
        <w:rFonts w:ascii="C39T30Lfz" w:hAnsi="C39T30Lfz"/>
        <w:sz w:val="56"/>
      </w:rPr>
      <w:t></w:t>
    </w:r>
    <w:r w:rsidRPr="00F17C81">
      <w:rPr>
        <w:rFonts w:ascii="C39T30Lfz" w:hAnsi="C39T30Lfz"/>
        <w:sz w:val="56"/>
      </w:rPr>
      <w:t></w:t>
    </w:r>
    <w:r>
      <w:rPr>
        <w:noProof/>
        <w:sz w:val="20"/>
        <w:lang w:val="en-GB" w:eastAsia="en-GB"/>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GRE/2017/26&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E/2017/26&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A84" w:rsidRPr="00AC3823" w:rsidRDefault="00990A84" w:rsidP="00AC3823">
      <w:pPr>
        <w:pStyle w:val="Footer"/>
        <w:tabs>
          <w:tab w:val="right" w:pos="2155"/>
        </w:tabs>
        <w:spacing w:after="80" w:line="240" w:lineRule="atLeast"/>
        <w:ind w:left="680"/>
        <w:rPr>
          <w:u w:val="single"/>
        </w:rPr>
      </w:pPr>
      <w:r>
        <w:rPr>
          <w:u w:val="single"/>
        </w:rPr>
        <w:tab/>
      </w:r>
    </w:p>
  </w:footnote>
  <w:footnote w:type="continuationSeparator" w:id="0">
    <w:p w:rsidR="00990A84" w:rsidRPr="00AC3823" w:rsidRDefault="00990A84" w:rsidP="00AC3823">
      <w:pPr>
        <w:pStyle w:val="Footer"/>
        <w:tabs>
          <w:tab w:val="right" w:pos="2155"/>
        </w:tabs>
        <w:spacing w:after="80" w:line="240" w:lineRule="atLeast"/>
        <w:ind w:left="680"/>
        <w:rPr>
          <w:u w:val="single"/>
        </w:rPr>
      </w:pPr>
      <w:r>
        <w:rPr>
          <w:u w:val="single"/>
        </w:rPr>
        <w:tab/>
      </w:r>
    </w:p>
  </w:footnote>
  <w:footnote w:type="continuationNotice" w:id="1">
    <w:p w:rsidR="00990A84" w:rsidRPr="00AC3823" w:rsidRDefault="00990A84">
      <w:pPr>
        <w:spacing w:line="240" w:lineRule="auto"/>
        <w:rPr>
          <w:sz w:val="2"/>
          <w:szCs w:val="2"/>
        </w:rPr>
      </w:pPr>
    </w:p>
  </w:footnote>
  <w:footnote w:id="2">
    <w:p w:rsidR="00147774" w:rsidRPr="00147774" w:rsidRDefault="00147774" w:rsidP="00147774">
      <w:pPr>
        <w:pStyle w:val="FootnoteText"/>
      </w:pPr>
      <w:r w:rsidRPr="00147774">
        <w:rPr>
          <w:rStyle w:val="FootnoteReference"/>
          <w:spacing w:val="-1"/>
        </w:rPr>
        <w:tab/>
      </w:r>
      <w:r w:rsidRPr="00147774">
        <w:rPr>
          <w:rStyle w:val="FootnoteReference"/>
          <w:spacing w:val="-1"/>
          <w:sz w:val="20"/>
          <w:vertAlign w:val="baseline"/>
        </w:rPr>
        <w:t>*</w:t>
      </w:r>
      <w:r w:rsidRPr="00147774">
        <w:rPr>
          <w:rStyle w:val="FootnoteReference"/>
          <w:spacing w:val="-1"/>
          <w:sz w:val="20"/>
          <w:vertAlign w:val="baseline"/>
        </w:rPr>
        <w:tab/>
      </w:r>
      <w:r w:rsidRPr="00147774">
        <w:rPr>
          <w:spacing w:val="-1"/>
        </w:rPr>
        <w:t>Conformément au programme de travail du Comité des transports intérieurs pour la période 2016-2017</w:t>
      </w:r>
      <w:r>
        <w:t xml:space="preserve"> (ECE/TRANS/254, par. 159, et ECE/TRANS/2016/28/Add.1, module 3.1), le Forum mondial a pour mission d’élaborer, d’harmoniser et de mettre à jour les Règlements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C81" w:rsidRPr="00F17C81" w:rsidRDefault="00FC0146">
    <w:pPr>
      <w:pStyle w:val="Header"/>
    </w:pPr>
    <w:r>
      <w:fldChar w:fldCharType="begin"/>
    </w:r>
    <w:r>
      <w:instrText xml:space="preserve"> TITLE  \* MERGEFORMAT </w:instrText>
    </w:r>
    <w:r>
      <w:fldChar w:fldCharType="separate"/>
    </w:r>
    <w:r w:rsidR="0022454E">
      <w:t>ECE/TRANS/WP.29/GRE/2017/26</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C81" w:rsidRPr="00F17C81" w:rsidRDefault="00FC0146" w:rsidP="00F17C81">
    <w:pPr>
      <w:pStyle w:val="Header"/>
      <w:jc w:val="right"/>
    </w:pPr>
    <w:r>
      <w:fldChar w:fldCharType="begin"/>
    </w:r>
    <w:r>
      <w:instrText xml:space="preserve"> TITLE  \* MERGEFORMAT </w:instrText>
    </w:r>
    <w:r>
      <w:fldChar w:fldCharType="separate"/>
    </w:r>
    <w:r w:rsidR="0022454E">
      <w:t>ECE/TRANS/WP.29/GRE/2017/26</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A84"/>
    <w:rsid w:val="00006A0C"/>
    <w:rsid w:val="00017F94"/>
    <w:rsid w:val="00023842"/>
    <w:rsid w:val="000334F9"/>
    <w:rsid w:val="00045FEB"/>
    <w:rsid w:val="0007796D"/>
    <w:rsid w:val="000B7790"/>
    <w:rsid w:val="00111F2F"/>
    <w:rsid w:val="00114860"/>
    <w:rsid w:val="0014365E"/>
    <w:rsid w:val="00143C66"/>
    <w:rsid w:val="00147774"/>
    <w:rsid w:val="00176178"/>
    <w:rsid w:val="0018604E"/>
    <w:rsid w:val="001F525A"/>
    <w:rsid w:val="00223272"/>
    <w:rsid w:val="0022454E"/>
    <w:rsid w:val="002402BF"/>
    <w:rsid w:val="0024779E"/>
    <w:rsid w:val="00257168"/>
    <w:rsid w:val="002744B8"/>
    <w:rsid w:val="00282CE3"/>
    <w:rsid w:val="002832AC"/>
    <w:rsid w:val="002D7C93"/>
    <w:rsid w:val="00305801"/>
    <w:rsid w:val="00340C08"/>
    <w:rsid w:val="003916DE"/>
    <w:rsid w:val="00441C3B"/>
    <w:rsid w:val="00446FE5"/>
    <w:rsid w:val="00452396"/>
    <w:rsid w:val="004837D8"/>
    <w:rsid w:val="004E468C"/>
    <w:rsid w:val="005505B7"/>
    <w:rsid w:val="00573BE5"/>
    <w:rsid w:val="00586ED3"/>
    <w:rsid w:val="00596AA9"/>
    <w:rsid w:val="006160B4"/>
    <w:rsid w:val="0071601D"/>
    <w:rsid w:val="0077334C"/>
    <w:rsid w:val="007A62E6"/>
    <w:rsid w:val="007F20FA"/>
    <w:rsid w:val="0080684C"/>
    <w:rsid w:val="00824083"/>
    <w:rsid w:val="008432B8"/>
    <w:rsid w:val="00871C75"/>
    <w:rsid w:val="008776DC"/>
    <w:rsid w:val="009446C0"/>
    <w:rsid w:val="009705C8"/>
    <w:rsid w:val="00990A84"/>
    <w:rsid w:val="009C1CF4"/>
    <w:rsid w:val="009F6B74"/>
    <w:rsid w:val="00A30353"/>
    <w:rsid w:val="00AC3823"/>
    <w:rsid w:val="00AE323C"/>
    <w:rsid w:val="00AF0CB5"/>
    <w:rsid w:val="00B00181"/>
    <w:rsid w:val="00B00B0D"/>
    <w:rsid w:val="00B765F7"/>
    <w:rsid w:val="00B9494E"/>
    <w:rsid w:val="00BA0CA9"/>
    <w:rsid w:val="00BB0A8D"/>
    <w:rsid w:val="00C02897"/>
    <w:rsid w:val="00C47163"/>
    <w:rsid w:val="00C97039"/>
    <w:rsid w:val="00CB1F8E"/>
    <w:rsid w:val="00D24823"/>
    <w:rsid w:val="00D3439C"/>
    <w:rsid w:val="00DB1831"/>
    <w:rsid w:val="00DD3BFD"/>
    <w:rsid w:val="00DF6678"/>
    <w:rsid w:val="00E0299A"/>
    <w:rsid w:val="00E7061B"/>
    <w:rsid w:val="00E85C74"/>
    <w:rsid w:val="00EA6547"/>
    <w:rsid w:val="00EE3238"/>
    <w:rsid w:val="00EF2E22"/>
    <w:rsid w:val="00F17C81"/>
    <w:rsid w:val="00F35BAF"/>
    <w:rsid w:val="00F660DF"/>
    <w:rsid w:val="00F94664"/>
    <w:rsid w:val="00F9573C"/>
    <w:rsid w:val="00F95C08"/>
    <w:rsid w:val="00FC0146"/>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391</Words>
  <Characters>2233</Characters>
  <Application>Microsoft Office Word</Application>
  <DocSecurity>4</DocSecurity>
  <Lines>18</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ECE/TRANS/WP.29/GRE/2017/26</vt:lpstr>
      <vt:lpstr>ECE/TRANS/WP.29/GRE/2017/26</vt:lpstr>
    </vt:vector>
  </TitlesOfParts>
  <Company>DCM</Company>
  <LinksUpToDate>false</LinksUpToDate>
  <CharactersWithSpaces>2619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ECE/TRANS/WP.29/GRE/2017/26</dc:title>
  <dc:creator>Marie DESCHAMPS</dc:creator>
  <cp:lastModifiedBy>Benedicte Boudol</cp:lastModifiedBy>
  <cp:revision>2</cp:revision>
  <cp:lastPrinted>2017-09-08T10:57:00Z</cp:lastPrinted>
  <dcterms:created xsi:type="dcterms:W3CDTF">2017-09-13T14:47:00Z</dcterms:created>
  <dcterms:modified xsi:type="dcterms:W3CDTF">2017-09-13T14:47:00Z</dcterms:modified>
</cp:coreProperties>
</file>