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BC242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BC242E" w:rsidP="00BC242E">
            <w:pPr>
              <w:jc w:val="right"/>
            </w:pPr>
            <w:r w:rsidRPr="00BC242E">
              <w:rPr>
                <w:sz w:val="40"/>
              </w:rPr>
              <w:t>ECE</w:t>
            </w:r>
            <w:r>
              <w:t>/TRANS/WP.29/GRE/77</w:t>
            </w:r>
          </w:p>
        </w:tc>
      </w:tr>
      <w:tr w:rsidR="002D5AAC" w:rsidRPr="00EB5EA8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uppressAutoHyphens/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BC242E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BC242E" w:rsidRDefault="00BC242E" w:rsidP="00BC242E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16 May 2017</w:t>
            </w:r>
          </w:p>
          <w:p w:rsidR="00BC242E" w:rsidRDefault="00BC242E" w:rsidP="00BC242E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BC242E" w:rsidRPr="008D53B6" w:rsidRDefault="00BC242E" w:rsidP="00BC242E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9F4559" w:rsidRPr="009F4559" w:rsidRDefault="009F4559" w:rsidP="00672DBE">
      <w:pPr>
        <w:spacing w:before="120"/>
        <w:rPr>
          <w:sz w:val="28"/>
          <w:szCs w:val="28"/>
        </w:rPr>
      </w:pPr>
      <w:r w:rsidRPr="009F4559">
        <w:rPr>
          <w:sz w:val="28"/>
          <w:szCs w:val="28"/>
        </w:rPr>
        <w:t>Комитет по внутреннему транспорту</w:t>
      </w:r>
    </w:p>
    <w:p w:rsidR="009F4559" w:rsidRPr="009F4559" w:rsidRDefault="009F4559" w:rsidP="00672DBE">
      <w:pPr>
        <w:spacing w:before="120"/>
        <w:rPr>
          <w:b/>
          <w:sz w:val="24"/>
          <w:szCs w:val="24"/>
        </w:rPr>
      </w:pPr>
      <w:r w:rsidRPr="009F4559">
        <w:rPr>
          <w:b/>
          <w:sz w:val="24"/>
          <w:szCs w:val="24"/>
        </w:rPr>
        <w:t xml:space="preserve">Всемирный форум для согласования правил </w:t>
      </w:r>
      <w:r>
        <w:rPr>
          <w:b/>
          <w:sz w:val="24"/>
          <w:szCs w:val="24"/>
        </w:rPr>
        <w:br/>
      </w:r>
      <w:r w:rsidRPr="009F4559">
        <w:rPr>
          <w:b/>
          <w:sz w:val="24"/>
          <w:szCs w:val="24"/>
        </w:rPr>
        <w:t>в области транспортных средств</w:t>
      </w:r>
    </w:p>
    <w:p w:rsidR="009F4559" w:rsidRPr="009F4559" w:rsidRDefault="009F4559" w:rsidP="00672DBE">
      <w:pPr>
        <w:spacing w:before="120"/>
        <w:rPr>
          <w:b/>
          <w:bCs/>
        </w:rPr>
      </w:pPr>
      <w:r w:rsidRPr="009F4559">
        <w:rPr>
          <w:b/>
        </w:rPr>
        <w:t xml:space="preserve">Рабочая группа по вопросам освещения </w:t>
      </w:r>
      <w:r>
        <w:rPr>
          <w:b/>
        </w:rPr>
        <w:br/>
      </w:r>
      <w:r w:rsidRPr="009F4559">
        <w:rPr>
          <w:b/>
        </w:rPr>
        <w:t>и световой сигнализации</w:t>
      </w:r>
    </w:p>
    <w:p w:rsidR="009F4559" w:rsidRPr="009F4559" w:rsidRDefault="009F4559" w:rsidP="00BD7256">
      <w:pPr>
        <w:spacing w:before="120"/>
        <w:rPr>
          <w:b/>
        </w:rPr>
      </w:pPr>
      <w:r w:rsidRPr="009F4559">
        <w:rPr>
          <w:b/>
        </w:rPr>
        <w:t>Семьдесят седьмая сессия</w:t>
      </w:r>
    </w:p>
    <w:p w:rsidR="009F4559" w:rsidRPr="009F4559" w:rsidRDefault="009F4559" w:rsidP="009F4559">
      <w:r w:rsidRPr="009F4559">
        <w:t>Женева, 4–7 апреля 2017 года</w:t>
      </w:r>
    </w:p>
    <w:p w:rsidR="009F4559" w:rsidRPr="009F4559" w:rsidRDefault="009F4559" w:rsidP="009F4559">
      <w:pPr>
        <w:pStyle w:val="HChGR"/>
      </w:pPr>
      <w:r w:rsidRPr="009F4559">
        <w:tab/>
      </w:r>
      <w:r w:rsidRPr="009F4559">
        <w:tab/>
        <w:t>Доклад Рабочей группы по вопросам освещения и</w:t>
      </w:r>
      <w:r>
        <w:rPr>
          <w:lang w:val="en-US"/>
        </w:rPr>
        <w:t> </w:t>
      </w:r>
      <w:r w:rsidRPr="009F4559">
        <w:t>световой сигнализации о работе ее семьдесят седьмой сессии</w:t>
      </w:r>
      <w:bookmarkStart w:id="1" w:name="_Toc365898453"/>
      <w:bookmarkStart w:id="2" w:name="_Toc369772204"/>
      <w:bookmarkEnd w:id="1"/>
      <w:bookmarkEnd w:id="2"/>
    </w:p>
    <w:p w:rsidR="009F4559" w:rsidRDefault="009F4559" w:rsidP="009F4559">
      <w:pPr>
        <w:spacing w:before="360" w:after="120"/>
        <w:rPr>
          <w:sz w:val="28"/>
        </w:rPr>
      </w:pPr>
      <w:r>
        <w:rPr>
          <w:sz w:val="28"/>
        </w:rPr>
        <w:t>Содержание</w:t>
      </w:r>
    </w:p>
    <w:p w:rsidR="009F4559" w:rsidRDefault="009F4559" w:rsidP="001276E8">
      <w:pPr>
        <w:tabs>
          <w:tab w:val="right" w:pos="8929"/>
          <w:tab w:val="right" w:pos="9638"/>
        </w:tabs>
        <w:spacing w:after="120"/>
        <w:ind w:left="283"/>
        <w:rPr>
          <w:sz w:val="18"/>
        </w:rPr>
      </w:pPr>
      <w:r>
        <w:rPr>
          <w:i/>
          <w:sz w:val="18"/>
        </w:rPr>
        <w:tab/>
        <w:t>Пункты</w:t>
      </w:r>
      <w:r>
        <w:rPr>
          <w:i/>
          <w:sz w:val="18"/>
        </w:rPr>
        <w:tab/>
        <w:t>Стр.</w:t>
      </w:r>
    </w:p>
    <w:p w:rsidR="00126480" w:rsidRPr="008754DF" w:rsidRDefault="00126480" w:rsidP="00126480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F5541B">
        <w:tab/>
      </w:r>
      <w:r w:rsidRPr="008754DF">
        <w:rPr>
          <w:lang w:val="en-US"/>
        </w:rPr>
        <w:t>I</w:t>
      </w:r>
      <w:r w:rsidRPr="008754DF">
        <w:t>.</w:t>
      </w:r>
      <w:r w:rsidRPr="008754DF">
        <w:tab/>
        <w:t>Участники</w:t>
      </w:r>
      <w:r w:rsidRPr="008754DF">
        <w:rPr>
          <w:webHidden/>
        </w:rPr>
        <w:tab/>
      </w:r>
      <w:r w:rsidRPr="008754DF">
        <w:rPr>
          <w:webHidden/>
        </w:rPr>
        <w:tab/>
        <w:t>1</w:t>
      </w:r>
      <w:r w:rsidRPr="008754DF">
        <w:rPr>
          <w:webHidden/>
        </w:rPr>
        <w:tab/>
        <w:t>3</w:t>
      </w:r>
    </w:p>
    <w:p w:rsidR="00126480" w:rsidRPr="008754DF" w:rsidRDefault="00126480" w:rsidP="00126480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8754DF">
        <w:tab/>
      </w:r>
      <w:r w:rsidRPr="008754DF">
        <w:rPr>
          <w:lang w:val="en-GB"/>
        </w:rPr>
        <w:t>II</w:t>
      </w:r>
      <w:r w:rsidRPr="008754DF">
        <w:t>.</w:t>
      </w:r>
      <w:r w:rsidRPr="008754DF">
        <w:tab/>
      </w:r>
      <w:r w:rsidRPr="009F4559">
        <w:t>Утверждение повестки дня (пункт 1 повестки дня)</w:t>
      </w:r>
      <w:r w:rsidRPr="008754DF">
        <w:rPr>
          <w:webHidden/>
        </w:rPr>
        <w:tab/>
      </w:r>
      <w:r w:rsidRPr="008754DF">
        <w:rPr>
          <w:webHidden/>
        </w:rPr>
        <w:tab/>
        <w:t>2–4</w:t>
      </w:r>
      <w:r w:rsidRPr="008754DF">
        <w:rPr>
          <w:webHidden/>
        </w:rPr>
        <w:tab/>
        <w:t>3</w:t>
      </w:r>
    </w:p>
    <w:p w:rsidR="00126480" w:rsidRPr="008754DF" w:rsidRDefault="00126480" w:rsidP="00126480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8754DF">
        <w:tab/>
      </w:r>
      <w:r w:rsidRPr="008754DF">
        <w:rPr>
          <w:lang w:val="en-GB"/>
        </w:rPr>
        <w:t>III</w:t>
      </w:r>
      <w:r w:rsidRPr="008754DF">
        <w:t>.</w:t>
      </w:r>
      <w:r w:rsidRPr="008754DF">
        <w:tab/>
      </w:r>
      <w:r w:rsidRPr="009F4559">
        <w:t>Соглашение 1998 года – глобальные технические правила:</w:t>
      </w:r>
      <w:r>
        <w:br/>
      </w:r>
      <w:r>
        <w:tab/>
      </w:r>
      <w:r>
        <w:tab/>
      </w:r>
      <w:r w:rsidRPr="009F4559">
        <w:t xml:space="preserve"> разработка (пункт 2 повестки дня)</w:t>
      </w:r>
      <w:r w:rsidRPr="008754DF">
        <w:rPr>
          <w:webHidden/>
        </w:rPr>
        <w:tab/>
      </w:r>
      <w:r w:rsidRPr="008754DF">
        <w:rPr>
          <w:webHidden/>
        </w:rPr>
        <w:tab/>
        <w:t>5</w:t>
      </w:r>
      <w:r w:rsidRPr="008754DF">
        <w:rPr>
          <w:webHidden/>
        </w:rPr>
        <w:tab/>
      </w:r>
      <w:r w:rsidRPr="008754DF">
        <w:rPr>
          <w:webHidden/>
          <w:lang w:val="en-GB"/>
        </w:rPr>
        <w:fldChar w:fldCharType="begin"/>
      </w:r>
      <w:r w:rsidRPr="008754DF">
        <w:rPr>
          <w:webHidden/>
        </w:rPr>
        <w:instrText xml:space="preserve"> </w:instrText>
      </w:r>
      <w:r w:rsidRPr="008754DF">
        <w:rPr>
          <w:webHidden/>
          <w:lang w:val="en-GB"/>
        </w:rPr>
        <w:instrText>PAGEREF</w:instrText>
      </w:r>
      <w:r w:rsidRPr="008754DF">
        <w:rPr>
          <w:webHidden/>
        </w:rPr>
        <w:instrText xml:space="preserve"> _</w:instrText>
      </w:r>
      <w:r w:rsidRPr="008754DF">
        <w:rPr>
          <w:webHidden/>
          <w:lang w:val="en-GB"/>
        </w:rPr>
        <w:instrText>Toc</w:instrText>
      </w:r>
      <w:r w:rsidRPr="008754DF">
        <w:rPr>
          <w:webHidden/>
        </w:rPr>
        <w:instrText>369772207 \</w:instrText>
      </w:r>
      <w:r w:rsidRPr="008754DF">
        <w:rPr>
          <w:webHidden/>
          <w:lang w:val="en-GB"/>
        </w:rPr>
        <w:instrText>h</w:instrText>
      </w:r>
      <w:r w:rsidRPr="008754DF">
        <w:rPr>
          <w:webHidden/>
        </w:rPr>
        <w:instrText xml:space="preserve"> </w:instrText>
      </w:r>
      <w:r w:rsidRPr="008754DF">
        <w:rPr>
          <w:webHidden/>
          <w:lang w:val="en-GB"/>
        </w:rPr>
      </w:r>
      <w:r w:rsidRPr="008754DF">
        <w:rPr>
          <w:webHidden/>
          <w:lang w:val="en-GB"/>
        </w:rPr>
        <w:fldChar w:fldCharType="separate"/>
      </w:r>
      <w:r w:rsidR="00BF2684" w:rsidRPr="00BF2684">
        <w:rPr>
          <w:noProof/>
          <w:webHidden/>
        </w:rPr>
        <w:t>3</w:t>
      </w:r>
      <w:r w:rsidRPr="008754DF">
        <w:rPr>
          <w:webHidden/>
        </w:rPr>
        <w:fldChar w:fldCharType="end"/>
      </w:r>
    </w:p>
    <w:p w:rsidR="00126480" w:rsidRPr="008754DF" w:rsidRDefault="00126480" w:rsidP="00126480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8754DF">
        <w:tab/>
      </w:r>
      <w:r w:rsidRPr="008754DF">
        <w:rPr>
          <w:lang w:val="en-GB"/>
        </w:rPr>
        <w:t>IV</w:t>
      </w:r>
      <w:r w:rsidRPr="008754DF">
        <w:t>.</w:t>
      </w:r>
      <w:r w:rsidRPr="008754DF">
        <w:tab/>
      </w:r>
      <w:r w:rsidRPr="009F4559">
        <w:t xml:space="preserve">Соглашение 1997 года − предписания: разработка </w:t>
      </w:r>
      <w:r>
        <w:br/>
      </w:r>
      <w:r>
        <w:tab/>
      </w:r>
      <w:r>
        <w:tab/>
      </w:r>
      <w:r w:rsidRPr="009F4559">
        <w:t>(пункт 3 повестки дня)</w:t>
      </w:r>
      <w:r w:rsidRPr="008754DF">
        <w:rPr>
          <w:webHidden/>
        </w:rPr>
        <w:tab/>
      </w:r>
      <w:r w:rsidRPr="008754DF">
        <w:rPr>
          <w:webHidden/>
        </w:rPr>
        <w:tab/>
        <w:t>6</w:t>
      </w:r>
      <w:r w:rsidRPr="008754DF">
        <w:rPr>
          <w:webHidden/>
        </w:rPr>
        <w:tab/>
      </w:r>
      <w:r>
        <w:t>4</w:t>
      </w:r>
    </w:p>
    <w:p w:rsidR="00126480" w:rsidRPr="008754DF" w:rsidRDefault="00126480" w:rsidP="00126480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8754DF">
        <w:tab/>
      </w:r>
      <w:r w:rsidRPr="008754DF">
        <w:rPr>
          <w:lang w:val="en-GB"/>
        </w:rPr>
        <w:t>V</w:t>
      </w:r>
      <w:r w:rsidRPr="008754DF">
        <w:t>.</w:t>
      </w:r>
      <w:r w:rsidRPr="008754DF">
        <w:tab/>
      </w:r>
      <w:r w:rsidRPr="009F4559">
        <w:t xml:space="preserve">Упрощение правил, касающихся устройств освещения и световой </w:t>
      </w:r>
      <w:r>
        <w:br/>
      </w:r>
      <w:r>
        <w:tab/>
      </w:r>
      <w:r>
        <w:tab/>
      </w:r>
      <w:r w:rsidRPr="009F4559">
        <w:t>сигнализации (пункт 4 повестки дня)</w:t>
      </w:r>
      <w:r w:rsidRPr="008754DF">
        <w:rPr>
          <w:webHidden/>
        </w:rPr>
        <w:tab/>
      </w:r>
      <w:r w:rsidRPr="008754DF">
        <w:rPr>
          <w:webHidden/>
        </w:rPr>
        <w:tab/>
        <w:t>7–10</w:t>
      </w:r>
      <w:r w:rsidRPr="008754DF">
        <w:rPr>
          <w:webHidden/>
        </w:rPr>
        <w:tab/>
        <w:t>4</w:t>
      </w:r>
    </w:p>
    <w:p w:rsidR="00126480" w:rsidRPr="00F5541B" w:rsidRDefault="00126480" w:rsidP="00126480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8754DF">
        <w:tab/>
      </w:r>
      <w:r w:rsidRPr="008754DF">
        <w:rPr>
          <w:lang w:val="en-GB"/>
        </w:rPr>
        <w:t>VI</w:t>
      </w:r>
      <w:r w:rsidRPr="008754DF">
        <w:t>.</w:t>
      </w:r>
      <w:r w:rsidRPr="008754DF">
        <w:tab/>
      </w:r>
      <w:r w:rsidRPr="009F4559">
        <w:t>Правила № 37 (лампы накаливания), 99</w:t>
      </w:r>
      <w:r>
        <w:rPr>
          <w:lang w:val="en-US"/>
        </w:rPr>
        <w:t> </w:t>
      </w:r>
      <w:r w:rsidRPr="009F4559">
        <w:t xml:space="preserve">(газоразрядные источники </w:t>
      </w:r>
      <w:r>
        <w:br/>
      </w:r>
      <w:r>
        <w:tab/>
      </w:r>
      <w:r>
        <w:tab/>
      </w:r>
      <w:r w:rsidRPr="009F4559">
        <w:t xml:space="preserve">света), 128 (источники света на светоизлучающих диодах) </w:t>
      </w:r>
      <w:r>
        <w:br/>
      </w:r>
      <w:r>
        <w:tab/>
      </w:r>
      <w:r>
        <w:tab/>
      </w:r>
      <w:r w:rsidRPr="009F4559">
        <w:t xml:space="preserve">и Сводная резолюция по общей спецификации для категорий </w:t>
      </w:r>
      <w:r>
        <w:br/>
      </w:r>
      <w:r>
        <w:tab/>
      </w:r>
      <w:r>
        <w:tab/>
      </w:r>
      <w:r w:rsidRPr="009F4559">
        <w:t>источников света (пункт 5 повестки дня)</w:t>
      </w:r>
      <w:r>
        <w:tab/>
      </w:r>
      <w:r w:rsidRPr="00F5541B">
        <w:rPr>
          <w:webHidden/>
        </w:rPr>
        <w:tab/>
        <w:t>11</w:t>
      </w:r>
      <w:r w:rsidRPr="008754DF">
        <w:rPr>
          <w:webHidden/>
        </w:rPr>
        <w:t>–</w:t>
      </w:r>
      <w:r w:rsidRPr="00F5541B">
        <w:rPr>
          <w:webHidden/>
        </w:rPr>
        <w:t>16</w:t>
      </w:r>
      <w:r w:rsidRPr="00F5541B">
        <w:rPr>
          <w:webHidden/>
        </w:rPr>
        <w:tab/>
      </w:r>
      <w:r w:rsidR="00B77580">
        <w:rPr>
          <w:webHidden/>
        </w:rPr>
        <w:t>5</w:t>
      </w:r>
    </w:p>
    <w:p w:rsidR="00126480" w:rsidRPr="00A568F3" w:rsidRDefault="00126480" w:rsidP="00126480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F5541B">
        <w:tab/>
      </w:r>
      <w:r w:rsidRPr="008754DF">
        <w:rPr>
          <w:lang w:val="en-GB"/>
        </w:rPr>
        <w:t>VII</w:t>
      </w:r>
      <w:r w:rsidRPr="00A568F3">
        <w:t>.</w:t>
      </w:r>
      <w:r w:rsidRPr="00A568F3">
        <w:tab/>
      </w:r>
      <w:r w:rsidRPr="009F4559">
        <w:t>Правила № 48 (установка устройств освещения и</w:t>
      </w:r>
      <w:r>
        <w:rPr>
          <w:lang w:val="en-US"/>
        </w:rPr>
        <w:t> </w:t>
      </w:r>
      <w:r w:rsidRPr="009F4559">
        <w:t xml:space="preserve">световой </w:t>
      </w:r>
      <w:r>
        <w:br/>
      </w:r>
      <w:r>
        <w:tab/>
      </w:r>
      <w:r>
        <w:tab/>
      </w:r>
      <w:r w:rsidRPr="009F4559">
        <w:t>сигнализации) (пункт 6 повестки дня)</w:t>
      </w:r>
      <w:r w:rsidRPr="00A568F3">
        <w:rPr>
          <w:webHidden/>
        </w:rPr>
        <w:tab/>
      </w:r>
      <w:r>
        <w:rPr>
          <w:webHidden/>
        </w:rPr>
        <w:tab/>
      </w:r>
      <w:r w:rsidRPr="00A568F3">
        <w:rPr>
          <w:webHidden/>
        </w:rPr>
        <w:t>17</w:t>
      </w:r>
      <w:r w:rsidRPr="008754DF">
        <w:rPr>
          <w:webHidden/>
        </w:rPr>
        <w:t>–</w:t>
      </w:r>
      <w:r w:rsidRPr="00A568F3">
        <w:rPr>
          <w:webHidden/>
        </w:rPr>
        <w:t>21</w:t>
      </w:r>
      <w:r w:rsidRPr="00A568F3">
        <w:rPr>
          <w:webHidden/>
        </w:rPr>
        <w:tab/>
      </w:r>
      <w:r>
        <w:rPr>
          <w:webHidden/>
        </w:rPr>
        <w:t>6</w:t>
      </w:r>
    </w:p>
    <w:p w:rsidR="00126480" w:rsidRPr="00A568F3" w:rsidRDefault="00126480" w:rsidP="00126480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A568F3">
        <w:tab/>
      </w:r>
      <w:r w:rsidRPr="00A568F3">
        <w:tab/>
      </w:r>
      <w:r w:rsidRPr="008754DF">
        <w:rPr>
          <w:lang w:val="en-GB"/>
        </w:rPr>
        <w:t>A</w:t>
      </w:r>
      <w:r w:rsidRPr="00A568F3">
        <w:t>.</w:t>
      </w:r>
      <w:r w:rsidRPr="00A568F3">
        <w:tab/>
      </w:r>
      <w:r w:rsidRPr="009F4559">
        <w:t>Предложения по поправкам к поправкам серий 05 и 06</w:t>
      </w:r>
      <w:r w:rsidRPr="00A568F3">
        <w:rPr>
          <w:webHidden/>
        </w:rPr>
        <w:tab/>
      </w:r>
      <w:r w:rsidRPr="00A568F3">
        <w:rPr>
          <w:webHidden/>
        </w:rPr>
        <w:tab/>
        <w:t>17</w:t>
      </w:r>
      <w:r w:rsidRPr="008754DF">
        <w:rPr>
          <w:webHidden/>
        </w:rPr>
        <w:t>–</w:t>
      </w:r>
      <w:r w:rsidRPr="00A568F3">
        <w:rPr>
          <w:webHidden/>
        </w:rPr>
        <w:t>20</w:t>
      </w:r>
      <w:r w:rsidRPr="00A568F3">
        <w:rPr>
          <w:webHidden/>
        </w:rPr>
        <w:tab/>
      </w:r>
      <w:r>
        <w:rPr>
          <w:webHidden/>
        </w:rPr>
        <w:t>6</w:t>
      </w:r>
    </w:p>
    <w:p w:rsidR="00126480" w:rsidRPr="00A568F3" w:rsidRDefault="00126480" w:rsidP="00126480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A568F3">
        <w:tab/>
      </w:r>
      <w:r w:rsidRPr="00A568F3">
        <w:tab/>
      </w:r>
      <w:r w:rsidRPr="008754DF">
        <w:rPr>
          <w:lang w:val="en-GB"/>
        </w:rPr>
        <w:t>B</w:t>
      </w:r>
      <w:r w:rsidRPr="00A568F3">
        <w:t>.</w:t>
      </w:r>
      <w:r w:rsidRPr="00A568F3">
        <w:tab/>
      </w:r>
      <w:r w:rsidRPr="009F4559">
        <w:t>Прочие предложения по поправкам к Правилам № 48</w:t>
      </w:r>
      <w:r w:rsidRPr="00A568F3">
        <w:rPr>
          <w:webHidden/>
        </w:rPr>
        <w:tab/>
      </w:r>
      <w:r w:rsidRPr="00A568F3">
        <w:rPr>
          <w:webHidden/>
        </w:rPr>
        <w:tab/>
        <w:t>21</w:t>
      </w:r>
      <w:r w:rsidRPr="00A568F3">
        <w:rPr>
          <w:webHidden/>
        </w:rPr>
        <w:tab/>
      </w:r>
      <w:r>
        <w:rPr>
          <w:webHidden/>
        </w:rPr>
        <w:t>7</w:t>
      </w:r>
    </w:p>
    <w:p w:rsidR="00126480" w:rsidRPr="00A568F3" w:rsidRDefault="00126480" w:rsidP="00126480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A568F3">
        <w:tab/>
      </w:r>
      <w:r w:rsidRPr="008754DF">
        <w:rPr>
          <w:lang w:val="en-GB"/>
        </w:rPr>
        <w:t>VIII</w:t>
      </w:r>
      <w:r w:rsidRPr="00F5541B">
        <w:t>.</w:t>
      </w:r>
      <w:r w:rsidRPr="00F5541B">
        <w:tab/>
      </w:r>
      <w:r w:rsidRPr="009F4559">
        <w:t>Другие правила (пункт 7 повестки дня)</w:t>
      </w:r>
      <w:r w:rsidRPr="00A568F3">
        <w:rPr>
          <w:webHidden/>
        </w:rPr>
        <w:tab/>
      </w:r>
      <w:r w:rsidRPr="00A568F3">
        <w:rPr>
          <w:webHidden/>
        </w:rPr>
        <w:tab/>
        <w:t>22</w:t>
      </w:r>
      <w:r w:rsidRPr="008754DF">
        <w:rPr>
          <w:webHidden/>
        </w:rPr>
        <w:t>–</w:t>
      </w:r>
      <w:r w:rsidRPr="00A568F3">
        <w:rPr>
          <w:webHidden/>
        </w:rPr>
        <w:t>28</w:t>
      </w:r>
      <w:r w:rsidRPr="00A568F3">
        <w:rPr>
          <w:webHidden/>
        </w:rPr>
        <w:tab/>
      </w:r>
      <w:r>
        <w:rPr>
          <w:webHidden/>
        </w:rPr>
        <w:t>7</w:t>
      </w:r>
    </w:p>
    <w:p w:rsidR="00126480" w:rsidRPr="00A568F3" w:rsidRDefault="00126480" w:rsidP="00126480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A568F3">
        <w:tab/>
      </w:r>
      <w:r w:rsidRPr="00A568F3">
        <w:tab/>
      </w:r>
      <w:r w:rsidRPr="008754DF">
        <w:rPr>
          <w:lang w:val="en-GB"/>
        </w:rPr>
        <w:t>A</w:t>
      </w:r>
      <w:r w:rsidRPr="00A568F3">
        <w:t>.</w:t>
      </w:r>
      <w:r w:rsidRPr="00A568F3">
        <w:tab/>
      </w:r>
      <w:r w:rsidRPr="009F4559">
        <w:t xml:space="preserve">Правила № 6 (указатели поворота) и Правила № 50 </w:t>
      </w:r>
      <w:r>
        <w:br/>
      </w:r>
      <w:r>
        <w:tab/>
      </w:r>
      <w:r>
        <w:tab/>
      </w:r>
      <w:r>
        <w:tab/>
      </w:r>
      <w:r w:rsidRPr="009F4559">
        <w:t xml:space="preserve">(габаритные огни, сигналы торможения, указатели поворота </w:t>
      </w:r>
      <w:r>
        <w:br/>
      </w:r>
      <w:r>
        <w:tab/>
      </w:r>
      <w:r>
        <w:tab/>
      </w:r>
      <w:r>
        <w:tab/>
      </w:r>
      <w:r w:rsidRPr="009F4559">
        <w:t>для мопедов и мотоциклов)</w:t>
      </w:r>
      <w:r w:rsidRPr="00A568F3">
        <w:rPr>
          <w:webHidden/>
        </w:rPr>
        <w:tab/>
      </w:r>
      <w:r w:rsidRPr="00A568F3">
        <w:rPr>
          <w:webHidden/>
        </w:rPr>
        <w:tab/>
        <w:t>22</w:t>
      </w:r>
      <w:r w:rsidRPr="00A568F3">
        <w:rPr>
          <w:webHidden/>
        </w:rPr>
        <w:tab/>
        <w:t>7</w:t>
      </w:r>
    </w:p>
    <w:p w:rsidR="00126480" w:rsidRPr="008325A6" w:rsidRDefault="00126480" w:rsidP="00126480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A568F3">
        <w:lastRenderedPageBreak/>
        <w:tab/>
      </w:r>
      <w:r w:rsidRPr="00A568F3">
        <w:tab/>
      </w:r>
      <w:r w:rsidRPr="008754DF">
        <w:rPr>
          <w:lang w:val="en-GB"/>
        </w:rPr>
        <w:t>B</w:t>
      </w:r>
      <w:r w:rsidRPr="008325A6">
        <w:t>.</w:t>
      </w:r>
      <w:r w:rsidRPr="008325A6">
        <w:tab/>
      </w:r>
      <w:r w:rsidRPr="009F4559">
        <w:t>Правила № 10 (электромагнитная совместимость)</w:t>
      </w:r>
      <w:r w:rsidRPr="008325A6">
        <w:rPr>
          <w:webHidden/>
        </w:rPr>
        <w:tab/>
      </w:r>
      <w:r w:rsidRPr="008325A6">
        <w:rPr>
          <w:webHidden/>
        </w:rPr>
        <w:tab/>
        <w:t>23</w:t>
      </w:r>
      <w:r w:rsidRPr="008325A6">
        <w:rPr>
          <w:webHidden/>
        </w:rPr>
        <w:tab/>
      </w:r>
      <w:r w:rsidR="00B77580">
        <w:rPr>
          <w:webHidden/>
        </w:rPr>
        <w:t>8</w:t>
      </w:r>
    </w:p>
    <w:p w:rsidR="00126480" w:rsidRPr="008325A6" w:rsidRDefault="00126480" w:rsidP="00126480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8325A6">
        <w:tab/>
      </w:r>
      <w:r w:rsidRPr="008325A6">
        <w:tab/>
      </w:r>
      <w:r w:rsidRPr="008754DF">
        <w:rPr>
          <w:lang w:val="en-GB"/>
        </w:rPr>
        <w:t>C</w:t>
      </w:r>
      <w:r w:rsidRPr="008325A6">
        <w:t>.</w:t>
      </w:r>
      <w:r w:rsidRPr="008325A6">
        <w:tab/>
      </w:r>
      <w:r w:rsidRPr="009F4559">
        <w:t xml:space="preserve">Правила № 53 (установка устройств освещения и световой </w:t>
      </w:r>
      <w:r>
        <w:br/>
      </w:r>
      <w:r>
        <w:tab/>
      </w:r>
      <w:r>
        <w:tab/>
      </w:r>
      <w:r>
        <w:tab/>
      </w:r>
      <w:r w:rsidRPr="009F4559">
        <w:t>сигнализации для транспортных средств категории L</w:t>
      </w:r>
      <w:r w:rsidRPr="009F4559">
        <w:rPr>
          <w:vertAlign w:val="subscript"/>
        </w:rPr>
        <w:t>3</w:t>
      </w:r>
      <w:r w:rsidRPr="009F4559">
        <w:t>)</w:t>
      </w:r>
      <w:r w:rsidRPr="008325A6">
        <w:rPr>
          <w:webHidden/>
        </w:rPr>
        <w:tab/>
      </w:r>
      <w:r w:rsidRPr="008325A6">
        <w:rPr>
          <w:webHidden/>
        </w:rPr>
        <w:tab/>
        <w:t>24</w:t>
      </w:r>
      <w:r w:rsidRPr="008754DF">
        <w:rPr>
          <w:webHidden/>
        </w:rPr>
        <w:t>–</w:t>
      </w:r>
      <w:r w:rsidRPr="008325A6">
        <w:rPr>
          <w:webHidden/>
        </w:rPr>
        <w:t>26</w:t>
      </w:r>
      <w:r w:rsidRPr="008325A6">
        <w:rPr>
          <w:webHidden/>
        </w:rPr>
        <w:tab/>
      </w:r>
      <w:r>
        <w:rPr>
          <w:webHidden/>
        </w:rPr>
        <w:t>8</w:t>
      </w:r>
    </w:p>
    <w:p w:rsidR="00126480" w:rsidRPr="008325A6" w:rsidRDefault="00126480" w:rsidP="00126480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8325A6">
        <w:tab/>
      </w:r>
      <w:r w:rsidRPr="008325A6">
        <w:tab/>
      </w:r>
      <w:r w:rsidRPr="008754DF">
        <w:rPr>
          <w:lang w:val="en-GB"/>
        </w:rPr>
        <w:t>D</w:t>
      </w:r>
      <w:r w:rsidRPr="008325A6">
        <w:t>.</w:t>
      </w:r>
      <w:r w:rsidRPr="008325A6">
        <w:tab/>
      </w:r>
      <w:r w:rsidRPr="009F4559">
        <w:t xml:space="preserve">Правила № 112 (фары, испускающие асимметричный луч </w:t>
      </w:r>
      <w:r>
        <w:br/>
      </w:r>
      <w:r>
        <w:tab/>
      </w:r>
      <w:r>
        <w:tab/>
      </w:r>
      <w:r>
        <w:tab/>
      </w:r>
      <w:r w:rsidRPr="009F4559">
        <w:t>ближнего света)</w:t>
      </w:r>
      <w:r w:rsidRPr="008325A6">
        <w:rPr>
          <w:webHidden/>
        </w:rPr>
        <w:tab/>
      </w:r>
      <w:r w:rsidRPr="008325A6">
        <w:rPr>
          <w:webHidden/>
        </w:rPr>
        <w:tab/>
        <w:t>27</w:t>
      </w:r>
      <w:r w:rsidRPr="008325A6">
        <w:rPr>
          <w:webHidden/>
        </w:rPr>
        <w:tab/>
        <w:t>8</w:t>
      </w:r>
    </w:p>
    <w:p w:rsidR="00126480" w:rsidRPr="008325A6" w:rsidRDefault="00126480" w:rsidP="00126480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8325A6">
        <w:tab/>
      </w:r>
      <w:r w:rsidRPr="008325A6">
        <w:tab/>
      </w:r>
      <w:r w:rsidRPr="008754DF">
        <w:rPr>
          <w:lang w:val="en-GB"/>
        </w:rPr>
        <w:t>E</w:t>
      </w:r>
      <w:r w:rsidRPr="008325A6">
        <w:t>.</w:t>
      </w:r>
      <w:r w:rsidRPr="008325A6">
        <w:tab/>
      </w:r>
      <w:r w:rsidRPr="009F4559">
        <w:t xml:space="preserve">Правила № 123 (адаптивные системы переднего </w:t>
      </w:r>
      <w:r>
        <w:br/>
      </w:r>
      <w:r>
        <w:tab/>
      </w:r>
      <w:r>
        <w:tab/>
      </w:r>
      <w:r>
        <w:tab/>
      </w:r>
      <w:r w:rsidRPr="009F4559">
        <w:t>освещения (АСПО))</w:t>
      </w:r>
      <w:r w:rsidRPr="008325A6">
        <w:rPr>
          <w:webHidden/>
        </w:rPr>
        <w:tab/>
      </w:r>
      <w:r w:rsidRPr="008325A6">
        <w:rPr>
          <w:webHidden/>
        </w:rPr>
        <w:tab/>
        <w:t>28</w:t>
      </w:r>
      <w:r w:rsidRPr="008325A6">
        <w:rPr>
          <w:webHidden/>
        </w:rPr>
        <w:tab/>
        <w:t>8</w:t>
      </w:r>
    </w:p>
    <w:p w:rsidR="00126480" w:rsidRPr="008325A6" w:rsidRDefault="00126480" w:rsidP="00126480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8325A6">
        <w:tab/>
      </w:r>
      <w:r w:rsidRPr="008754DF">
        <w:rPr>
          <w:lang w:val="en-GB"/>
        </w:rPr>
        <w:t>IX</w:t>
      </w:r>
      <w:r w:rsidRPr="008325A6">
        <w:t>.</w:t>
      </w:r>
      <w:r w:rsidRPr="008325A6">
        <w:tab/>
      </w:r>
      <w:r w:rsidRPr="009F4559">
        <w:t>Прочие вопросы (пункт 8 повестки дня)</w:t>
      </w:r>
      <w:r w:rsidRPr="008325A6">
        <w:t xml:space="preserve"> </w:t>
      </w:r>
      <w:r w:rsidRPr="008325A6">
        <w:rPr>
          <w:webHidden/>
        </w:rPr>
        <w:tab/>
      </w:r>
      <w:r w:rsidRPr="008325A6">
        <w:rPr>
          <w:webHidden/>
        </w:rPr>
        <w:tab/>
        <w:t>29</w:t>
      </w:r>
      <w:r w:rsidRPr="008754DF">
        <w:rPr>
          <w:webHidden/>
        </w:rPr>
        <w:t>–</w:t>
      </w:r>
      <w:r w:rsidRPr="008325A6">
        <w:rPr>
          <w:webHidden/>
        </w:rPr>
        <w:t>34</w:t>
      </w:r>
      <w:r w:rsidRPr="008325A6">
        <w:rPr>
          <w:webHidden/>
        </w:rPr>
        <w:tab/>
      </w:r>
      <w:r>
        <w:rPr>
          <w:webHidden/>
        </w:rPr>
        <w:t>9</w:t>
      </w:r>
    </w:p>
    <w:p w:rsidR="00126480" w:rsidRPr="008325A6" w:rsidRDefault="00126480" w:rsidP="00126480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8325A6">
        <w:tab/>
      </w:r>
      <w:r w:rsidRPr="008325A6">
        <w:tab/>
      </w:r>
      <w:r w:rsidRPr="008754DF">
        <w:rPr>
          <w:lang w:val="en-GB"/>
        </w:rPr>
        <w:t>A</w:t>
      </w:r>
      <w:r w:rsidRPr="008325A6">
        <w:t>.</w:t>
      </w:r>
      <w:r w:rsidRPr="008325A6">
        <w:tab/>
      </w:r>
      <w:r w:rsidRPr="009F4559">
        <w:t>Поправки к Конвенции о дорожном движении (Вена, 1968 год)</w:t>
      </w:r>
      <w:r w:rsidRPr="008325A6">
        <w:rPr>
          <w:webHidden/>
        </w:rPr>
        <w:tab/>
      </w:r>
      <w:r w:rsidRPr="008325A6">
        <w:rPr>
          <w:webHidden/>
        </w:rPr>
        <w:tab/>
        <w:t>29</w:t>
      </w:r>
      <w:r w:rsidRPr="008325A6">
        <w:rPr>
          <w:webHidden/>
        </w:rPr>
        <w:tab/>
      </w:r>
      <w:r>
        <w:rPr>
          <w:webHidden/>
        </w:rPr>
        <w:t>9</w:t>
      </w:r>
    </w:p>
    <w:p w:rsidR="00126480" w:rsidRPr="008325A6" w:rsidRDefault="00126480" w:rsidP="00126480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8325A6">
        <w:tab/>
      </w:r>
      <w:r w:rsidRPr="008325A6">
        <w:tab/>
      </w:r>
      <w:r w:rsidRPr="008754DF">
        <w:rPr>
          <w:lang w:val="en-GB"/>
        </w:rPr>
        <w:t>B</w:t>
      </w:r>
      <w:r w:rsidRPr="008325A6">
        <w:t>.</w:t>
      </w:r>
      <w:r w:rsidRPr="008325A6">
        <w:tab/>
      </w:r>
      <w:r w:rsidRPr="009F4559">
        <w:t xml:space="preserve">Десятилетие действий по обеспечению безопасности дорожного </w:t>
      </w:r>
      <w:r>
        <w:br/>
      </w:r>
      <w:r>
        <w:tab/>
      </w:r>
      <w:r>
        <w:tab/>
      </w:r>
      <w:r>
        <w:tab/>
      </w:r>
      <w:r w:rsidRPr="009F4559">
        <w:t>движения на 2011−2020 годы</w:t>
      </w:r>
      <w:r w:rsidRPr="008325A6">
        <w:rPr>
          <w:webHidden/>
        </w:rPr>
        <w:tab/>
      </w:r>
      <w:r w:rsidRPr="008325A6">
        <w:rPr>
          <w:webHidden/>
        </w:rPr>
        <w:tab/>
        <w:t>30</w:t>
      </w:r>
      <w:r w:rsidRPr="008325A6">
        <w:rPr>
          <w:webHidden/>
        </w:rPr>
        <w:tab/>
      </w:r>
      <w:r>
        <w:rPr>
          <w:webHidden/>
        </w:rPr>
        <w:t>9</w:t>
      </w:r>
    </w:p>
    <w:p w:rsidR="00126480" w:rsidRPr="008325A6" w:rsidRDefault="00126480" w:rsidP="00126480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8325A6">
        <w:tab/>
      </w:r>
      <w:r w:rsidRPr="008325A6">
        <w:tab/>
      </w:r>
      <w:r w:rsidRPr="008754DF">
        <w:rPr>
          <w:lang w:val="en-GB"/>
        </w:rPr>
        <w:t>C</w:t>
      </w:r>
      <w:r w:rsidRPr="008325A6">
        <w:t>.</w:t>
      </w:r>
      <w:r w:rsidRPr="008325A6">
        <w:tab/>
      </w:r>
      <w:r w:rsidRPr="009F4559">
        <w:t xml:space="preserve">Разработка международной системы официального утверждения </w:t>
      </w:r>
      <w:r>
        <w:br/>
      </w:r>
      <w:r>
        <w:tab/>
      </w:r>
      <w:r>
        <w:tab/>
      </w:r>
      <w:r>
        <w:tab/>
      </w:r>
      <w:r w:rsidRPr="009F4559">
        <w:t>типа комплектного транспортного средства</w:t>
      </w:r>
      <w:r w:rsidRPr="008325A6">
        <w:rPr>
          <w:webHidden/>
        </w:rPr>
        <w:tab/>
      </w:r>
      <w:r w:rsidRPr="008325A6">
        <w:t xml:space="preserve"> </w:t>
      </w:r>
      <w:r w:rsidRPr="008325A6">
        <w:rPr>
          <w:webHidden/>
        </w:rPr>
        <w:tab/>
        <w:t>31</w:t>
      </w:r>
      <w:r w:rsidRPr="008754DF">
        <w:rPr>
          <w:webHidden/>
        </w:rPr>
        <w:t>–</w:t>
      </w:r>
      <w:r w:rsidRPr="008325A6">
        <w:rPr>
          <w:webHidden/>
        </w:rPr>
        <w:t>33</w:t>
      </w:r>
      <w:r w:rsidRPr="008325A6">
        <w:rPr>
          <w:webHidden/>
        </w:rPr>
        <w:tab/>
      </w:r>
      <w:r>
        <w:rPr>
          <w:webHidden/>
        </w:rPr>
        <w:t>9</w:t>
      </w:r>
    </w:p>
    <w:p w:rsidR="00126480" w:rsidRPr="0065052A" w:rsidRDefault="00126480" w:rsidP="00126480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8325A6">
        <w:tab/>
      </w:r>
      <w:r w:rsidRPr="008325A6">
        <w:tab/>
      </w:r>
      <w:r w:rsidRPr="008754DF">
        <w:rPr>
          <w:lang w:val="en-GB"/>
        </w:rPr>
        <w:t>D</w:t>
      </w:r>
      <w:r w:rsidRPr="0065052A">
        <w:t>.</w:t>
      </w:r>
      <w:r w:rsidRPr="0065052A">
        <w:tab/>
      </w:r>
      <w:r w:rsidRPr="009F4559">
        <w:t>Паразитный свет и обесцвечивание</w:t>
      </w:r>
      <w:r w:rsidRPr="0065052A">
        <w:t xml:space="preserve"> </w:t>
      </w:r>
      <w:r w:rsidRPr="0065052A">
        <w:rPr>
          <w:webHidden/>
        </w:rPr>
        <w:tab/>
      </w:r>
      <w:r w:rsidRPr="0065052A">
        <w:rPr>
          <w:webHidden/>
        </w:rPr>
        <w:tab/>
        <w:t>34</w:t>
      </w:r>
      <w:r w:rsidRPr="0065052A">
        <w:rPr>
          <w:webHidden/>
        </w:rPr>
        <w:tab/>
      </w:r>
      <w:r>
        <w:rPr>
          <w:webHidden/>
        </w:rPr>
        <w:t>10</w:t>
      </w:r>
    </w:p>
    <w:p w:rsidR="00126480" w:rsidRPr="0065052A" w:rsidRDefault="00126480" w:rsidP="00126480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65052A">
        <w:tab/>
      </w:r>
      <w:r w:rsidRPr="008754DF">
        <w:rPr>
          <w:lang w:val="en-GB"/>
        </w:rPr>
        <w:t>X</w:t>
      </w:r>
      <w:r w:rsidRPr="0065052A">
        <w:t>.</w:t>
      </w:r>
      <w:r w:rsidRPr="0065052A">
        <w:tab/>
      </w:r>
      <w:r w:rsidRPr="009F4559">
        <w:t xml:space="preserve">Новые вопросы и запоздалое представление документов </w:t>
      </w:r>
      <w:r>
        <w:br/>
      </w:r>
      <w:r>
        <w:tab/>
      </w:r>
      <w:r>
        <w:tab/>
      </w:r>
      <w:r w:rsidRPr="009F4559">
        <w:t>(пункт 9 повестки дня)</w:t>
      </w:r>
      <w:r w:rsidRPr="0065052A">
        <w:t xml:space="preserve"> </w:t>
      </w:r>
      <w:r w:rsidRPr="0065052A">
        <w:rPr>
          <w:webHidden/>
        </w:rPr>
        <w:tab/>
      </w:r>
      <w:r w:rsidRPr="0065052A">
        <w:rPr>
          <w:webHidden/>
        </w:rPr>
        <w:tab/>
        <w:t>35</w:t>
      </w:r>
      <w:r w:rsidRPr="008754DF">
        <w:rPr>
          <w:webHidden/>
        </w:rPr>
        <w:t>–</w:t>
      </w:r>
      <w:r w:rsidRPr="0065052A">
        <w:rPr>
          <w:webHidden/>
        </w:rPr>
        <w:t>36</w:t>
      </w:r>
      <w:r w:rsidRPr="0065052A">
        <w:rPr>
          <w:webHidden/>
        </w:rPr>
        <w:tab/>
      </w:r>
      <w:r>
        <w:rPr>
          <w:webHidden/>
        </w:rPr>
        <w:t>10</w:t>
      </w:r>
    </w:p>
    <w:p w:rsidR="00126480" w:rsidRPr="0065052A" w:rsidRDefault="00126480" w:rsidP="00126480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65052A">
        <w:tab/>
      </w:r>
      <w:r w:rsidRPr="008754DF">
        <w:rPr>
          <w:lang w:val="en-GB"/>
        </w:rPr>
        <w:t>XI</w:t>
      </w:r>
      <w:r w:rsidRPr="0065052A">
        <w:t>.</w:t>
      </w:r>
      <w:r w:rsidRPr="0065052A">
        <w:tab/>
      </w:r>
      <w:r w:rsidRPr="009F4559">
        <w:t>Направления будущей деятельности GRE (пункт 10 повестки дня)</w:t>
      </w:r>
      <w:r w:rsidRPr="0065052A">
        <w:rPr>
          <w:webHidden/>
        </w:rPr>
        <w:tab/>
      </w:r>
      <w:r w:rsidRPr="0065052A">
        <w:rPr>
          <w:webHidden/>
        </w:rPr>
        <w:tab/>
        <w:t>37</w:t>
      </w:r>
      <w:r w:rsidRPr="0065052A">
        <w:rPr>
          <w:webHidden/>
        </w:rPr>
        <w:tab/>
      </w:r>
      <w:r>
        <w:rPr>
          <w:webHidden/>
        </w:rPr>
        <w:t>10</w:t>
      </w:r>
    </w:p>
    <w:p w:rsidR="00126480" w:rsidRPr="0065052A" w:rsidRDefault="00126480" w:rsidP="00126480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  <w:rPr>
          <w:webHidden/>
        </w:rPr>
      </w:pPr>
      <w:r w:rsidRPr="0065052A">
        <w:tab/>
      </w:r>
      <w:r w:rsidRPr="008754DF">
        <w:rPr>
          <w:lang w:val="en-GB"/>
        </w:rPr>
        <w:t>XII</w:t>
      </w:r>
      <w:r w:rsidRPr="0065052A">
        <w:t>.</w:t>
      </w:r>
      <w:r w:rsidRPr="0065052A">
        <w:tab/>
      </w:r>
      <w:r w:rsidRPr="009F4559">
        <w:t xml:space="preserve">Предварительная повестка дня следующей сессии </w:t>
      </w:r>
      <w:r>
        <w:br/>
      </w:r>
      <w:r>
        <w:tab/>
      </w:r>
      <w:r>
        <w:tab/>
      </w:r>
      <w:r w:rsidRPr="009F4559">
        <w:t>(пункт 11 повестки дня)</w:t>
      </w:r>
      <w:r w:rsidRPr="0065052A">
        <w:rPr>
          <w:webHidden/>
        </w:rPr>
        <w:tab/>
      </w:r>
      <w:r w:rsidRPr="0065052A">
        <w:rPr>
          <w:webHidden/>
        </w:rPr>
        <w:tab/>
        <w:t>38</w:t>
      </w:r>
      <w:r w:rsidRPr="0065052A">
        <w:rPr>
          <w:webHidden/>
        </w:rPr>
        <w:tab/>
      </w:r>
      <w:r>
        <w:rPr>
          <w:webHidden/>
        </w:rPr>
        <w:t>10</w:t>
      </w:r>
    </w:p>
    <w:p w:rsidR="00126480" w:rsidRPr="0065052A" w:rsidRDefault="00126480" w:rsidP="00126480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>
        <w:t>Приложения</w:t>
      </w:r>
    </w:p>
    <w:p w:rsidR="00126480" w:rsidRPr="0065052A" w:rsidRDefault="00126480" w:rsidP="00126480">
      <w:pPr>
        <w:tabs>
          <w:tab w:val="right" w:pos="850"/>
          <w:tab w:val="left" w:pos="1134"/>
          <w:tab w:val="left" w:pos="1559"/>
          <w:tab w:val="left" w:pos="1984"/>
          <w:tab w:val="left" w:leader="dot" w:pos="8929"/>
          <w:tab w:val="right" w:pos="9638"/>
        </w:tabs>
        <w:spacing w:after="120"/>
        <w:rPr>
          <w:webHidden/>
        </w:rPr>
      </w:pPr>
      <w:r w:rsidRPr="0065052A">
        <w:tab/>
      </w:r>
      <w:r w:rsidRPr="008754DF">
        <w:rPr>
          <w:lang w:val="en-GB"/>
        </w:rPr>
        <w:t>I</w:t>
      </w:r>
      <w:r w:rsidRPr="0065052A">
        <w:t>.</w:t>
      </w:r>
      <w:r w:rsidRPr="0065052A">
        <w:rPr>
          <w:webHidden/>
        </w:rPr>
        <w:tab/>
      </w:r>
      <w:r w:rsidRPr="009F4559">
        <w:t>Перечень неофициальных документов, рассмотренных в ходе сессии</w:t>
      </w:r>
      <w:r w:rsidRPr="0065052A">
        <w:rPr>
          <w:webHidden/>
        </w:rPr>
        <w:tab/>
      </w:r>
      <w:r w:rsidRPr="0065052A">
        <w:rPr>
          <w:webHidden/>
        </w:rPr>
        <w:tab/>
        <w:t>1</w:t>
      </w:r>
      <w:r>
        <w:rPr>
          <w:webHidden/>
        </w:rPr>
        <w:t>1</w:t>
      </w:r>
    </w:p>
    <w:p w:rsidR="00126480" w:rsidRPr="00827172" w:rsidRDefault="00126480" w:rsidP="00126480">
      <w:pPr>
        <w:tabs>
          <w:tab w:val="right" w:pos="850"/>
          <w:tab w:val="left" w:pos="1134"/>
          <w:tab w:val="left" w:pos="1559"/>
          <w:tab w:val="left" w:pos="1984"/>
          <w:tab w:val="left" w:leader="dot" w:pos="8929"/>
          <w:tab w:val="right" w:pos="9638"/>
        </w:tabs>
        <w:spacing w:after="120"/>
        <w:rPr>
          <w:webHidden/>
        </w:rPr>
      </w:pPr>
      <w:r w:rsidRPr="0065052A">
        <w:tab/>
      </w:r>
      <w:r w:rsidRPr="008754DF">
        <w:rPr>
          <w:lang w:val="en-GB"/>
        </w:rPr>
        <w:t>II</w:t>
      </w:r>
      <w:r w:rsidRPr="00827172">
        <w:t>.</w:t>
      </w:r>
      <w:r w:rsidRPr="00827172">
        <w:rPr>
          <w:webHidden/>
        </w:rPr>
        <w:tab/>
      </w:r>
      <w:r w:rsidRPr="009F4559">
        <w:t>Принятые поправки к поправкам серии 06 к</w:t>
      </w:r>
      <w:r>
        <w:rPr>
          <w:lang w:val="en-US"/>
        </w:rPr>
        <w:t> </w:t>
      </w:r>
      <w:r w:rsidRPr="009F4559">
        <w:t>Правилам № 48 (пункт 19 доклада)</w:t>
      </w:r>
      <w:r>
        <w:tab/>
      </w:r>
      <w:r w:rsidRPr="00827172">
        <w:rPr>
          <w:webHidden/>
        </w:rPr>
        <w:tab/>
        <w:t>1</w:t>
      </w:r>
      <w:r>
        <w:rPr>
          <w:webHidden/>
        </w:rPr>
        <w:t>3</w:t>
      </w:r>
    </w:p>
    <w:p w:rsidR="00126480" w:rsidRPr="00827172" w:rsidRDefault="00126480" w:rsidP="00126480">
      <w:pPr>
        <w:tabs>
          <w:tab w:val="right" w:pos="850"/>
          <w:tab w:val="left" w:pos="1134"/>
          <w:tab w:val="left" w:pos="1559"/>
          <w:tab w:val="left" w:pos="1984"/>
          <w:tab w:val="left" w:leader="dot" w:pos="8929"/>
          <w:tab w:val="right" w:pos="9638"/>
        </w:tabs>
        <w:spacing w:after="120"/>
      </w:pPr>
      <w:r w:rsidRPr="00827172">
        <w:tab/>
      </w:r>
      <w:r w:rsidRPr="008754DF">
        <w:rPr>
          <w:lang w:val="en-GB"/>
        </w:rPr>
        <w:t>III</w:t>
      </w:r>
      <w:r w:rsidRPr="00827172">
        <w:t>.</w:t>
      </w:r>
      <w:r w:rsidRPr="00827172">
        <w:rPr>
          <w:webHidden/>
        </w:rPr>
        <w:tab/>
      </w:r>
      <w:r w:rsidRPr="009F4559">
        <w:t xml:space="preserve">Принятые предложения по поправкам к правилам № 6, 48 и 50, касающимся </w:t>
      </w:r>
      <w:r>
        <w:br/>
      </w:r>
      <w:r>
        <w:tab/>
      </w:r>
      <w:r>
        <w:tab/>
      </w:r>
      <w:r w:rsidRPr="009F4559">
        <w:t>указателей поворота с последовательной активацией (пункт 22 доклада)</w:t>
      </w:r>
      <w:r w:rsidRPr="00827172">
        <w:rPr>
          <w:webHidden/>
        </w:rPr>
        <w:tab/>
      </w:r>
      <w:r>
        <w:rPr>
          <w:webHidden/>
        </w:rPr>
        <w:tab/>
      </w:r>
      <w:r w:rsidRPr="00827172">
        <w:rPr>
          <w:webHidden/>
        </w:rPr>
        <w:t>1</w:t>
      </w:r>
      <w:r w:rsidR="00785364">
        <w:rPr>
          <w:webHidden/>
        </w:rPr>
        <w:t>5</w:t>
      </w:r>
    </w:p>
    <w:p w:rsidR="00126480" w:rsidRPr="00827172" w:rsidRDefault="00126480" w:rsidP="00126480">
      <w:pPr>
        <w:tabs>
          <w:tab w:val="right" w:pos="850"/>
          <w:tab w:val="left" w:pos="1134"/>
          <w:tab w:val="left" w:pos="1559"/>
          <w:tab w:val="left" w:pos="1984"/>
          <w:tab w:val="left" w:leader="dot" w:pos="8929"/>
          <w:tab w:val="right" w:pos="9638"/>
        </w:tabs>
        <w:spacing w:after="120"/>
      </w:pPr>
      <w:r w:rsidRPr="00827172">
        <w:tab/>
      </w:r>
      <w:r w:rsidRPr="008754DF">
        <w:rPr>
          <w:lang w:val="en-GB"/>
        </w:rPr>
        <w:t>IV</w:t>
      </w:r>
      <w:r w:rsidRPr="00827172">
        <w:t>.</w:t>
      </w:r>
      <w:r w:rsidRPr="00827172">
        <w:rPr>
          <w:webHidden/>
        </w:rPr>
        <w:tab/>
      </w:r>
      <w:r w:rsidRPr="009F4559">
        <w:t>Принятые поправки, касающиеся источников света, к</w:t>
      </w:r>
      <w:r>
        <w:rPr>
          <w:lang w:val="en-US"/>
        </w:rPr>
        <w:t> </w:t>
      </w:r>
      <w:r w:rsidRPr="009F4559">
        <w:t xml:space="preserve">правилам № 4, 6, 7, </w:t>
      </w:r>
      <w:r>
        <w:br/>
      </w:r>
      <w:r>
        <w:tab/>
      </w:r>
      <w:r>
        <w:tab/>
      </w:r>
      <w:r w:rsidRPr="009F4559">
        <w:t xml:space="preserve">19, 23, 38, 48, 50, 77, 87, 91, 98, 112, 113, 119 и 123 на основе документа </w:t>
      </w:r>
      <w:r>
        <w:br/>
      </w:r>
      <w:r>
        <w:tab/>
      </w:r>
      <w:r>
        <w:tab/>
      </w:r>
      <w:r w:rsidRPr="009F4559">
        <w:t>ECE/TRANS/WP.29/GRE/2017/7 (пункт 32 доклада)</w:t>
      </w:r>
      <w:r w:rsidRPr="00827172">
        <w:rPr>
          <w:webHidden/>
        </w:rPr>
        <w:tab/>
      </w:r>
      <w:r w:rsidRPr="00827172">
        <w:t xml:space="preserve"> </w:t>
      </w:r>
      <w:r w:rsidRPr="00827172">
        <w:rPr>
          <w:webHidden/>
        </w:rPr>
        <w:tab/>
      </w:r>
      <w:r>
        <w:rPr>
          <w:webHidden/>
        </w:rPr>
        <w:t>20</w:t>
      </w:r>
    </w:p>
    <w:p w:rsidR="00126480" w:rsidRPr="00827172" w:rsidRDefault="00126480" w:rsidP="00126480">
      <w:pPr>
        <w:tabs>
          <w:tab w:val="right" w:pos="850"/>
          <w:tab w:val="left" w:pos="1134"/>
          <w:tab w:val="left" w:pos="1559"/>
          <w:tab w:val="left" w:pos="1984"/>
          <w:tab w:val="left" w:leader="dot" w:pos="8929"/>
          <w:tab w:val="right" w:pos="9638"/>
        </w:tabs>
        <w:spacing w:after="120"/>
      </w:pPr>
      <w:r w:rsidRPr="00827172">
        <w:tab/>
      </w:r>
      <w:r w:rsidRPr="008754DF">
        <w:rPr>
          <w:lang w:val="en-GB"/>
        </w:rPr>
        <w:t>V</w:t>
      </w:r>
      <w:r w:rsidRPr="00E97742">
        <w:t>.</w:t>
      </w:r>
      <w:r w:rsidRPr="00E97742">
        <w:rPr>
          <w:webHidden/>
        </w:rPr>
        <w:tab/>
      </w:r>
      <w:r w:rsidRPr="009F4559">
        <w:t>Принятое предложение по поправкам серии 02 к</w:t>
      </w:r>
      <w:r>
        <w:rPr>
          <w:lang w:val="en-US"/>
        </w:rPr>
        <w:t> </w:t>
      </w:r>
      <w:r w:rsidRPr="009F4559">
        <w:t xml:space="preserve">Правилам № 113 на основе </w:t>
      </w:r>
      <w:r>
        <w:br/>
      </w:r>
      <w:r>
        <w:tab/>
      </w:r>
      <w:r>
        <w:tab/>
      </w:r>
      <w:r w:rsidRPr="009F4559">
        <w:t>документа ECE/TRANS/WP.29/2017/39 (пункт 35 доклада)</w:t>
      </w:r>
      <w:r w:rsidRPr="00E97742">
        <w:rPr>
          <w:webHidden/>
        </w:rPr>
        <w:tab/>
      </w:r>
      <w:r w:rsidRPr="00E97742">
        <w:rPr>
          <w:webHidden/>
        </w:rPr>
        <w:tab/>
      </w:r>
      <w:r w:rsidRPr="00827172">
        <w:rPr>
          <w:webHidden/>
        </w:rPr>
        <w:t>2</w:t>
      </w:r>
      <w:r>
        <w:rPr>
          <w:webHidden/>
        </w:rPr>
        <w:t>6</w:t>
      </w:r>
    </w:p>
    <w:p w:rsidR="00126480" w:rsidRDefault="00126480" w:rsidP="00126480">
      <w:pPr>
        <w:tabs>
          <w:tab w:val="right" w:pos="850"/>
          <w:tab w:val="left" w:pos="1134"/>
          <w:tab w:val="left" w:pos="1559"/>
          <w:tab w:val="left" w:pos="1984"/>
          <w:tab w:val="left" w:leader="dot" w:pos="8929"/>
          <w:tab w:val="right" w:pos="9638"/>
        </w:tabs>
        <w:spacing w:after="120"/>
      </w:pPr>
      <w:r w:rsidRPr="00827172">
        <w:tab/>
      </w:r>
      <w:hyperlink w:anchor="_Toc369772241" w:history="1">
        <w:r w:rsidRPr="00E97742">
          <w:rPr>
            <w:rStyle w:val="Hyperlink"/>
            <w:color w:val="auto"/>
            <w:lang w:val="en-GB"/>
          </w:rPr>
          <w:t>VI</w:t>
        </w:r>
        <w:r w:rsidRPr="00E97742">
          <w:rPr>
            <w:rStyle w:val="Hyperlink"/>
            <w:color w:val="auto"/>
          </w:rPr>
          <w:t>.</w:t>
        </w:r>
        <w:r w:rsidRPr="00827172">
          <w:rPr>
            <w:rStyle w:val="Hyperlink"/>
            <w:webHidden/>
          </w:rPr>
          <w:tab/>
        </w:r>
      </w:hyperlink>
      <w:r w:rsidRPr="009F4559">
        <w:t>Неофициальные группы GRE</w:t>
      </w:r>
      <w:r w:rsidRPr="00827172">
        <w:rPr>
          <w:webHidden/>
        </w:rPr>
        <w:tab/>
      </w:r>
      <w:r w:rsidRPr="00827172">
        <w:tab/>
      </w:r>
      <w:r>
        <w:t>30</w:t>
      </w:r>
    </w:p>
    <w:p w:rsidR="00F5541B" w:rsidRPr="00827172" w:rsidRDefault="00F5541B" w:rsidP="00F5541B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</w:p>
    <w:p w:rsidR="009F4559" w:rsidRPr="009F4559" w:rsidRDefault="009F4559" w:rsidP="00F5541B">
      <w:pPr>
        <w:pStyle w:val="HChGR"/>
        <w:pageBreakBefore/>
      </w:pPr>
      <w:bookmarkStart w:id="3" w:name="_Toc360526240"/>
      <w:bookmarkStart w:id="4" w:name="_Toc360526836"/>
      <w:bookmarkStart w:id="5" w:name="_Toc369772205"/>
      <w:r w:rsidRPr="009F4559">
        <w:lastRenderedPageBreak/>
        <w:tab/>
        <w:t>I.</w:t>
      </w:r>
      <w:r w:rsidRPr="009F4559">
        <w:tab/>
        <w:t>Участники</w:t>
      </w:r>
      <w:bookmarkEnd w:id="3"/>
      <w:bookmarkEnd w:id="4"/>
      <w:bookmarkEnd w:id="5"/>
    </w:p>
    <w:p w:rsidR="009F4559" w:rsidRPr="009F4559" w:rsidRDefault="009F4559" w:rsidP="009F4559">
      <w:pPr>
        <w:pStyle w:val="SingleTxtGR"/>
      </w:pPr>
      <w:r w:rsidRPr="009F4559">
        <w:t>1.</w:t>
      </w:r>
      <w:r w:rsidRPr="009F4559">
        <w:tab/>
        <w:t>Рабочая</w:t>
      </w:r>
      <w:r w:rsidRPr="005B7D73">
        <w:rPr>
          <w:spacing w:val="2"/>
        </w:rPr>
        <w:t xml:space="preserve"> группа по вопросам освещения и световой сигнализации (GRE) провела свою семьдесят седьмую сессию 4−7 апреля 2017 года в Женеве под председательством г-на М. Локюфьера (Бельгия). В соответствии с правилом 1 </w:t>
      </w:r>
      <w:r w:rsidRPr="009F4559">
        <w:t>а) правил процедуры Всемирного форума для согласования правил в области транспортных средств (WP.29) (TRANS/WP.29/690, ECE/TRANS/WP.29/690/</w:t>
      </w:r>
      <w:r w:rsidR="00BF3896">
        <w:t xml:space="preserve"> </w:t>
      </w:r>
      <w:r w:rsidRPr="009F4559">
        <w:t>Amend.1 и 2) в работе сессии приняли участие эксперты от следующих стран: Австрии, Венгрии, Вьетнама, Германии, Индии, Испании, Италии, Китая, Ла</w:t>
      </w:r>
      <w:r w:rsidRPr="009F4559">
        <w:t>т</w:t>
      </w:r>
      <w:r w:rsidRPr="009F4559">
        <w:t>вии, Люксембурга, Нидерландов, Норвегии, Польши, Республики Корея, Ро</w:t>
      </w:r>
      <w:r w:rsidRPr="009F4559">
        <w:t>с</w:t>
      </w:r>
      <w:r w:rsidRPr="009F4559">
        <w:t>сийской Федерации, Соединенного Королевства Великобритании и Северной Ирландии, Финляндии, Франции, Чешской Республики и Японии. В</w:t>
      </w:r>
      <w:r w:rsidR="001276E8">
        <w:rPr>
          <w:lang w:val="en-US"/>
        </w:rPr>
        <w:t> </w:t>
      </w:r>
      <w:r w:rsidRPr="009F4559">
        <w:t>ее работе участвовали эксперт от Европейской комиссии (ЕК), а также эксперты от сл</w:t>
      </w:r>
      <w:r w:rsidRPr="009F4559">
        <w:t>е</w:t>
      </w:r>
      <w:r w:rsidRPr="009F4559">
        <w:t>дующих неправительственных организаций: Европейской ассоциации поста</w:t>
      </w:r>
      <w:r w:rsidRPr="009F4559">
        <w:t>в</w:t>
      </w:r>
      <w:r w:rsidRPr="009F4559">
        <w:t>щиков автомобильных деталей (КСАОД), Международной группы экспертов по вопросам автомобильного освещения и световой сигнализации (БРГ), Межд</w:t>
      </w:r>
      <w:r w:rsidRPr="009F4559">
        <w:t>у</w:t>
      </w:r>
      <w:r w:rsidRPr="009F4559">
        <w:t>народной электротехнической комиссии (МЭК), Международной ассоциации заводов</w:t>
      </w:r>
      <w:r w:rsidR="006E3A29">
        <w:t xml:space="preserve"> – </w:t>
      </w:r>
      <w:r w:rsidRPr="009F4559">
        <w:t>изготовителей мотоциклов (МАЗМ), Международной организации предприятий автомобильной промышленности (МОПАП) и Общества автом</w:t>
      </w:r>
      <w:r w:rsidRPr="009F4559">
        <w:t>о</w:t>
      </w:r>
      <w:r w:rsidRPr="009F4559">
        <w:t>бильных инженеров (ОАИ).</w:t>
      </w:r>
    </w:p>
    <w:p w:rsidR="009F4559" w:rsidRPr="009F4559" w:rsidRDefault="009F4559" w:rsidP="00672DBE">
      <w:pPr>
        <w:pStyle w:val="HChGR"/>
      </w:pPr>
      <w:r w:rsidRPr="009F4559">
        <w:tab/>
        <w:t>II.</w:t>
      </w:r>
      <w:r w:rsidRPr="009F4559">
        <w:tab/>
        <w:t>Утверждение повестки дня (пункт 1 повестки дня)</w:t>
      </w:r>
      <w:bookmarkStart w:id="6" w:name="_Toc360525455"/>
      <w:bookmarkStart w:id="7" w:name="_Toc360526241"/>
      <w:bookmarkStart w:id="8" w:name="_Toc360526837"/>
      <w:bookmarkStart w:id="9" w:name="_Toc369772206"/>
      <w:bookmarkEnd w:id="6"/>
      <w:bookmarkEnd w:id="7"/>
      <w:bookmarkEnd w:id="8"/>
      <w:bookmarkEnd w:id="9"/>
    </w:p>
    <w:p w:rsidR="009F4559" w:rsidRPr="009F4559" w:rsidRDefault="009F4559" w:rsidP="001276E8">
      <w:pPr>
        <w:pStyle w:val="SingleTxtGR"/>
        <w:ind w:left="2835" w:hanging="1701"/>
      </w:pPr>
      <w:r w:rsidRPr="009F4559">
        <w:rPr>
          <w:i/>
        </w:rPr>
        <w:t>Документация</w:t>
      </w:r>
      <w:r w:rsidRPr="009F4559">
        <w:t xml:space="preserve">: </w:t>
      </w:r>
      <w:r w:rsidRPr="009F4559">
        <w:tab/>
        <w:t xml:space="preserve">ECE/TRANS/WP.29/GRE/2017/1, </w:t>
      </w:r>
      <w:r w:rsidR="001276E8">
        <w:br/>
      </w:r>
      <w:r w:rsidRPr="009F4559">
        <w:t>неофициальные документы GRE-77-01 и GRE-77-18</w:t>
      </w:r>
    </w:p>
    <w:p w:rsidR="009F4559" w:rsidRPr="009F4559" w:rsidRDefault="009F4559" w:rsidP="009F4559">
      <w:pPr>
        <w:pStyle w:val="SingleTxtGR"/>
      </w:pPr>
      <w:r w:rsidRPr="009F4559">
        <w:t>2.</w:t>
      </w:r>
      <w:r w:rsidRPr="009F4559">
        <w:tab/>
        <w:t>GRE рассмотрела и утвердила предлагаемую повестку дня семьдесят седьмой сессии (ECE/TRANS/WP.29/GRE/2017/1), воспроизведенную в док</w:t>
      </w:r>
      <w:r w:rsidRPr="009F4559">
        <w:t>у</w:t>
      </w:r>
      <w:r w:rsidRPr="009F4559">
        <w:t>менте GRE-77-01, вместе с неофициальными документами, распространенными в ходе сессии.</w:t>
      </w:r>
    </w:p>
    <w:p w:rsidR="009F4559" w:rsidRPr="009F4559" w:rsidRDefault="009F4559" w:rsidP="009F4559">
      <w:pPr>
        <w:pStyle w:val="SingleTxtGR"/>
        <w:rPr>
          <w:bCs/>
        </w:rPr>
      </w:pPr>
      <w:r w:rsidRPr="009F4559">
        <w:t>3.</w:t>
      </w:r>
      <w:r w:rsidRPr="009F4559">
        <w:tab/>
        <w:t>Перечень неофициальных документов содержится в приложении I к настоящему докладу. Перечень неофициальных групп GRE приведен в прил</w:t>
      </w:r>
      <w:r w:rsidRPr="009F4559">
        <w:t>о</w:t>
      </w:r>
      <w:r w:rsidRPr="009F4559">
        <w:t>жении VI к настоящему докладу.</w:t>
      </w:r>
    </w:p>
    <w:p w:rsidR="009F4559" w:rsidRPr="009F4559" w:rsidRDefault="009F4559" w:rsidP="009F4559">
      <w:pPr>
        <w:pStyle w:val="SingleTxtGR"/>
      </w:pPr>
      <w:r w:rsidRPr="009F4559">
        <w:t>4.</w:t>
      </w:r>
      <w:r w:rsidRPr="009F4559">
        <w:tab/>
        <w:t>GRE приняла к сведению основные вопросы, рассмотренные на сессиях WP.29 в ноябре 2016 года и марте 2017 года, а также предельный срок пре</w:t>
      </w:r>
      <w:r w:rsidRPr="009F4559">
        <w:t>д</w:t>
      </w:r>
      <w:r w:rsidRPr="009F4559">
        <w:t>ставления официальных документов (28 июля 2017 года) к сессии GRE в октя</w:t>
      </w:r>
      <w:r w:rsidRPr="009F4559">
        <w:t>б</w:t>
      </w:r>
      <w:r w:rsidRPr="009F4559">
        <w:t>ре 2017 года (GRE-77-18).</w:t>
      </w:r>
    </w:p>
    <w:p w:rsidR="009F4559" w:rsidRPr="009F4559" w:rsidRDefault="009F4559" w:rsidP="00672DBE">
      <w:pPr>
        <w:pStyle w:val="HChGR"/>
      </w:pPr>
      <w:r w:rsidRPr="009F4559">
        <w:tab/>
        <w:t>III.</w:t>
      </w:r>
      <w:r w:rsidRPr="009F4559">
        <w:tab/>
        <w:t>Соглашение 1998 года – глобальные технические правила: разработка (пункт 2 повестки дня)</w:t>
      </w:r>
      <w:bookmarkStart w:id="10" w:name="_Toc369772207"/>
      <w:bookmarkEnd w:id="10"/>
    </w:p>
    <w:p w:rsidR="009F4559" w:rsidRPr="009F4559" w:rsidRDefault="009F4559" w:rsidP="009F4559">
      <w:pPr>
        <w:pStyle w:val="SingleTxtGR"/>
      </w:pPr>
      <w:r w:rsidRPr="009F4559">
        <w:t>5.</w:t>
      </w:r>
      <w:r w:rsidRPr="009F4559">
        <w:tab/>
        <w:t>Эксперт от БРГ подчеркнул растущую заинтересованность в согласов</w:t>
      </w:r>
      <w:r w:rsidRPr="009F4559">
        <w:t>а</w:t>
      </w:r>
      <w:r w:rsidRPr="009F4559">
        <w:t>нии норм, касающихся освещения и световой сигнализации, у стран, которые не являются Договаривающимися сторонами Соглашения 1958 года, включая, в</w:t>
      </w:r>
      <w:r w:rsidR="001276E8">
        <w:rPr>
          <w:lang w:val="en-US"/>
        </w:rPr>
        <w:t> </w:t>
      </w:r>
      <w:r w:rsidRPr="009F4559">
        <w:t>частности, Индию, Китай и Соединенные Штаты Америки. По его словам, этап 2 осуществляемого процесса упрощения правил в области освещения и световой сигнализации может послужить также стимулом к разработке новых глобальных технических правил (ГТП),</w:t>
      </w:r>
      <w:r w:rsidR="001276E8">
        <w:t xml:space="preserve"> </w:t>
      </w:r>
      <w:r w:rsidRPr="009F4559">
        <w:t>касающихся, например, адаптивного луча дальнего света. Эксперты от ЕК и ОАИ поддержали эту точку зрения и призвали к сотрудничеству с Национальной администрацией безопасности д</w:t>
      </w:r>
      <w:r w:rsidRPr="009F4559">
        <w:t>о</w:t>
      </w:r>
      <w:r w:rsidRPr="009F4559">
        <w:t xml:space="preserve">рожного движения США. </w:t>
      </w:r>
    </w:p>
    <w:p w:rsidR="009F4559" w:rsidRPr="009F4559" w:rsidRDefault="009F4559" w:rsidP="00672DBE">
      <w:pPr>
        <w:pStyle w:val="HChGR"/>
      </w:pPr>
      <w:r w:rsidRPr="009F4559">
        <w:lastRenderedPageBreak/>
        <w:tab/>
        <w:t>IV.</w:t>
      </w:r>
      <w:r w:rsidRPr="009F4559">
        <w:tab/>
        <w:t>Соглашение 1997 года − предписания: разработка (пункт 3 повестки дня)</w:t>
      </w:r>
    </w:p>
    <w:p w:rsidR="009F4559" w:rsidRPr="009F4559" w:rsidRDefault="00C73D92" w:rsidP="009F4559">
      <w:pPr>
        <w:pStyle w:val="SingleTxtGR"/>
      </w:pPr>
      <w:r>
        <w:t>6.</w:t>
      </w:r>
      <w:r w:rsidR="009F4559" w:rsidRPr="009F4559">
        <w:tab/>
        <w:t>Никакой новой информации по данному пункту повестки дня предста</w:t>
      </w:r>
      <w:r w:rsidR="009F4559" w:rsidRPr="009F4559">
        <w:t>в</w:t>
      </w:r>
      <w:r w:rsidR="009F4559" w:rsidRPr="009F4559">
        <w:t>лено не было.</w:t>
      </w:r>
    </w:p>
    <w:p w:rsidR="009F4559" w:rsidRPr="009F4559" w:rsidRDefault="009F4559" w:rsidP="00672DBE">
      <w:pPr>
        <w:pStyle w:val="HChGR"/>
      </w:pPr>
      <w:r w:rsidRPr="009F4559">
        <w:tab/>
        <w:t>V.</w:t>
      </w:r>
      <w:r w:rsidRPr="009F4559">
        <w:tab/>
        <w:t>Упрощение правил, касающихся устройств освещения и световой сигнализации (пункт 4 повестки дня)</w:t>
      </w:r>
    </w:p>
    <w:p w:rsidR="009F4559" w:rsidRPr="009F4559" w:rsidRDefault="009F4559" w:rsidP="001276E8">
      <w:pPr>
        <w:pStyle w:val="SingleTxtGR"/>
        <w:ind w:left="2835" w:hanging="1701"/>
        <w:jc w:val="left"/>
      </w:pPr>
      <w:r w:rsidRPr="009F4559">
        <w:rPr>
          <w:i/>
        </w:rPr>
        <w:t>Документация</w:t>
      </w:r>
      <w:r w:rsidRPr="009F4559">
        <w:t>:</w:t>
      </w:r>
      <w:r w:rsidRPr="009F4559">
        <w:tab/>
        <w:t xml:space="preserve">неофициальные документы GRE-77-05, GRE-77-07 </w:t>
      </w:r>
      <w:r w:rsidR="001276E8">
        <w:br/>
      </w:r>
      <w:r w:rsidRPr="009F4559">
        <w:t>и GRE-77-32</w:t>
      </w:r>
    </w:p>
    <w:p w:rsidR="009F4559" w:rsidRPr="009F4559" w:rsidRDefault="009F4559" w:rsidP="009F4559">
      <w:pPr>
        <w:pStyle w:val="SingleTxtGR"/>
      </w:pPr>
      <w:r w:rsidRPr="009F4559">
        <w:t>7.</w:t>
      </w:r>
      <w:r w:rsidRPr="009F4559">
        <w:tab/>
        <w:t>От имени неофициальной рабочей группы по упрощению правил, каса</w:t>
      </w:r>
      <w:r w:rsidRPr="009F4559">
        <w:t>ю</w:t>
      </w:r>
      <w:r w:rsidRPr="009F4559">
        <w:t>щихся освещения и световой сигнализации (НРГ по УПОС), эксперт от БРГ с</w:t>
      </w:r>
      <w:r w:rsidRPr="009F4559">
        <w:t>о</w:t>
      </w:r>
      <w:r w:rsidRPr="009F4559">
        <w:t>общил о ходе и графике работы НРГ по УПОС (GRE-77-32). GRE отметила, что три новых проекта правил, касающихся устройств световой сигнализ</w:t>
      </w:r>
      <w:r w:rsidRPr="009F4559">
        <w:t>а</w:t>
      </w:r>
      <w:r w:rsidRPr="009F4559">
        <w:t>ции</w:t>
      </w:r>
      <w:r w:rsidR="00387668">
        <w:rPr>
          <w:lang w:val="en-US"/>
        </w:rPr>
        <w:t> </w:t>
      </w:r>
      <w:r w:rsidRPr="009F4559">
        <w:t>(УСС), устройств освещения дорог (УОД) и светоотражающих устройств</w:t>
      </w:r>
      <w:r w:rsidR="00387668">
        <w:rPr>
          <w:lang w:val="en-US"/>
        </w:rPr>
        <w:t> </w:t>
      </w:r>
      <w:r w:rsidRPr="009F4559">
        <w:t>(СОУ), будут в официальном порядке представлены к следующей сессии GRE. Эксперт от ЕК настоятельно призвал экспертов GRE изучить эти обстоятельные документы и безотлагательно передать НРГ по УПО их замеч</w:t>
      </w:r>
      <w:r w:rsidRPr="009F4559">
        <w:t>а</w:t>
      </w:r>
      <w:r w:rsidRPr="009F4559">
        <w:t>ния и материалы для беспрепятственного утверждения проекта правил на сл</w:t>
      </w:r>
      <w:r w:rsidRPr="009F4559">
        <w:t>е</w:t>
      </w:r>
      <w:r w:rsidRPr="009F4559">
        <w:t xml:space="preserve">дующей сессии. </w:t>
      </w:r>
    </w:p>
    <w:p w:rsidR="009F4559" w:rsidRPr="009F4559" w:rsidRDefault="009F4559" w:rsidP="009F4559">
      <w:pPr>
        <w:pStyle w:val="SingleTxtGR"/>
      </w:pPr>
      <w:r w:rsidRPr="009F4559">
        <w:t>8.</w:t>
      </w:r>
      <w:r w:rsidRPr="009F4559">
        <w:tab/>
        <w:t>GRE приняла к сведению подготовленный НРГ по УПО первый проект правил, касающихся УСС (GRE-77-05). GRE выразила НРГ по УПО призн</w:t>
      </w:r>
      <w:r w:rsidRPr="009F4559">
        <w:t>а</w:t>
      </w:r>
      <w:r w:rsidRPr="009F4559">
        <w:t>тельность за высокое качество этого документа и представила некоторые пре</w:t>
      </w:r>
      <w:r w:rsidRPr="009F4559">
        <w:t>д</w:t>
      </w:r>
      <w:r w:rsidRPr="009F4559">
        <w:t>варительные замечания по его содержанию. В частности, GRE запросила д</w:t>
      </w:r>
      <w:r w:rsidRPr="009F4559">
        <w:t>о</w:t>
      </w:r>
      <w:r w:rsidRPr="009F4559">
        <w:t>полнительные разъяснения о том, каким образом процесс внесения поправок, включая поправки новых серий и знаки официального утверждения, будет ре</w:t>
      </w:r>
      <w:r w:rsidRPr="009F4559">
        <w:t>а</w:t>
      </w:r>
      <w:r w:rsidRPr="009F4559">
        <w:t>лизовываться применительно к новым правилам, касающимся УСС и охват</w:t>
      </w:r>
      <w:r w:rsidRPr="009F4559">
        <w:t>ы</w:t>
      </w:r>
      <w:r w:rsidRPr="009F4559">
        <w:t xml:space="preserve">вающим множество различных устройств. </w:t>
      </w:r>
    </w:p>
    <w:p w:rsidR="009F4559" w:rsidRPr="009F4559" w:rsidRDefault="009F4559" w:rsidP="009F4559">
      <w:pPr>
        <w:pStyle w:val="SingleTxtGR"/>
      </w:pPr>
      <w:r w:rsidRPr="009F4559">
        <w:t>9.</w:t>
      </w:r>
      <w:r w:rsidRPr="009F4559">
        <w:tab/>
        <w:t>БРГ предложила GRE подготовить руководящие указания относительно порядка работы с предложениями БРГ, представленными на предыдущей се</w:t>
      </w:r>
      <w:r w:rsidRPr="009F4559">
        <w:t>с</w:t>
      </w:r>
      <w:r w:rsidRPr="009F4559">
        <w:t>сии GRE, и отложила до нынешней сессии принятие окончательного решения в контексте разработки трех новых правил (GRE-77-07). Эти предложения пред</w:t>
      </w:r>
      <w:r w:rsidRPr="009F4559">
        <w:t>у</w:t>
      </w:r>
      <w:r w:rsidRPr="009F4559">
        <w:t>сматривают включение альтернативных источников света на светоизлучающих диодах (СИД) в правила, касающиеся УСС (см. пункт 13 ниже), включение и</w:t>
      </w:r>
      <w:r w:rsidRPr="009F4559">
        <w:t>с</w:t>
      </w:r>
      <w:r w:rsidRPr="009F4559">
        <w:t>точников света на СИД в Правила, касающиеся УОД (пункт 15 ниже), и упр</w:t>
      </w:r>
      <w:r w:rsidRPr="009F4559">
        <w:t>о</w:t>
      </w:r>
      <w:r w:rsidRPr="009F4559">
        <w:t>щение требований в отношении соответствия производства (СП) для адапти</w:t>
      </w:r>
      <w:r w:rsidRPr="009F4559">
        <w:t>в</w:t>
      </w:r>
      <w:r w:rsidRPr="009F4559">
        <w:t>ных систем переднего освещения (АСПО) (пункт 28 ниже). GRE решила вкл</w:t>
      </w:r>
      <w:r w:rsidRPr="009F4559">
        <w:t>ю</w:t>
      </w:r>
      <w:r w:rsidRPr="009F4559">
        <w:t>чить эти предложения – в случае их принятия – в проекты новых правил по</w:t>
      </w:r>
      <w:r w:rsidR="008356B9">
        <w:rPr>
          <w:lang w:val="en-US"/>
        </w:rPr>
        <w:t> </w:t>
      </w:r>
      <w:r w:rsidRPr="009F4559">
        <w:t>УОД и УСС, с тем чтобы официально представить весь пакет на следующей сессии GRE.</w:t>
      </w:r>
    </w:p>
    <w:p w:rsidR="009F4559" w:rsidRPr="009F4559" w:rsidRDefault="009F4559" w:rsidP="009F4559">
      <w:pPr>
        <w:pStyle w:val="SingleTxtGR"/>
      </w:pPr>
      <w:r w:rsidRPr="009F4559">
        <w:t>10.</w:t>
      </w:r>
      <w:r w:rsidRPr="009F4559">
        <w:tab/>
        <w:t>Эксперт от БРГ кратко изложил свои взгляды относительно этапа 2 пр</w:t>
      </w:r>
      <w:r w:rsidRPr="009F4559">
        <w:t>о</w:t>
      </w:r>
      <w:r w:rsidRPr="009F4559">
        <w:t>цесса УПО, указав, что для Китая он послужит уникальной возможностью с точки зрения гармонизации текущего процесса упрощения правил на наци</w:t>
      </w:r>
      <w:r w:rsidRPr="009F4559">
        <w:t>о</w:t>
      </w:r>
      <w:r w:rsidRPr="009F4559">
        <w:t xml:space="preserve">нальном уровне с требованиями УПО. </w:t>
      </w:r>
    </w:p>
    <w:p w:rsidR="009F4559" w:rsidRPr="009F4559" w:rsidRDefault="009F4559" w:rsidP="00672DBE">
      <w:pPr>
        <w:pStyle w:val="HChGR"/>
      </w:pPr>
      <w:r w:rsidRPr="009F4559">
        <w:tab/>
        <w:t>VI.</w:t>
      </w:r>
      <w:r w:rsidRPr="009F4559">
        <w:tab/>
        <w:t>Правила № 37 (лампы накаливания), 99</w:t>
      </w:r>
      <w:r w:rsidR="008356B9">
        <w:rPr>
          <w:lang w:val="en-US"/>
        </w:rPr>
        <w:t> </w:t>
      </w:r>
      <w:r w:rsidRPr="009F4559">
        <w:t>(газоразрядные источники света), 128 (источники света на светоизлучающих диодах) и Сводная резолюция по общей спецификации для категорий источников света (пункт 5 повестки дня)</w:t>
      </w:r>
    </w:p>
    <w:p w:rsidR="009F4559" w:rsidRPr="00366DA0" w:rsidRDefault="009F4559" w:rsidP="00187194">
      <w:pPr>
        <w:pStyle w:val="SingleTxtGR"/>
        <w:keepNext/>
        <w:keepLines/>
        <w:ind w:left="2835" w:hanging="1701"/>
        <w:jc w:val="left"/>
      </w:pPr>
      <w:r w:rsidRPr="009F4559">
        <w:rPr>
          <w:i/>
        </w:rPr>
        <w:t>Документация</w:t>
      </w:r>
      <w:r w:rsidRPr="009F4559">
        <w:t>:</w:t>
      </w:r>
      <w:r w:rsidRPr="009F4559">
        <w:tab/>
        <w:t xml:space="preserve">ECE/TRANS/WP.29/2016/111, ECE/TRANS/WP.29/GRE/2017/2, ECE/TRANS/WP.29/GRE/2017/3, ECE/TRANS/WP.29/GRE/2017/4, ECE/TRANS/WP.29/GRE/2017/5, ECE/TRANS/WP.29/GRE/2017/6, </w:t>
      </w:r>
      <w:r w:rsidR="00366DA0">
        <w:br/>
      </w:r>
      <w:r w:rsidRPr="009F4559">
        <w:t>неофициальные</w:t>
      </w:r>
      <w:r w:rsidRPr="00366DA0">
        <w:t xml:space="preserve"> </w:t>
      </w:r>
      <w:r w:rsidRPr="009F4559">
        <w:t>документы</w:t>
      </w:r>
      <w:r w:rsidRPr="00366DA0">
        <w:t xml:space="preserve"> </w:t>
      </w:r>
      <w:r w:rsidRPr="00366DA0">
        <w:rPr>
          <w:lang w:val="fr-FR"/>
        </w:rPr>
        <w:t>GRE</w:t>
      </w:r>
      <w:r w:rsidRPr="00366DA0">
        <w:t xml:space="preserve">-77-02, </w:t>
      </w:r>
      <w:r w:rsidRPr="00366DA0">
        <w:rPr>
          <w:lang w:val="fr-FR"/>
        </w:rPr>
        <w:t>GRE</w:t>
      </w:r>
      <w:r w:rsidRPr="00366DA0">
        <w:t xml:space="preserve">-77-03, </w:t>
      </w:r>
      <w:r w:rsidR="00366DA0">
        <w:br/>
      </w:r>
      <w:r w:rsidRPr="00366DA0">
        <w:rPr>
          <w:lang w:val="fr-FR"/>
        </w:rPr>
        <w:t>GRE</w:t>
      </w:r>
      <w:r w:rsidRPr="00366DA0">
        <w:t xml:space="preserve">-77-04, </w:t>
      </w:r>
      <w:r w:rsidRPr="00366DA0">
        <w:rPr>
          <w:lang w:val="fr-FR"/>
        </w:rPr>
        <w:t>GRE</w:t>
      </w:r>
      <w:r w:rsidRPr="00366DA0">
        <w:t xml:space="preserve">-77-07, </w:t>
      </w:r>
      <w:r w:rsidRPr="00366DA0">
        <w:rPr>
          <w:lang w:val="fr-FR"/>
        </w:rPr>
        <w:t>GRE</w:t>
      </w:r>
      <w:r w:rsidRPr="00366DA0">
        <w:t xml:space="preserve">-77-12, </w:t>
      </w:r>
      <w:r w:rsidRPr="00366DA0">
        <w:rPr>
          <w:lang w:val="fr-FR"/>
        </w:rPr>
        <w:t>GRE</w:t>
      </w:r>
      <w:r w:rsidRPr="00366DA0">
        <w:t xml:space="preserve">-77-13, </w:t>
      </w:r>
      <w:r w:rsidRPr="00366DA0">
        <w:rPr>
          <w:lang w:val="fr-FR"/>
        </w:rPr>
        <w:t>GRE</w:t>
      </w:r>
      <w:r w:rsidRPr="00366DA0">
        <w:t xml:space="preserve">-77-14, </w:t>
      </w:r>
      <w:r w:rsidRPr="00366DA0">
        <w:rPr>
          <w:lang w:val="fr-FR"/>
        </w:rPr>
        <w:t>GRE</w:t>
      </w:r>
      <w:r w:rsidRPr="00366DA0">
        <w:t xml:space="preserve">-77-15, </w:t>
      </w:r>
      <w:r w:rsidRPr="00366DA0">
        <w:rPr>
          <w:lang w:val="fr-FR"/>
        </w:rPr>
        <w:t>GRE</w:t>
      </w:r>
      <w:r w:rsidRPr="00366DA0">
        <w:t xml:space="preserve">-77-22, </w:t>
      </w:r>
      <w:r w:rsidRPr="00366DA0">
        <w:rPr>
          <w:lang w:val="fr-FR"/>
        </w:rPr>
        <w:t>GRE</w:t>
      </w:r>
      <w:r w:rsidRPr="00366DA0">
        <w:t xml:space="preserve">-77-29 </w:t>
      </w:r>
    </w:p>
    <w:p w:rsidR="009F4559" w:rsidRPr="009F4559" w:rsidRDefault="009F4559" w:rsidP="009F4559">
      <w:pPr>
        <w:pStyle w:val="SingleTxtGR"/>
      </w:pPr>
      <w:r w:rsidRPr="009F4559">
        <w:t>11.</w:t>
      </w:r>
      <w:r w:rsidRPr="009F4559">
        <w:tab/>
        <w:t>GRE приняла к сведению, что WP.29 на его сессии в ноябре 2016 года принял Сводную резолюцию по общей спецификации для категорий источников света (ECE/TRANS/WP.29/2016/111), обозначив ее как СР.5. Эта резолюция вступит в силу в июне 2017 года одновременно с соответствующими поправк</w:t>
      </w:r>
      <w:r w:rsidRPr="009F4559">
        <w:t>а</w:t>
      </w:r>
      <w:r w:rsidRPr="009F4559">
        <w:t xml:space="preserve">ми к правилам № 37, 99 и 128. </w:t>
      </w:r>
    </w:p>
    <w:p w:rsidR="009F4559" w:rsidRPr="009F4559" w:rsidRDefault="009F4559" w:rsidP="009F4559">
      <w:pPr>
        <w:pStyle w:val="SingleTxtGR"/>
      </w:pPr>
      <w:r w:rsidRPr="009F4559">
        <w:t>12.</w:t>
      </w:r>
      <w:r w:rsidRPr="009F4559">
        <w:tab/>
        <w:t>Эксперт от БРГ представил предложения по поправкам к Прав</w:t>
      </w:r>
      <w:r w:rsidRPr="009F4559">
        <w:t>и</w:t>
      </w:r>
      <w:r w:rsidRPr="009F4559">
        <w:t>лам</w:t>
      </w:r>
      <w:r w:rsidR="008356B9">
        <w:rPr>
          <w:lang w:val="en-US"/>
        </w:rPr>
        <w:t> </w:t>
      </w:r>
      <w:r w:rsidRPr="009F4559">
        <w:t>№</w:t>
      </w:r>
      <w:r w:rsidR="008356B9">
        <w:rPr>
          <w:lang w:val="en-US"/>
        </w:rPr>
        <w:t> </w:t>
      </w:r>
      <w:r w:rsidRPr="009F4559">
        <w:t>128 и Сводной резолюции (СР.5), предусматривающие введение предп</w:t>
      </w:r>
      <w:r w:rsidRPr="009F4559">
        <w:t>и</w:t>
      </w:r>
      <w:r w:rsidRPr="009F4559">
        <w:t>саний и технических требований к испытаниям для альтернативных источников света на светоизлучающих диодах (СИД), а также нескольких новых категорий альтернативных</w:t>
      </w:r>
      <w:r w:rsidRPr="00BF3896">
        <w:rPr>
          <w:spacing w:val="2"/>
        </w:rPr>
        <w:t xml:space="preserve"> светодиодных источников света (ECE/TRANS/WP.29/</w:t>
      </w:r>
      <w:r w:rsidR="008356B9" w:rsidRPr="00BF3896">
        <w:rPr>
          <w:spacing w:val="2"/>
        </w:rPr>
        <w:t xml:space="preserve"> </w:t>
      </w:r>
      <w:r w:rsidRPr="00BF3896">
        <w:rPr>
          <w:spacing w:val="2"/>
        </w:rPr>
        <w:t>GRE/2017/2, ECE/TRANS/WP.29/GRE/2017/3, GRE-77-02, GRE-77-03, GRE-77-15, GRE-77-22). Э</w:t>
      </w:r>
      <w:r w:rsidRPr="009F4559">
        <w:t>ти предложения сопровождались общими поправками к прав</w:t>
      </w:r>
      <w:r w:rsidRPr="009F4559">
        <w:t>и</w:t>
      </w:r>
      <w:r w:rsidRPr="009F4559">
        <w:t>лам</w:t>
      </w:r>
      <w:r w:rsidR="00BF3896">
        <w:t> </w:t>
      </w:r>
      <w:r w:rsidRPr="009F4559">
        <w:t>№ 48, 53, 74 и 86 и требованиями об альтернативных источниках света на СИД (ECE/TRANS/WP.29/GRE/2017/4). Эксперт от БРГ пояснил, что предлаг</w:t>
      </w:r>
      <w:r w:rsidRPr="009F4559">
        <w:t>а</w:t>
      </w:r>
      <w:r w:rsidRPr="009F4559">
        <w:t xml:space="preserve">емый подход основан на следующих принципах: </w:t>
      </w:r>
    </w:p>
    <w:p w:rsidR="009F4559" w:rsidRPr="00C73D92" w:rsidRDefault="009F4559" w:rsidP="00C73D92">
      <w:pPr>
        <w:pStyle w:val="Bullet1GR"/>
      </w:pPr>
      <w:r w:rsidRPr="009F4559">
        <w:t>огн</w:t>
      </w:r>
      <w:r w:rsidRPr="00C73D92">
        <w:t>и могут официально утверждаться с источником света с нитью накала и соответствующим альтернативным светодиодным источником света при установке в том же патроне при условии обеспечения эквивалентных ф</w:t>
      </w:r>
      <w:r w:rsidRPr="00C73D92">
        <w:t>о</w:t>
      </w:r>
      <w:r w:rsidRPr="00C73D92">
        <w:t>тометрических характеристик;</w:t>
      </w:r>
    </w:p>
    <w:p w:rsidR="009F4559" w:rsidRPr="009F4559" w:rsidRDefault="009F4559" w:rsidP="00C73D92">
      <w:pPr>
        <w:pStyle w:val="Bullet1GR"/>
      </w:pPr>
      <w:r w:rsidRPr="00C73D92">
        <w:t>огн</w:t>
      </w:r>
      <w:r w:rsidRPr="009F4559">
        <w:t>и, оснащенные альтернативными светодиодными источниками света, должны испытываться как с лампой накаливания, так и с альтернативным светодиодным источником света.</w:t>
      </w:r>
    </w:p>
    <w:p w:rsidR="009F4559" w:rsidRPr="009F4559" w:rsidRDefault="009F4559" w:rsidP="009F4559">
      <w:pPr>
        <w:pStyle w:val="SingleTxtGR"/>
      </w:pPr>
      <w:r w:rsidRPr="009F4559">
        <w:t>13.</w:t>
      </w:r>
      <w:r w:rsidRPr="009F4559">
        <w:tab/>
        <w:t>GRE также приняла к сведению предложение БРГ о включении требов</w:t>
      </w:r>
      <w:r w:rsidRPr="009F4559">
        <w:t>а</w:t>
      </w:r>
      <w:r w:rsidRPr="009F4559">
        <w:t>ний к альтернативным светодиодным источникам света в новые правила, кас</w:t>
      </w:r>
      <w:r w:rsidRPr="009F4559">
        <w:t>а</w:t>
      </w:r>
      <w:r w:rsidRPr="009F4559">
        <w:t xml:space="preserve">ющиеся УСС (GRE-77-15). </w:t>
      </w:r>
    </w:p>
    <w:p w:rsidR="009F4559" w:rsidRPr="009F4559" w:rsidRDefault="009F4559" w:rsidP="009F4559">
      <w:pPr>
        <w:pStyle w:val="SingleTxtGR"/>
      </w:pPr>
      <w:r w:rsidRPr="009F4559">
        <w:t>14.</w:t>
      </w:r>
      <w:r w:rsidRPr="009F4559">
        <w:tab/>
        <w:t xml:space="preserve">Эксперт от Германии высказал замечания по предложениям БРГ </w:t>
      </w:r>
      <w:r w:rsidR="008356B9">
        <w:br/>
      </w:r>
      <w:r w:rsidRPr="009F4559">
        <w:t>(GRE-77-29). GRE в целом поддерживает предложение о том, чтобы допустить использование альтернативных светодиодных источников света с учетом их в</w:t>
      </w:r>
      <w:r w:rsidRPr="009F4559">
        <w:t>ы</w:t>
      </w:r>
      <w:r w:rsidRPr="009F4559">
        <w:t>сокой энергоэффективности. В то же время эксперты от Германии, Испании, Нидерландов, Соединенного Королевства и Франции указали на риски, связа</w:t>
      </w:r>
      <w:r w:rsidRPr="009F4559">
        <w:t>н</w:t>
      </w:r>
      <w:r w:rsidRPr="009F4559">
        <w:t>ные с неправильным использованием предлагаемых на рынке светодиодных устройств в огнях, которые не были утверждены для таких источников света, и</w:t>
      </w:r>
      <w:r w:rsidR="0045333E">
        <w:t> </w:t>
      </w:r>
      <w:r w:rsidRPr="009F4559">
        <w:t>отметили необходимость разработки комплекса профилактических мер, вкл</w:t>
      </w:r>
      <w:r w:rsidRPr="009F4559">
        <w:t>ю</w:t>
      </w:r>
      <w:r w:rsidRPr="009F4559">
        <w:t>чая повышение информированности общественности и уведомление потреб</w:t>
      </w:r>
      <w:r w:rsidRPr="009F4559">
        <w:t>и</w:t>
      </w:r>
      <w:r w:rsidRPr="009F4559">
        <w:t>телей. Сомнения возникли также в связи с некоторыми техн</w:t>
      </w:r>
      <w:r w:rsidR="009214FB">
        <w:t>ическими вопрос</w:t>
      </w:r>
      <w:r w:rsidR="009214FB">
        <w:t>а</w:t>
      </w:r>
      <w:r w:rsidR="009214FB">
        <w:t>ми, в частности</w:t>
      </w:r>
      <w:r w:rsidRPr="009F4559">
        <w:t xml:space="preserve"> в контексте предлагаемой маркировки G для СИД с коррелир</w:t>
      </w:r>
      <w:r w:rsidRPr="009F4559">
        <w:t>о</w:t>
      </w:r>
      <w:r w:rsidRPr="009F4559">
        <w:t>ванной цветовой температурой ниже 3 000 K. GRE предложила БРГ рассмо</w:t>
      </w:r>
      <w:r w:rsidRPr="009F4559">
        <w:t>т</w:t>
      </w:r>
      <w:r w:rsidRPr="009F4559">
        <w:t xml:space="preserve">реть поступившие замечания и решила продолжить обсуждение этого вопроса на своей следующей сессии на основе пересмотренных документов, которые будут подготовлены БРГ. </w:t>
      </w:r>
    </w:p>
    <w:p w:rsidR="009F4559" w:rsidRPr="009F4559" w:rsidRDefault="009F4559" w:rsidP="009F4559">
      <w:pPr>
        <w:pStyle w:val="SingleTxtGR"/>
      </w:pPr>
      <w:r w:rsidRPr="009F4559">
        <w:t>15.</w:t>
      </w:r>
      <w:r w:rsidRPr="009F4559">
        <w:tab/>
        <w:t>Эксперт от БРГ представил предложения по поправкам к Прав</w:t>
      </w:r>
      <w:r w:rsidRPr="009F4559">
        <w:t>и</w:t>
      </w:r>
      <w:r w:rsidRPr="009F4559">
        <w:t>лам</w:t>
      </w:r>
      <w:r w:rsidR="008356B9">
        <w:rPr>
          <w:lang w:val="en-US"/>
        </w:rPr>
        <w:t> </w:t>
      </w:r>
      <w:r w:rsidRPr="009F4559">
        <w:t>№</w:t>
      </w:r>
      <w:r w:rsidR="008356B9">
        <w:rPr>
          <w:lang w:val="en-US"/>
        </w:rPr>
        <w:t> </w:t>
      </w:r>
      <w:r w:rsidRPr="009F4559">
        <w:t>128 и Сводной резолюции (СР.5), предусматривающим введение новой категории источника света на СИД для переднего освещения (ECE/TRANS/</w:t>
      </w:r>
      <w:r w:rsidR="008356B9" w:rsidRPr="008356B9">
        <w:t xml:space="preserve"> </w:t>
      </w:r>
      <w:r w:rsidRPr="009F4559">
        <w:t>WP.29/GRE/2017/5, ECE/TRANS/WP.29/GRE/2017/6, GRE-77-04, GRE-77-12, GRE-77-13). Он пояснил, что БРГ отказалась от концепции «температурного класса» и вместо этого предложила ввести максимальную температуру испыт</w:t>
      </w:r>
      <w:r w:rsidRPr="009F4559">
        <w:t>а</w:t>
      </w:r>
      <w:r w:rsidRPr="009F4559">
        <w:t>ния для обеспечения взаимозаменяемости утвержденных источников света ра</w:t>
      </w:r>
      <w:r w:rsidRPr="009F4559">
        <w:t>з</w:t>
      </w:r>
      <w:r w:rsidRPr="009F4559">
        <w:t>личных изготовителей. GRE также приняла к сведению предложение БРГ о</w:t>
      </w:r>
      <w:r w:rsidR="00366DA0">
        <w:rPr>
          <w:lang w:val="en-US"/>
        </w:rPr>
        <w:t> </w:t>
      </w:r>
      <w:r w:rsidRPr="009F4559">
        <w:t>включении альтернативных светодиодных источников света в новые Правила, касающиеся УОД (GRE-77-14).</w:t>
      </w:r>
    </w:p>
    <w:p w:rsidR="009F4559" w:rsidRPr="009F4559" w:rsidRDefault="009F4559" w:rsidP="009F4559">
      <w:pPr>
        <w:pStyle w:val="SingleTxtGR"/>
      </w:pPr>
      <w:r w:rsidRPr="009F4559">
        <w:t>16.</w:t>
      </w:r>
      <w:r w:rsidRPr="009F4559">
        <w:tab/>
        <w:t>Эксперт от Соединенного Королевства просил выделить дополнительное время для изучения этих предложений. Эксперт от Германии предложил изм</w:t>
      </w:r>
      <w:r w:rsidRPr="009F4559">
        <w:t>е</w:t>
      </w:r>
      <w:r w:rsidRPr="009F4559">
        <w:t xml:space="preserve">нения, касающиеся понимания «максимальной температуры испытания». GRE решила вернуться к этому вопросу на следующей сессии, предложив экспертам GRE изучить эти предложения и направить свои замечания БРГ и НРГ по УПО. </w:t>
      </w:r>
    </w:p>
    <w:p w:rsidR="009F4559" w:rsidRPr="009F4559" w:rsidRDefault="009F4559" w:rsidP="00672DBE">
      <w:pPr>
        <w:pStyle w:val="HChGR"/>
      </w:pPr>
      <w:r w:rsidRPr="009F4559">
        <w:tab/>
        <w:t>VII.</w:t>
      </w:r>
      <w:r w:rsidRPr="009F4559">
        <w:tab/>
        <w:t>Правила № 48 (установка устройств освещения и</w:t>
      </w:r>
      <w:r w:rsidR="008356B9">
        <w:rPr>
          <w:lang w:val="en-US"/>
        </w:rPr>
        <w:t> </w:t>
      </w:r>
      <w:r w:rsidRPr="009F4559">
        <w:t>световой сигнализации) (пункт 6 повестки дня)</w:t>
      </w:r>
    </w:p>
    <w:p w:rsidR="009F4559" w:rsidRPr="009F4559" w:rsidRDefault="009F4559" w:rsidP="00C73D92">
      <w:pPr>
        <w:pStyle w:val="H1GR"/>
      </w:pPr>
      <w:r w:rsidRPr="009F4559">
        <w:tab/>
        <w:t>A.</w:t>
      </w:r>
      <w:r w:rsidRPr="009F4559">
        <w:tab/>
        <w:t>Предложения по поправкам к поправкам серий 05 и 06</w:t>
      </w:r>
    </w:p>
    <w:p w:rsidR="009F4559" w:rsidRPr="009F4559" w:rsidRDefault="009F4559" w:rsidP="00366DA0">
      <w:pPr>
        <w:pStyle w:val="SingleTxtGR"/>
        <w:ind w:left="2835" w:hanging="1701"/>
        <w:jc w:val="left"/>
      </w:pPr>
      <w:r w:rsidRPr="009F4559">
        <w:rPr>
          <w:i/>
        </w:rPr>
        <w:t>Документация</w:t>
      </w:r>
      <w:r w:rsidRPr="009F4559">
        <w:t xml:space="preserve">: </w:t>
      </w:r>
      <w:r w:rsidRPr="009F4559">
        <w:tab/>
        <w:t xml:space="preserve">ECE/TRANS/WP.29/GRE/2016/24, </w:t>
      </w:r>
      <w:r w:rsidR="00366DA0">
        <w:br/>
      </w:r>
      <w:r w:rsidRPr="009F4559">
        <w:t xml:space="preserve">неофициальные документы GRE-77-06-Rev.1, </w:t>
      </w:r>
      <w:r w:rsidR="001079C3">
        <w:br/>
      </w:r>
      <w:r w:rsidRPr="009F4559">
        <w:t xml:space="preserve">GRE-77-10-Rev.1, GRE-77-16, GRE-77-20, GRE-77-23, </w:t>
      </w:r>
      <w:r w:rsidR="001079C3">
        <w:br/>
      </w:r>
      <w:r w:rsidRPr="009F4559">
        <w:t>GRE-77-24, GRE-77-25</w:t>
      </w:r>
      <w:r w:rsidRPr="009F4559">
        <w:tab/>
      </w:r>
    </w:p>
    <w:p w:rsidR="009F4559" w:rsidRPr="009F4559" w:rsidRDefault="009F4559" w:rsidP="009F4559">
      <w:pPr>
        <w:pStyle w:val="SingleTxtGR"/>
      </w:pPr>
      <w:r w:rsidRPr="009F4559">
        <w:t>17.</w:t>
      </w:r>
      <w:r w:rsidRPr="009F4559">
        <w:tab/>
        <w:t>Эксперт от БРГ предложил прояснить несоответствия и исправить терм</w:t>
      </w:r>
      <w:r w:rsidRPr="009F4559">
        <w:t>и</w:t>
      </w:r>
      <w:r w:rsidRPr="009F4559">
        <w:t>ны в поправках к поправкам серий 05 и 06 к Правилам №</w:t>
      </w:r>
      <w:r w:rsidRPr="009F4559">
        <w:rPr>
          <w:lang w:val="en-US"/>
        </w:rPr>
        <w:t> </w:t>
      </w:r>
      <w:r w:rsidRPr="009F4559">
        <w:t>48 (ECE/TRANS/</w:t>
      </w:r>
      <w:r w:rsidR="00E51021" w:rsidRPr="00E51021">
        <w:t xml:space="preserve"> </w:t>
      </w:r>
      <w:r w:rsidRPr="009F4559">
        <w:t>WP.29/GRE/2016/24). GRE в целом поддержала эти предложения, но обратилась к БРГ с просьбой распространить их – в сотрудничестве с МОПАП – также на поправки серий 03 и 04 и представить пересмотренный документ для рассмо</w:t>
      </w:r>
      <w:r w:rsidRPr="009F4559">
        <w:t>т</w:t>
      </w:r>
      <w:r w:rsidRPr="009F4559">
        <w:t xml:space="preserve">рения на следующей сессии. </w:t>
      </w:r>
    </w:p>
    <w:p w:rsidR="009F4559" w:rsidRPr="009F4559" w:rsidRDefault="009F4559" w:rsidP="009F4559">
      <w:pPr>
        <w:pStyle w:val="SingleTxtGR"/>
      </w:pPr>
      <w:r w:rsidRPr="009F4559">
        <w:t>18.</w:t>
      </w:r>
      <w:r w:rsidRPr="009F4559">
        <w:tab/>
        <w:t>Эксперт от МОПАП представил пересмотренное предложение с целью определения и описания аспектов функционирование внешних индикаторов с</w:t>
      </w:r>
      <w:r w:rsidRPr="009F4559">
        <w:t>о</w:t>
      </w:r>
      <w:r w:rsidRPr="009F4559">
        <w:t>стояния систем охранной сигнализации транспортных средств, систем охра</w:t>
      </w:r>
      <w:r w:rsidRPr="009F4559">
        <w:t>н</w:t>
      </w:r>
      <w:r w:rsidRPr="009F4559">
        <w:t>ной сигнализации и иммобилизаторов, о которых говорится в правилах № 97 и</w:t>
      </w:r>
      <w:r w:rsidR="008356B9">
        <w:rPr>
          <w:lang w:val="en-US"/>
        </w:rPr>
        <w:t> </w:t>
      </w:r>
      <w:r w:rsidRPr="009F4559">
        <w:t>116 (GRE-77-25). Некоторые эксперты вновь выразили обеспокоенность в связи с тем, что в предлагаемом тексте, с одной стороны, указывается, что т</w:t>
      </w:r>
      <w:r w:rsidRPr="009F4559">
        <w:t>а</w:t>
      </w:r>
      <w:r w:rsidRPr="009F4559">
        <w:t>кие индикаторы не считаются огнями, подпадающими под действие Пр</w:t>
      </w:r>
      <w:r w:rsidRPr="009F4559">
        <w:t>а</w:t>
      </w:r>
      <w:r w:rsidRPr="009F4559">
        <w:t>вил</w:t>
      </w:r>
      <w:r w:rsidR="008356B9">
        <w:rPr>
          <w:lang w:val="en-US"/>
        </w:rPr>
        <w:t> </w:t>
      </w:r>
      <w:r w:rsidRPr="009F4559">
        <w:t>№</w:t>
      </w:r>
      <w:r w:rsidR="008356B9">
        <w:rPr>
          <w:lang w:val="en-US"/>
        </w:rPr>
        <w:t> </w:t>
      </w:r>
      <w:r w:rsidRPr="009F4559">
        <w:t>48, а с другой – вводятся требования в отношении этих индикаторов. Из</w:t>
      </w:r>
      <w:r w:rsidR="001079C3">
        <w:noBreakHyphen/>
      </w:r>
      <w:r w:rsidRPr="009F4559">
        <w:t xml:space="preserve">за отсутствия консенсуса по этому вопросу Председатель решил отложить его рассмотрение до следующей сессии. </w:t>
      </w:r>
    </w:p>
    <w:p w:rsidR="009F4559" w:rsidRPr="009F4559" w:rsidRDefault="009F4559" w:rsidP="009F4559">
      <w:pPr>
        <w:pStyle w:val="SingleTxtGR"/>
      </w:pPr>
      <w:r w:rsidRPr="009F4559">
        <w:t>19.</w:t>
      </w:r>
      <w:r w:rsidRPr="009F4559">
        <w:tab/>
        <w:t>Эксперты от Италии, Японии и Чешской Республики предложили п</w:t>
      </w:r>
      <w:r w:rsidRPr="009F4559">
        <w:t>о</w:t>
      </w:r>
      <w:r w:rsidRPr="009F4559">
        <w:t xml:space="preserve">правки к положениям, касающимся автоматического переключения режима дневных ходовых огней (ДХО) на режим фар и обратно, в поправках серии 06 к Правилам № 48 (GRE-77-06-Rev.1 и GRE-77-10-Rev.1). Эксперт от Российской Федерации представил замечания по этим предложениям (GRE-77-23 и </w:t>
      </w:r>
      <w:r w:rsidR="00E51021">
        <w:br/>
      </w:r>
      <w:r w:rsidRPr="009F4559">
        <w:t>GRE-77-24). GRE пришла к выводу, что предлагаемые поправки касаются двух разных вопросов, а именно: i) исключения нескольких подпунктов, которые с</w:t>
      </w:r>
      <w:r w:rsidRPr="009F4559">
        <w:t>о</w:t>
      </w:r>
      <w:r w:rsidRPr="009F4559">
        <w:t>держали переходные положения, предназначенные только для поправок с</w:t>
      </w:r>
      <w:r w:rsidRPr="009F4559">
        <w:t>е</w:t>
      </w:r>
      <w:r w:rsidRPr="009F4559">
        <w:t>рии</w:t>
      </w:r>
      <w:r w:rsidR="008356B9">
        <w:rPr>
          <w:lang w:val="en-US"/>
        </w:rPr>
        <w:t> </w:t>
      </w:r>
      <w:r w:rsidRPr="009F4559">
        <w:t>05, но по недосмотру были сохранены также в поправках серии 06</w:t>
      </w:r>
      <w:r w:rsidR="001079C3">
        <w:t>,</w:t>
      </w:r>
      <w:r w:rsidRPr="009F4559">
        <w:t xml:space="preserve"> и</w:t>
      </w:r>
      <w:r w:rsidR="00E51021">
        <w:rPr>
          <w:lang w:val="en-US"/>
        </w:rPr>
        <w:t> </w:t>
      </w:r>
      <w:r w:rsidRPr="009F4559">
        <w:t>ii)</w:t>
      </w:r>
      <w:r w:rsidR="00E51021">
        <w:rPr>
          <w:lang w:val="en-US"/>
        </w:rPr>
        <w:t> </w:t>
      </w:r>
      <w:r w:rsidRPr="009F4559">
        <w:t>уточнения требований в отношении автоматического переключения реж</w:t>
      </w:r>
      <w:r w:rsidRPr="009F4559">
        <w:t>и</w:t>
      </w:r>
      <w:r w:rsidRPr="009F4559">
        <w:t>ма ДХО на режим фар и обратно. Что касается пункта i), то GRB приняла пре</w:t>
      </w:r>
      <w:r w:rsidRPr="009F4559">
        <w:t>д</w:t>
      </w:r>
      <w:r w:rsidRPr="009F4559">
        <w:t>ложения по поправкам, содержащиеся в приложении II, и просила секретариат представить их WP.29 и AC.1 для рассмотрения и голосования на их сессиях в ноябре 2017 года. В связи с пунктом ii) GRE решила учредить целевую группу для подробного рассмотрения этого вопроса. Эксперты от Нидерландов и МОПАП вызвались выступить в качестве соответственно Председателя и се</w:t>
      </w:r>
      <w:r w:rsidRPr="009F4559">
        <w:t>к</w:t>
      </w:r>
      <w:r w:rsidRPr="009F4559">
        <w:t xml:space="preserve">ретаря целевой группы. </w:t>
      </w:r>
    </w:p>
    <w:p w:rsidR="009F4559" w:rsidRPr="009F4559" w:rsidRDefault="009F4559" w:rsidP="009F4559">
      <w:pPr>
        <w:pStyle w:val="SingleTxtGR"/>
      </w:pPr>
      <w:r w:rsidRPr="009F4559">
        <w:t>20.</w:t>
      </w:r>
      <w:r w:rsidRPr="009F4559">
        <w:tab/>
        <w:t>Эксперт от БРГ предложил уточнить требования в отношении контрол</w:t>
      </w:r>
      <w:r w:rsidRPr="009F4559">
        <w:t>ь</w:t>
      </w:r>
      <w:r w:rsidRPr="009F4559">
        <w:t>ных сигналов, указывающих на несрабатывание различных огней (GRE-77-16). Эксперт от МОПАП представил предложение об обновлении пункта 6.9.8 c уч</w:t>
      </w:r>
      <w:r w:rsidRPr="009F4559">
        <w:t>е</w:t>
      </w:r>
      <w:r w:rsidRPr="009F4559">
        <w:t>том современных общепринятых технологий, обеспечивающих постоянную подсветку приборной панели во время работы двигателя (GRE-77-20). Эксперты от Италии, Нидерландов и Соединенного Королевства заявили об одобрении документа GRE-77-16, выразив, однако, мнение о том, что формулировки док</w:t>
      </w:r>
      <w:r w:rsidRPr="009F4559">
        <w:t>у</w:t>
      </w:r>
      <w:r w:rsidRPr="009F4559">
        <w:t>мента GRE-77-20 нуждаются в усовершенствовании. Эксперты от Германии и ОАИ отметили, что оба предложения содержат ссылку на Правила № 121 и что Рабочую группу по общим предписаниям, касающимся безопасности (GRSG), в</w:t>
      </w:r>
      <w:r w:rsidR="00E51021">
        <w:rPr>
          <w:lang w:val="en-US"/>
        </w:rPr>
        <w:t> </w:t>
      </w:r>
      <w:r w:rsidRPr="009F4559">
        <w:t>ведении которой находятся эти Правила, следует должным образом прои</w:t>
      </w:r>
      <w:r w:rsidRPr="009F4559">
        <w:t>н</w:t>
      </w:r>
      <w:r w:rsidRPr="009F4559">
        <w:t xml:space="preserve">формировать. И наконец, GRE предложила БРГ и МОПАП принять во внимание вышеизложенные замечания и представить к следующей сессии официальный документ. </w:t>
      </w:r>
    </w:p>
    <w:p w:rsidR="009F4559" w:rsidRPr="009F4559" w:rsidRDefault="009F4559" w:rsidP="00C73D92">
      <w:pPr>
        <w:pStyle w:val="H1GR"/>
      </w:pPr>
      <w:r w:rsidRPr="009F4559">
        <w:tab/>
        <w:t>B.</w:t>
      </w:r>
      <w:r w:rsidRPr="009F4559">
        <w:tab/>
        <w:t>Прочие предложения по поправкам к Правилам № 48</w:t>
      </w:r>
    </w:p>
    <w:p w:rsidR="009F4559" w:rsidRPr="009F4559" w:rsidRDefault="009F4559" w:rsidP="009F4559">
      <w:pPr>
        <w:pStyle w:val="SingleTxtGR"/>
      </w:pPr>
      <w:r w:rsidRPr="009F4559">
        <w:rPr>
          <w:i/>
        </w:rPr>
        <w:t>Документация</w:t>
      </w:r>
      <w:r w:rsidR="00E51021">
        <w:t>:</w:t>
      </w:r>
      <w:r w:rsidRPr="009F4559">
        <w:tab/>
        <w:t>неофициальный документ GRE-77-27</w:t>
      </w:r>
    </w:p>
    <w:p w:rsidR="009F4559" w:rsidRPr="009F4559" w:rsidRDefault="009F4559" w:rsidP="009F4559">
      <w:pPr>
        <w:pStyle w:val="SingleTxtGR"/>
      </w:pPr>
      <w:r w:rsidRPr="009F4559">
        <w:t>21.</w:t>
      </w:r>
      <w:r w:rsidRPr="009F4559">
        <w:tab/>
        <w:t>Эксперт от Польши в качестве председателя неофициальной рабочей группы по вопросам видимости, ослепления и регулировки фар (НРГ по ВОРФ) представил информацию о деятельности этой НРГ (GRE-77-27). GRE отметила, что на своей следующей сессии ей следует принять решение о продлении ма</w:t>
      </w:r>
      <w:r w:rsidRPr="009F4559">
        <w:t>н</w:t>
      </w:r>
      <w:r w:rsidRPr="009F4559">
        <w:t xml:space="preserve">дата НРГ по ВОРФ. </w:t>
      </w:r>
    </w:p>
    <w:p w:rsidR="009F4559" w:rsidRPr="009F4559" w:rsidRDefault="009F4559" w:rsidP="00672DBE">
      <w:pPr>
        <w:pStyle w:val="HChGR"/>
      </w:pPr>
      <w:r w:rsidRPr="009F4559">
        <w:tab/>
        <w:t>VIII.</w:t>
      </w:r>
      <w:r w:rsidRPr="009F4559">
        <w:tab/>
        <w:t>Другие правила (пункт 7 повестки дня)</w:t>
      </w:r>
    </w:p>
    <w:p w:rsidR="009F4559" w:rsidRPr="009F4559" w:rsidRDefault="009F4559" w:rsidP="00C73D92">
      <w:pPr>
        <w:pStyle w:val="H1GR"/>
      </w:pPr>
      <w:r w:rsidRPr="009F4559">
        <w:tab/>
        <w:t>A.</w:t>
      </w:r>
      <w:r w:rsidRPr="009F4559">
        <w:tab/>
        <w:t>Правила № 6 (указатели поворота) и Правила № 50 (габаритные огни, сигналы торможения, указатели поворота для мопедов и мотоциклов)</w:t>
      </w:r>
    </w:p>
    <w:p w:rsidR="009F4559" w:rsidRPr="009F4559" w:rsidRDefault="009F4559" w:rsidP="00E51021">
      <w:pPr>
        <w:pStyle w:val="SingleTxtGR"/>
        <w:ind w:left="2835" w:hanging="1701"/>
        <w:jc w:val="left"/>
      </w:pPr>
      <w:r w:rsidRPr="009F4559">
        <w:rPr>
          <w:i/>
        </w:rPr>
        <w:t>Документация</w:t>
      </w:r>
      <w:r w:rsidRPr="009F4559">
        <w:t xml:space="preserve">: </w:t>
      </w:r>
      <w:r w:rsidRPr="009F4559">
        <w:tab/>
        <w:t xml:space="preserve">ECE/TRANS/WP.29/GRE/76, пункт 22 и приложение IV, </w:t>
      </w:r>
      <w:r w:rsidR="00E51021">
        <w:br/>
      </w:r>
      <w:r w:rsidRPr="009F4559">
        <w:t>неофициальный документ GRE-76-26-Rev.1</w:t>
      </w:r>
    </w:p>
    <w:p w:rsidR="009F4559" w:rsidRPr="009F4559" w:rsidRDefault="009F4559" w:rsidP="009F4559">
      <w:pPr>
        <w:pStyle w:val="SingleTxtGR"/>
      </w:pPr>
      <w:r w:rsidRPr="009F4559">
        <w:t>22.</w:t>
      </w:r>
      <w:r w:rsidRPr="009F4559">
        <w:tab/>
        <w:t>GRE напомнила о предыдущем рассмотрении предложений по поправкам к правилам № 6 и 50, касающимся указателей поворота с последовательной а</w:t>
      </w:r>
      <w:r w:rsidRPr="009F4559">
        <w:t>к</w:t>
      </w:r>
      <w:r w:rsidRPr="009F4559">
        <w:t>тивацией (ECE/TRANS/WP.29/GRE/76, пункт 22 и приложение IV), и возобн</w:t>
      </w:r>
      <w:r w:rsidRPr="009F4559">
        <w:t>о</w:t>
      </w:r>
      <w:r w:rsidRPr="009F4559">
        <w:t>вила обсуждение вопроса о том, потребуют ли эти предложения новой серии поправок и/или переходных положений. Эксперт от МОПАП указал, что пре</w:t>
      </w:r>
      <w:r w:rsidRPr="009F4559">
        <w:t>д</w:t>
      </w:r>
      <w:r w:rsidRPr="009F4559">
        <w:t>лагаемые поправки включают также требования к установке, которые следует перенести в Правила № 48. С этой целью он представил проект поправок к Правилам № 48, а также пересмотренные предложения по поправкам к прав</w:t>
      </w:r>
      <w:r w:rsidRPr="009F4559">
        <w:t>и</w:t>
      </w:r>
      <w:r w:rsidRPr="009F4559">
        <w:t>лам № 6 и 50, включая новую серию поправок и переходные положения к Пр</w:t>
      </w:r>
      <w:r w:rsidRPr="009F4559">
        <w:t>а</w:t>
      </w:r>
      <w:r w:rsidRPr="009F4559">
        <w:t>вилам № 6 (GRE-76-26-Rev.1). После обстоятельной дискуссии GRE выразила мнение о том, что в поправках новой серии нет необходимости, так как предл</w:t>
      </w:r>
      <w:r w:rsidRPr="009F4559">
        <w:t>а</w:t>
      </w:r>
      <w:r w:rsidRPr="009F4559">
        <w:t>гаемые поправки содержат разъяснения, но не предусматривают введения н</w:t>
      </w:r>
      <w:r w:rsidRPr="009F4559">
        <w:t>о</w:t>
      </w:r>
      <w:r w:rsidRPr="009F4559">
        <w:t>вых требований. В то же время GRE согласилась с тем, что для учета пересмо</w:t>
      </w:r>
      <w:r w:rsidRPr="009F4559">
        <w:t>т</w:t>
      </w:r>
      <w:r w:rsidRPr="009F4559">
        <w:t>ренных положений в процессе проектирования предприятиям отрасли потреб</w:t>
      </w:r>
      <w:r w:rsidRPr="009F4559">
        <w:t>у</w:t>
      </w:r>
      <w:r w:rsidRPr="009F4559">
        <w:t xml:space="preserve">ется переходный период, и решила ввести их в виде дополнения с переходными положениями. GRE приняла предложения по поправкам к правилам № 6, 48 (поправки серий 05 и 06) и 50, содержащиеся в приложении III, и поручила секретариату представить их WP.29 и AC.1 для рассмотрения и голосования на их сессиях в июне 2017 года. </w:t>
      </w:r>
    </w:p>
    <w:p w:rsidR="009F4559" w:rsidRPr="009F4559" w:rsidRDefault="009F4559" w:rsidP="00C73D92">
      <w:pPr>
        <w:pStyle w:val="H1GR"/>
      </w:pPr>
      <w:r w:rsidRPr="009F4559">
        <w:tab/>
        <w:t xml:space="preserve">B. </w:t>
      </w:r>
      <w:r w:rsidRPr="009F4559">
        <w:tab/>
        <w:t>Правила № 10 (электромагнитная совместимость)</w:t>
      </w:r>
    </w:p>
    <w:p w:rsidR="009F4559" w:rsidRPr="009F4559" w:rsidRDefault="009F4559" w:rsidP="009F4559">
      <w:pPr>
        <w:pStyle w:val="SingleTxtGR"/>
      </w:pPr>
      <w:r w:rsidRPr="009F4559">
        <w:rPr>
          <w:i/>
        </w:rPr>
        <w:t>Документация</w:t>
      </w:r>
      <w:r w:rsidRPr="009F4559">
        <w:t>:</w:t>
      </w:r>
      <w:r w:rsidRPr="009F4559">
        <w:tab/>
        <w:t>неофициальные документы GRE-77-21 и GRE-77-28</w:t>
      </w:r>
    </w:p>
    <w:p w:rsidR="009F4559" w:rsidRPr="009F4559" w:rsidRDefault="009F4559" w:rsidP="009F4559">
      <w:pPr>
        <w:pStyle w:val="SingleTxtGR"/>
      </w:pPr>
      <w:r w:rsidRPr="009F4559">
        <w:t>23.</w:t>
      </w:r>
      <w:r w:rsidRPr="009F4559">
        <w:tab/>
        <w:t xml:space="preserve">От имени целевой группы по электромагнитной совместимости (ЦГ по ЭМС) эксперт от МОПАП сообщил о деятельности ЦГ по ЭМС (GRE-77-21). GRE приняла к сведению последний рабочий проект Правил № 10 (GRE-77-28) и отметила, что он будет официально представлен на следующей сессии GRE в октябре 2017 года в качестве проекта дополнения к поправкам серии 05. </w:t>
      </w:r>
      <w:r w:rsidR="001079C3">
        <w:br/>
      </w:r>
      <w:r w:rsidRPr="009F4559">
        <w:t>Эксперт указал, что ЦГ по ЭМС выявила следующие два существенных изм</w:t>
      </w:r>
      <w:r w:rsidRPr="009F4559">
        <w:t>е</w:t>
      </w:r>
      <w:r w:rsidRPr="009F4559">
        <w:t>нения, которые потребуют согласия GRE: i) изменение пределов узкополосного излучения в целях приведения их в соответствие с требованиями стандарта</w:t>
      </w:r>
      <w:r w:rsidR="00E51021">
        <w:rPr>
          <w:lang w:val="en-US"/>
        </w:rPr>
        <w:t> </w:t>
      </w:r>
      <w:r w:rsidRPr="009F4559">
        <w:t xml:space="preserve">12 CISPR, а также ii) исключение пункта 3.1.9. Председатель просил экспертов GRE представить их комментарии по этим вопросам до июля 2017 года. </w:t>
      </w:r>
    </w:p>
    <w:p w:rsidR="009F4559" w:rsidRPr="009F4559" w:rsidRDefault="009F4559" w:rsidP="00C73D92">
      <w:pPr>
        <w:pStyle w:val="H1GR"/>
      </w:pPr>
      <w:r w:rsidRPr="009F4559">
        <w:tab/>
        <w:t>C.</w:t>
      </w:r>
      <w:r w:rsidRPr="009F4559">
        <w:tab/>
        <w:t>Правила № 53 (установка устройств освещения и световой сигнализации для транспортных средств категории L</w:t>
      </w:r>
      <w:r w:rsidRPr="009F4559">
        <w:rPr>
          <w:vertAlign w:val="subscript"/>
        </w:rPr>
        <w:t>3</w:t>
      </w:r>
      <w:r w:rsidRPr="009F4559">
        <w:t>)</w:t>
      </w:r>
    </w:p>
    <w:p w:rsidR="009F4559" w:rsidRPr="009F4559" w:rsidRDefault="009F4559" w:rsidP="00E51021">
      <w:pPr>
        <w:pStyle w:val="SingleTxtGR"/>
        <w:ind w:left="2835" w:hanging="1701"/>
        <w:jc w:val="left"/>
      </w:pPr>
      <w:r w:rsidRPr="009F4559">
        <w:rPr>
          <w:i/>
        </w:rPr>
        <w:t>Документация</w:t>
      </w:r>
      <w:r w:rsidRPr="009F4559">
        <w:t xml:space="preserve">: </w:t>
      </w:r>
      <w:r w:rsidRPr="009F4559">
        <w:tab/>
        <w:t xml:space="preserve">ECE/TRANS/WP.29/GRE/2016/35, </w:t>
      </w:r>
      <w:r w:rsidR="00E51021">
        <w:br/>
      </w:r>
      <w:r w:rsidRPr="009F4559">
        <w:t xml:space="preserve">неофициальные документы GRE-77-08, GRE-77-09, </w:t>
      </w:r>
      <w:r w:rsidR="00E51021">
        <w:br/>
      </w:r>
      <w:r w:rsidRPr="009F4559">
        <w:t xml:space="preserve">GRE-77-17 и GRE-77-19 </w:t>
      </w:r>
    </w:p>
    <w:p w:rsidR="009F4559" w:rsidRPr="009F4559" w:rsidRDefault="009F4559" w:rsidP="009F4559">
      <w:pPr>
        <w:pStyle w:val="SingleTxtGR"/>
      </w:pPr>
      <w:r w:rsidRPr="009F4559">
        <w:t>24.</w:t>
      </w:r>
      <w:r w:rsidRPr="009F4559">
        <w:tab/>
        <w:t>Эксперт от Японии представил дополнительные разъяснения относител</w:t>
      </w:r>
      <w:r w:rsidRPr="009F4559">
        <w:t>ь</w:t>
      </w:r>
      <w:r w:rsidRPr="009F4559">
        <w:t>но переданных его страной предложений по поправкам серии 03 к Прав</w:t>
      </w:r>
      <w:r w:rsidRPr="009F4559">
        <w:t>и</w:t>
      </w:r>
      <w:r w:rsidRPr="009F4559">
        <w:t>лам</w:t>
      </w:r>
      <w:r w:rsidR="001F7CED">
        <w:t> </w:t>
      </w:r>
      <w:r w:rsidRPr="009F4559">
        <w:t>№ 53 в контексте нового требования об автоматическом переключении р</w:t>
      </w:r>
      <w:r w:rsidRPr="009F4559">
        <w:t>е</w:t>
      </w:r>
      <w:r w:rsidRPr="009F4559">
        <w:t xml:space="preserve">жима ДХО на режим фары и обратно (ECE/TRANS/WP.29/GRE/2016/35 и </w:t>
      </w:r>
      <w:r w:rsidR="001F7CED">
        <w:br/>
      </w:r>
      <w:r w:rsidRPr="009F4559">
        <w:t xml:space="preserve">GRE-77-19). Эксперты от Индии и Италии представили свои замечания по этим предложениям (GRE-77-09 и GRE-77-17). </w:t>
      </w:r>
    </w:p>
    <w:p w:rsidR="009F4559" w:rsidRPr="009F4559" w:rsidRDefault="009F4559" w:rsidP="009F4559">
      <w:pPr>
        <w:pStyle w:val="SingleTxtGR"/>
      </w:pPr>
      <w:r w:rsidRPr="009F4559">
        <w:t>25.</w:t>
      </w:r>
      <w:r w:rsidRPr="009F4559">
        <w:tab/>
        <w:t>Эксперты от Италии, Нидерландов и МАЗМ просили выделить больше времени для изучения представленных предложений и замечаний. Эксперт от</w:t>
      </w:r>
      <w:r w:rsidR="0006744A">
        <w:rPr>
          <w:lang w:val="en-US"/>
        </w:rPr>
        <w:t> </w:t>
      </w:r>
      <w:r w:rsidRPr="009F4559">
        <w:t>ЕК напомнил, что этот вопрос уже обсуждался в ходе трех последовательных сессий GRE без формулирования каких-либо выводов. Он призвал к созданию целевой группы для решения этого вопроса. Эксперты от Японии, Индии, Ит</w:t>
      </w:r>
      <w:r w:rsidRPr="009F4559">
        <w:t>а</w:t>
      </w:r>
      <w:r w:rsidRPr="009F4559">
        <w:t>лии, Нидерландов и МАЗМ заявили о готовности принять участие в работе этой целевой группы. GRE выразила надежду на то, что сможет завершить рассмо</w:t>
      </w:r>
      <w:r w:rsidRPr="009F4559">
        <w:t>т</w:t>
      </w:r>
      <w:r w:rsidRPr="009F4559">
        <w:t>рение этих предложений на следующей сессии без учреждения целевой группы. Для этого Председатель настоятельно призвал всех экспертов изучить вышеук</w:t>
      </w:r>
      <w:r w:rsidRPr="009F4559">
        <w:t>а</w:t>
      </w:r>
      <w:r w:rsidRPr="009F4559">
        <w:t xml:space="preserve">занные предложения и представить их замечания к следующей сессии. </w:t>
      </w:r>
    </w:p>
    <w:p w:rsidR="009F4559" w:rsidRPr="009F4559" w:rsidRDefault="009F4559" w:rsidP="009F4559">
      <w:pPr>
        <w:pStyle w:val="SingleTxtGR"/>
      </w:pPr>
      <w:r w:rsidRPr="009F4559">
        <w:t>26.</w:t>
      </w:r>
      <w:r w:rsidRPr="009F4559">
        <w:tab/>
        <w:t>GRE решила отложить до своей следующей сессии рассмотрение док</w:t>
      </w:r>
      <w:r w:rsidRPr="009F4559">
        <w:t>у</w:t>
      </w:r>
      <w:r w:rsidRPr="009F4559">
        <w:t xml:space="preserve">мента GRE-77-08, представленного экспертом от Индии. </w:t>
      </w:r>
    </w:p>
    <w:p w:rsidR="009F4559" w:rsidRPr="009F4559" w:rsidRDefault="009F4559" w:rsidP="00C73D92">
      <w:pPr>
        <w:pStyle w:val="H1GR"/>
      </w:pPr>
      <w:r w:rsidRPr="009F4559">
        <w:tab/>
        <w:t>D.</w:t>
      </w:r>
      <w:r w:rsidRPr="009F4559">
        <w:tab/>
        <w:t>Правила № 112 (фары, испускающие асимметричный луч ближнего света)</w:t>
      </w:r>
    </w:p>
    <w:p w:rsidR="009F4559" w:rsidRPr="009F4559" w:rsidRDefault="009F4559" w:rsidP="009F4559">
      <w:pPr>
        <w:pStyle w:val="SingleTxtGR"/>
      </w:pPr>
      <w:r w:rsidRPr="009F4559">
        <w:t>27.</w:t>
      </w:r>
      <w:r w:rsidRPr="009F4559">
        <w:tab/>
        <w:t xml:space="preserve">Никаких вопросов по этому пункту повестки дня не рассматривалось. </w:t>
      </w:r>
    </w:p>
    <w:p w:rsidR="009F4559" w:rsidRPr="009F4559" w:rsidRDefault="0006744A" w:rsidP="00C73D92">
      <w:pPr>
        <w:pStyle w:val="H1GR"/>
      </w:pPr>
      <w:r>
        <w:tab/>
        <w:t>E.</w:t>
      </w:r>
      <w:r w:rsidR="009F4559" w:rsidRPr="009F4559">
        <w:tab/>
        <w:t>Правила № 123 (адаптивные системы переднего освещения (АСПО))</w:t>
      </w:r>
    </w:p>
    <w:p w:rsidR="009F4559" w:rsidRPr="009F4559" w:rsidRDefault="009F4559" w:rsidP="00477955">
      <w:pPr>
        <w:pStyle w:val="SingleTxtGR"/>
        <w:ind w:left="2835" w:hanging="1701"/>
      </w:pPr>
      <w:r w:rsidRPr="009F4559">
        <w:rPr>
          <w:i/>
        </w:rPr>
        <w:t>Документация</w:t>
      </w:r>
      <w:r w:rsidRPr="009F4559">
        <w:t>:</w:t>
      </w:r>
      <w:r w:rsidRPr="009F4559">
        <w:tab/>
        <w:t xml:space="preserve">ECE/TRANS/WP.29/GRE/2016/28, </w:t>
      </w:r>
      <w:r w:rsidR="00477955">
        <w:br/>
      </w:r>
      <w:r w:rsidRPr="009F4559">
        <w:t>неофициальные документы GRE-77-07 и GRE-77-11</w:t>
      </w:r>
    </w:p>
    <w:p w:rsidR="009F4559" w:rsidRPr="009F4559" w:rsidRDefault="009F4559" w:rsidP="009F4559">
      <w:pPr>
        <w:pStyle w:val="SingleTxtGR"/>
      </w:pPr>
      <w:r w:rsidRPr="009F4559">
        <w:t>28.</w:t>
      </w:r>
      <w:r w:rsidRPr="009F4559">
        <w:tab/>
        <w:t>GRE вернулась к рассмотрению предложения эксперта от БРГ, напра</w:t>
      </w:r>
      <w:r w:rsidRPr="009F4559">
        <w:t>в</w:t>
      </w:r>
      <w:r w:rsidRPr="009F4559">
        <w:t>ленного на согласование процедур контроля за соответствием производства с другими правилами, касающимися фар, а также на упрощение методов испыт</w:t>
      </w:r>
      <w:r w:rsidRPr="009F4559">
        <w:t>а</w:t>
      </w:r>
      <w:r w:rsidRPr="009F4559">
        <w:t>ния и требований в отношении соответствия производства (ECE/TRANS/</w:t>
      </w:r>
      <w:r w:rsidR="0006744A" w:rsidRPr="0006744A">
        <w:t xml:space="preserve"> </w:t>
      </w:r>
      <w:r w:rsidRPr="009F4559">
        <w:t>WP.29/GRE/2016/28, GRE-77-07). GRE согласилась с этим предложением и р</w:t>
      </w:r>
      <w:r w:rsidRPr="009F4559">
        <w:t>е</w:t>
      </w:r>
      <w:r w:rsidRPr="009F4559">
        <w:t>шила передать его НРГ по УПО для включения в новые правила, касающиеся УОД (см. пункты 7 и 9 выше).</w:t>
      </w:r>
    </w:p>
    <w:p w:rsidR="009F4559" w:rsidRPr="009F4559" w:rsidRDefault="009F4559" w:rsidP="00672DBE">
      <w:pPr>
        <w:pStyle w:val="HChGR"/>
      </w:pPr>
      <w:r w:rsidRPr="009F4559">
        <w:tab/>
        <w:t>IX.</w:t>
      </w:r>
      <w:r w:rsidRPr="009F4559">
        <w:tab/>
        <w:t>Прочие вопросы (пункт 8 повестки дня)</w:t>
      </w:r>
    </w:p>
    <w:p w:rsidR="009F4559" w:rsidRPr="009F4559" w:rsidRDefault="009F4559" w:rsidP="00C73D92">
      <w:pPr>
        <w:pStyle w:val="H1GR"/>
      </w:pPr>
      <w:r w:rsidRPr="009F4559">
        <w:tab/>
        <w:t>A.</w:t>
      </w:r>
      <w:r w:rsidRPr="009F4559">
        <w:tab/>
        <w:t>Поправки к Конвенции о дорожном движении (Вена, 1968 год)</w:t>
      </w:r>
    </w:p>
    <w:p w:rsidR="009F4559" w:rsidRPr="009F4559" w:rsidRDefault="009F4559" w:rsidP="009F4559">
      <w:pPr>
        <w:pStyle w:val="SingleTxtGR"/>
      </w:pPr>
      <w:r w:rsidRPr="009F4559">
        <w:t>29.</w:t>
      </w:r>
      <w:r w:rsidRPr="009F4559">
        <w:tab/>
        <w:t xml:space="preserve">Секретариат проинформировал GRE о том, что Рабочая группа по </w:t>
      </w:r>
      <w:r w:rsidR="000E124E">
        <w:br/>
      </w:r>
      <w:r w:rsidRPr="009F4559">
        <w:t>безопасности дорожного движения (WP.1) продолжила обсуждение документа ECE/TRANS/WP.1/2015/2/Rev.3, подготовленного Италией, Францией и ассоц</w:t>
      </w:r>
      <w:r w:rsidRPr="009F4559">
        <w:t>и</w:t>
      </w:r>
      <w:r w:rsidRPr="009F4559">
        <w:t>ацией «Лазер-Европа» и содержащего предложения по поправкам к статье 32 и главе II приложения 5 по вопросам освещения и световой сигнализации. Ож</w:t>
      </w:r>
      <w:r w:rsidRPr="009F4559">
        <w:t>и</w:t>
      </w:r>
      <w:r w:rsidRPr="009F4559">
        <w:t>дается, что на следующей сессии в сентябре 2017 года WP.1 завершит рассмо</w:t>
      </w:r>
      <w:r w:rsidRPr="009F4559">
        <w:t>т</w:t>
      </w:r>
      <w:r w:rsidRPr="009F4559">
        <w:t>рение документа ECE/TRANS/WP.1/2015/2/Rev.3.</w:t>
      </w:r>
    </w:p>
    <w:p w:rsidR="009F4559" w:rsidRPr="009F4559" w:rsidRDefault="009F4559" w:rsidP="00C73D92">
      <w:pPr>
        <w:pStyle w:val="H1GR"/>
      </w:pPr>
      <w:r w:rsidRPr="009F4559">
        <w:tab/>
        <w:t>B.</w:t>
      </w:r>
      <w:r w:rsidRPr="009F4559">
        <w:tab/>
        <w:t>Десятилетие действий по обеспечению безопасности дорожного движения на 2011−2020 годы</w:t>
      </w:r>
    </w:p>
    <w:p w:rsidR="009F4559" w:rsidRPr="009F4559" w:rsidRDefault="009F4559" w:rsidP="009F4559">
      <w:pPr>
        <w:pStyle w:val="SingleTxtGR"/>
      </w:pPr>
      <w:r w:rsidRPr="009F4559">
        <w:rPr>
          <w:i/>
        </w:rPr>
        <w:t>Документация</w:t>
      </w:r>
      <w:r w:rsidRPr="009F4559">
        <w:t>:</w:t>
      </w:r>
      <w:r w:rsidRPr="009F4559">
        <w:tab/>
        <w:t>ECE/TRANS/270</w:t>
      </w:r>
    </w:p>
    <w:p w:rsidR="009F4559" w:rsidRPr="009F4559" w:rsidRDefault="009F4559" w:rsidP="009F4559">
      <w:pPr>
        <w:pStyle w:val="SingleTxtGR"/>
      </w:pPr>
      <w:r w:rsidRPr="009F4559">
        <w:t>30.</w:t>
      </w:r>
      <w:r w:rsidRPr="009F4559">
        <w:tab/>
        <w:t>Секретариат</w:t>
      </w:r>
      <w:r w:rsidRPr="00FD5DCA">
        <w:rPr>
          <w:spacing w:val="2"/>
        </w:rPr>
        <w:t xml:space="preserve"> проинформировал GRE о различных мероприятиях ЕЭК</w:t>
      </w:r>
      <w:r w:rsidR="00FD5DCA" w:rsidRPr="00FD5DCA">
        <w:rPr>
          <w:spacing w:val="2"/>
        </w:rPr>
        <w:t xml:space="preserve"> </w:t>
      </w:r>
      <w:r w:rsidRPr="009F4559">
        <w:t>ООН и Специального посланника Генерального секретаря Организации Объедине</w:t>
      </w:r>
      <w:r w:rsidRPr="009F4559">
        <w:t>н</w:t>
      </w:r>
      <w:r w:rsidRPr="009F4559">
        <w:t xml:space="preserve">ных Наций по безопасности дорожного движения (ECE/TRANS/270, </w:t>
      </w:r>
      <w:r w:rsidR="00FD5DCA">
        <w:br/>
      </w:r>
      <w:r w:rsidRPr="009F4559">
        <w:t xml:space="preserve">пункты 52–61). </w:t>
      </w:r>
    </w:p>
    <w:p w:rsidR="009F4559" w:rsidRPr="009F4559" w:rsidRDefault="009F4559" w:rsidP="00C73D92">
      <w:pPr>
        <w:pStyle w:val="H1GR"/>
      </w:pPr>
      <w:r w:rsidRPr="009F4559">
        <w:tab/>
        <w:t>C.</w:t>
      </w:r>
      <w:r w:rsidRPr="009F4559">
        <w:tab/>
        <w:t>Разработка международной системы официального утверждения типа комплектного транспортного средства</w:t>
      </w:r>
    </w:p>
    <w:p w:rsidR="009F4559" w:rsidRPr="009F4559" w:rsidRDefault="009F4559" w:rsidP="0006744A">
      <w:pPr>
        <w:pStyle w:val="SingleTxtGR"/>
        <w:ind w:left="2835" w:hanging="1701"/>
      </w:pPr>
      <w:r w:rsidRPr="009F4559">
        <w:rPr>
          <w:i/>
        </w:rPr>
        <w:t>Документация</w:t>
      </w:r>
      <w:r w:rsidRPr="009F4559">
        <w:t>:</w:t>
      </w:r>
      <w:r w:rsidRPr="009F4559">
        <w:tab/>
        <w:t xml:space="preserve">ECE/TRANS/WP.29/GRE/2017/7, </w:t>
      </w:r>
      <w:r w:rsidR="0006744A">
        <w:br/>
      </w:r>
      <w:r w:rsidRPr="009F4559">
        <w:t>неофициальные документы GRE-77-30-Rev.1, GRE-77-31</w:t>
      </w:r>
    </w:p>
    <w:p w:rsidR="009F4559" w:rsidRPr="0006744A" w:rsidRDefault="009F4559" w:rsidP="009F4559">
      <w:pPr>
        <w:pStyle w:val="SingleTxtGR"/>
        <w:rPr>
          <w:spacing w:val="2"/>
        </w:rPr>
      </w:pPr>
      <w:r w:rsidRPr="009F4559">
        <w:t>31.</w:t>
      </w:r>
      <w:r w:rsidRPr="009F4559">
        <w:tab/>
        <w:t>Секретариат кратко проинформировал GRE о недавней деятельности по</w:t>
      </w:r>
      <w:r w:rsidRPr="009F4559">
        <w:t>д</w:t>
      </w:r>
      <w:r w:rsidRPr="009F4559">
        <w:t>группы WP.29 по Правилам № 0 ООН (МОУТКТС) и о бюджетных вопросах, связанных с разработкой электронной базы данных для обмена документацией об официальном утверждении типа (ДЕТА). GRB также отметила, что в декабре 2016 года Европейский союз официально препроводил пересмотр 3 Соглашения 1958</w:t>
      </w:r>
      <w:r w:rsidRPr="0006744A">
        <w:rPr>
          <w:spacing w:val="2"/>
        </w:rPr>
        <w:t xml:space="preserve"> года Управлению Организации Объединенных Наций по правовым вопр</w:t>
      </w:r>
      <w:r w:rsidRPr="0006744A">
        <w:rPr>
          <w:spacing w:val="2"/>
        </w:rPr>
        <w:t>о</w:t>
      </w:r>
      <w:r w:rsidRPr="0006744A">
        <w:rPr>
          <w:spacing w:val="2"/>
        </w:rPr>
        <w:t>сам (УПВ) и что его вступление в силу намечено на середину сентября 2017 года.</w:t>
      </w:r>
    </w:p>
    <w:p w:rsidR="009F4559" w:rsidRPr="009F4559" w:rsidRDefault="009F4559" w:rsidP="009F4559">
      <w:pPr>
        <w:pStyle w:val="SingleTxtGR"/>
      </w:pPr>
      <w:r w:rsidRPr="009F4559">
        <w:t>32.</w:t>
      </w:r>
      <w:r w:rsidRPr="009F4559">
        <w:tab/>
        <w:t>GRE заслушала информацию о том, что WP.29 на своей сессии в ноябре 2016 года просил GRE уточнить в сотрудничестве с НРГ по МОУТКТС отдел</w:t>
      </w:r>
      <w:r w:rsidRPr="009F4559">
        <w:t>ь</w:t>
      </w:r>
      <w:r w:rsidRPr="009F4559">
        <w:t>ные правила, касающиеся устройств освещения и световой сигнализации, п</w:t>
      </w:r>
      <w:r w:rsidRPr="009F4559">
        <w:t>о</w:t>
      </w:r>
      <w:r w:rsidRPr="009F4559">
        <w:t>средством включения в них требования о том, чтобы источники света в этих устройствах подлежали официальному утверждению типа в соответствии с правилами № 37, 99 или 128 (ECE/TRANS/WP.29/1126, пункт 62). В соотве</w:t>
      </w:r>
      <w:r w:rsidRPr="009F4559">
        <w:t>т</w:t>
      </w:r>
      <w:r w:rsidRPr="009F4559">
        <w:t>ствии с этой просьбой эксперт от ЕК предложил общие поправки к правилам, касающимся устройств освещения, и к Правилам № 48 (ECE/TRANS/WP.29/</w:t>
      </w:r>
      <w:r w:rsidR="0006744A" w:rsidRPr="0006744A">
        <w:t xml:space="preserve"> </w:t>
      </w:r>
      <w:r w:rsidRPr="009F4559">
        <w:t>GRE/2017/7, неофициальный документ GRE-77-30-Rev.1). После обстоятельной дискуссии GRB приняла предложения по поправкам, содержащиеся в прилож</w:t>
      </w:r>
      <w:r w:rsidRPr="009F4559">
        <w:t>е</w:t>
      </w:r>
      <w:r w:rsidRPr="009F4559">
        <w:t xml:space="preserve">нии IV, и просила секретариат представить их WP.29 и AC.1 для рассмотрения и голосования на их сессиях в июне 2017 года. </w:t>
      </w:r>
    </w:p>
    <w:p w:rsidR="009F4559" w:rsidRPr="009F4559" w:rsidRDefault="009F4559" w:rsidP="009F4559">
      <w:pPr>
        <w:pStyle w:val="SingleTxtGR"/>
      </w:pPr>
      <w:r w:rsidRPr="009F4559">
        <w:t>33.</w:t>
      </w:r>
      <w:r w:rsidRPr="009F4559">
        <w:tab/>
        <w:t>Эксперт от ЕК подчеркнул важность уникального идентификатора (УИ) и ДЕТА в контексте упрощения правил, касающихся устройств освещения и св</w:t>
      </w:r>
      <w:r w:rsidRPr="009F4559">
        <w:t>е</w:t>
      </w:r>
      <w:r w:rsidRPr="009F4559">
        <w:t>товой сигнализации (GRE-77-31). По его мнению, объединение положений для различных устройств в одни правила не совместимо с традиционным подходом, предусматривающим использование одной маркировки для каждой серии п</w:t>
      </w:r>
      <w:r w:rsidRPr="009F4559">
        <w:t>о</w:t>
      </w:r>
      <w:r w:rsidRPr="009F4559">
        <w:t xml:space="preserve">правок к правилам. По этой причине он считает, что использование УИ должно быть обязательным, а не факультативным. GRE поддержала его точку зрения, но отметила, что использование УИ зависит от наличия ДЕТА. Эксперт от БРГ также указал на нечеткое толкование приложения 5 к пересмотренному Соглашению 1958 года в отношении обязательного использования УИ и ДЕТА. </w:t>
      </w:r>
    </w:p>
    <w:p w:rsidR="009F4559" w:rsidRPr="009F4559" w:rsidRDefault="009F4559" w:rsidP="00C73D92">
      <w:pPr>
        <w:pStyle w:val="H1GR"/>
      </w:pPr>
      <w:r w:rsidRPr="009F4559">
        <w:tab/>
        <w:t>D.</w:t>
      </w:r>
      <w:r w:rsidRPr="009F4559">
        <w:tab/>
        <w:t>Паразитный свет и обесцвечивание</w:t>
      </w:r>
    </w:p>
    <w:p w:rsidR="009F4559" w:rsidRPr="009F4559" w:rsidRDefault="009F4559" w:rsidP="009F4559">
      <w:pPr>
        <w:pStyle w:val="SingleTxtGR"/>
      </w:pPr>
      <w:r w:rsidRPr="009F4559">
        <w:t>34.</w:t>
      </w:r>
      <w:r w:rsidRPr="009F4559">
        <w:tab/>
        <w:t>Никакой информации по этому вопросу представлено не было.</w:t>
      </w:r>
    </w:p>
    <w:p w:rsidR="009F4559" w:rsidRPr="009F4559" w:rsidRDefault="009F4559" w:rsidP="00672DBE">
      <w:pPr>
        <w:pStyle w:val="HChGR"/>
      </w:pPr>
      <w:r w:rsidRPr="009F4559">
        <w:tab/>
        <w:t>X.</w:t>
      </w:r>
      <w:r w:rsidRPr="009F4559">
        <w:tab/>
        <w:t>Новые вопросы и запоздалое представление документов (пункт 9 повестки дня)</w:t>
      </w:r>
    </w:p>
    <w:p w:rsidR="009F4559" w:rsidRPr="009F4559" w:rsidRDefault="009F4559" w:rsidP="009F4559">
      <w:pPr>
        <w:pStyle w:val="SingleTxtGR"/>
      </w:pPr>
      <w:r w:rsidRPr="009F4559">
        <w:rPr>
          <w:i/>
        </w:rPr>
        <w:t>Документация</w:t>
      </w:r>
      <w:r w:rsidRPr="009F4559">
        <w:t xml:space="preserve">: </w:t>
      </w:r>
      <w:r w:rsidRPr="009F4559">
        <w:tab/>
        <w:t>неофициальный документ WP.29-171-04</w:t>
      </w:r>
    </w:p>
    <w:p w:rsidR="009F4559" w:rsidRPr="009F4559" w:rsidRDefault="009F4559" w:rsidP="009F4559">
      <w:pPr>
        <w:pStyle w:val="SingleTxtGR"/>
      </w:pPr>
      <w:r w:rsidRPr="009F4559">
        <w:t>35.</w:t>
      </w:r>
      <w:r w:rsidRPr="009F4559">
        <w:tab/>
        <w:t>GRE приняла к сведению, что на сессии WP.29 в марте 2017 года представитель ЕС выразил обеспокоенность (WP.29-171-04) по поводу юридического оформления поправок к требованию о проведении цикла испытаний под воздействием тепла в Правилах № 113, содержащихся в документе ECE/TRANS/</w:t>
      </w:r>
      <w:r w:rsidR="00F02761">
        <w:t xml:space="preserve"> </w:t>
      </w:r>
      <w:r w:rsidRPr="009F4559">
        <w:t>WP.29/2017/39. WP.29 решил вернуть этот документ GRE для дальнейшего рассмотрения (ECE/TRANS/WP.29/1129, пункт 73). GRE решила, что соответствующие предложения должны быть представлены в качестве поправок новой серии</w:t>
      </w:r>
      <w:r w:rsidR="00895DC7">
        <w:t>,</w:t>
      </w:r>
      <w:r w:rsidRPr="009F4559">
        <w:t xml:space="preserve"> и приняла пересмотренный текст, содержащийся в приложении V. Секретариату было поручено представить его WP.29 и AC.1 для рассмотрения и голосования на их сессиях в июне 2017 года. </w:t>
      </w:r>
    </w:p>
    <w:p w:rsidR="009F4559" w:rsidRPr="009F4559" w:rsidRDefault="009F4559" w:rsidP="009F4559">
      <w:pPr>
        <w:pStyle w:val="SingleTxtGR"/>
      </w:pPr>
      <w:r w:rsidRPr="009F4559">
        <w:t>36.</w:t>
      </w:r>
      <w:r w:rsidRPr="009F4559">
        <w:tab/>
        <w:t xml:space="preserve">GRE приняла к сведению, что г-н Ад де Виссер (МЭК) больше не будет принимать участие в работе ее сессий ввиду предстоящего выхода на пенсию. GRE выразила ему благодарность за значительный вклад в работу Группы на протяжении многих лет, пожелав ему успехов будущем. </w:t>
      </w:r>
    </w:p>
    <w:p w:rsidR="009F4559" w:rsidRPr="009F4559" w:rsidRDefault="009F4559" w:rsidP="00672DBE">
      <w:pPr>
        <w:pStyle w:val="HChGR"/>
      </w:pPr>
      <w:r w:rsidRPr="009F4559">
        <w:tab/>
        <w:t>XI.</w:t>
      </w:r>
      <w:r w:rsidRPr="009F4559">
        <w:tab/>
        <w:t xml:space="preserve">Направления будущей деятельности GRE </w:t>
      </w:r>
      <w:r w:rsidR="0006744A">
        <w:br/>
      </w:r>
      <w:r w:rsidRPr="009F4559">
        <w:t>(пункт 10 повестки дня)</w:t>
      </w:r>
    </w:p>
    <w:p w:rsidR="009F4559" w:rsidRPr="009F4559" w:rsidRDefault="009F4559" w:rsidP="009F4559">
      <w:pPr>
        <w:pStyle w:val="SingleTxtGR"/>
      </w:pPr>
      <w:r w:rsidRPr="009F4559">
        <w:t>37.</w:t>
      </w:r>
      <w:r w:rsidRPr="009F4559">
        <w:tab/>
        <w:t>GRE отметила, что доклады о деятельности рабочих групп GRE будут представлены на следующей сессии.</w:t>
      </w:r>
      <w:r w:rsidRPr="009F4559">
        <w:tab/>
      </w:r>
    </w:p>
    <w:p w:rsidR="009F4559" w:rsidRPr="009F4559" w:rsidRDefault="009F4559" w:rsidP="00672DBE">
      <w:pPr>
        <w:pStyle w:val="HChGR"/>
      </w:pPr>
      <w:r w:rsidRPr="009F4559">
        <w:tab/>
        <w:t>XII.</w:t>
      </w:r>
      <w:r w:rsidRPr="009F4559">
        <w:tab/>
        <w:t>Предварительная повестка дня следующей сессии (пункт 11 повестки дня)</w:t>
      </w:r>
    </w:p>
    <w:p w:rsidR="001276E8" w:rsidRDefault="009F4559" w:rsidP="009F4559">
      <w:pPr>
        <w:pStyle w:val="SingleTxtGR"/>
      </w:pPr>
      <w:r w:rsidRPr="009F4559">
        <w:t>38.</w:t>
      </w:r>
      <w:r w:rsidRPr="009F4559">
        <w:tab/>
        <w:t xml:space="preserve">GRE решила сохранить ту же структуру предварительной повестки дня для следующей сессии. </w:t>
      </w:r>
    </w:p>
    <w:p w:rsidR="009F4559" w:rsidRPr="009F4559" w:rsidRDefault="009F4559" w:rsidP="00672DBE">
      <w:pPr>
        <w:pStyle w:val="HChGR"/>
      </w:pPr>
      <w:r>
        <w:br w:type="page"/>
      </w:r>
      <w:r w:rsidRPr="009F4559">
        <w:t>Приложение I</w:t>
      </w:r>
    </w:p>
    <w:p w:rsidR="009F4559" w:rsidRPr="009F4559" w:rsidRDefault="009F4559" w:rsidP="00672DBE">
      <w:pPr>
        <w:pStyle w:val="HChGR"/>
      </w:pPr>
      <w:r w:rsidRPr="009F4559">
        <w:tab/>
      </w:r>
      <w:r w:rsidRPr="009F4559">
        <w:tab/>
        <w:t>Перечень неофициальных документов, рассмотренных в ходе сессии</w:t>
      </w:r>
      <w:bookmarkStart w:id="11" w:name="_Toc369772240"/>
      <w:bookmarkEnd w:id="11"/>
    </w:p>
    <w:p w:rsidR="009F4559" w:rsidRPr="009F4559" w:rsidRDefault="009F4559" w:rsidP="009F4559">
      <w:pPr>
        <w:pStyle w:val="SingleTxtGR"/>
      </w:pPr>
      <w:r w:rsidRPr="009F4559">
        <w:t>Неофициальные документы: GRE-77-…</w:t>
      </w:r>
    </w:p>
    <w:tbl>
      <w:tblPr>
        <w:tblStyle w:val="TabTxt"/>
        <w:tblW w:w="8504" w:type="dxa"/>
        <w:tblInd w:w="1134" w:type="dxa"/>
        <w:tblLayout w:type="fixed"/>
        <w:tblLook w:val="05E0" w:firstRow="1" w:lastRow="1" w:firstColumn="1" w:lastColumn="1" w:noHBand="0" w:noVBand="1"/>
      </w:tblPr>
      <w:tblGrid>
        <w:gridCol w:w="924"/>
        <w:gridCol w:w="6859"/>
        <w:gridCol w:w="721"/>
      </w:tblGrid>
      <w:tr w:rsidR="006419D8" w:rsidRPr="006419D8" w:rsidTr="00B47E53">
        <w:trPr>
          <w:tblHeader/>
        </w:trPr>
        <w:tc>
          <w:tcPr>
            <w:tcW w:w="92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9F4559" w:rsidRPr="006419D8" w:rsidRDefault="009F4559" w:rsidP="00A63931">
            <w:pPr>
              <w:suppressAutoHyphens/>
              <w:spacing w:before="80" w:after="80" w:line="200" w:lineRule="exact"/>
              <w:rPr>
                <w:i/>
                <w:sz w:val="16"/>
              </w:rPr>
            </w:pPr>
            <w:r w:rsidRPr="006419D8">
              <w:rPr>
                <w:i/>
                <w:sz w:val="16"/>
              </w:rPr>
              <w:t>№</w:t>
            </w:r>
          </w:p>
        </w:tc>
        <w:tc>
          <w:tcPr>
            <w:tcW w:w="68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9F4559" w:rsidRPr="006419D8" w:rsidRDefault="009F4559" w:rsidP="00A63931">
            <w:pPr>
              <w:suppressAutoHyphens/>
              <w:spacing w:before="80" w:after="80" w:line="200" w:lineRule="exact"/>
              <w:rPr>
                <w:i/>
                <w:sz w:val="16"/>
              </w:rPr>
            </w:pPr>
            <w:r w:rsidRPr="006419D8">
              <w:rPr>
                <w:i/>
                <w:sz w:val="16"/>
              </w:rPr>
              <w:t>(Автор) Название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21" w:type="dxa"/>
            <w:tcBorders>
              <w:bottom w:val="single" w:sz="12" w:space="0" w:color="auto"/>
            </w:tcBorders>
            <w:shd w:val="clear" w:color="auto" w:fill="auto"/>
          </w:tcPr>
          <w:p w:rsidR="009F4559" w:rsidRPr="006419D8" w:rsidRDefault="009F4559" w:rsidP="00A63931">
            <w:pPr>
              <w:suppressAutoHyphens/>
              <w:spacing w:before="80" w:after="80" w:line="200" w:lineRule="exact"/>
              <w:rPr>
                <w:i/>
                <w:sz w:val="16"/>
              </w:rPr>
            </w:pPr>
            <w:r w:rsidRPr="006419D8">
              <w:rPr>
                <w:i/>
                <w:sz w:val="16"/>
              </w:rPr>
              <w:t>Стадия</w:t>
            </w:r>
          </w:p>
        </w:tc>
      </w:tr>
      <w:tr w:rsidR="009F4559" w:rsidRPr="006419D8" w:rsidTr="00B47E53">
        <w:tc>
          <w:tcPr>
            <w:tcW w:w="924" w:type="dxa"/>
            <w:tcBorders>
              <w:top w:val="single" w:sz="12" w:space="0" w:color="auto"/>
              <w:bottom w:val="nil"/>
            </w:tcBorders>
          </w:tcPr>
          <w:p w:rsidR="009F4559" w:rsidRPr="006419D8" w:rsidRDefault="009F4559" w:rsidP="00A63931">
            <w:pPr>
              <w:suppressAutoHyphens/>
            </w:pPr>
            <w:r w:rsidRPr="006419D8">
              <w:t>1</w:t>
            </w:r>
          </w:p>
        </w:tc>
        <w:tc>
          <w:tcPr>
            <w:tcW w:w="6859" w:type="dxa"/>
            <w:tcBorders>
              <w:top w:val="single" w:sz="12" w:space="0" w:color="auto"/>
              <w:bottom w:val="nil"/>
            </w:tcBorders>
          </w:tcPr>
          <w:p w:rsidR="009F4559" w:rsidRPr="006419D8" w:rsidRDefault="009F4559" w:rsidP="00A63931">
            <w:pPr>
              <w:suppressAutoHyphens/>
            </w:pPr>
            <w:r w:rsidRPr="006419D8">
              <w:t xml:space="preserve">(секретариат) Обновленная предварительная повестка дня семьдесят седьмой сессии GRE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21" w:type="dxa"/>
            <w:tcBorders>
              <w:top w:val="single" w:sz="12" w:space="0" w:color="auto"/>
            </w:tcBorders>
          </w:tcPr>
          <w:p w:rsidR="009F4559" w:rsidRPr="006419D8" w:rsidRDefault="009F4559" w:rsidP="00A63931">
            <w:pPr>
              <w:suppressAutoHyphens/>
            </w:pPr>
            <w:r w:rsidRPr="006419D8">
              <w:t>b</w:t>
            </w:r>
          </w:p>
        </w:tc>
      </w:tr>
      <w:tr w:rsidR="009F4559" w:rsidRPr="006419D8" w:rsidTr="00B47E53">
        <w:tc>
          <w:tcPr>
            <w:tcW w:w="924" w:type="dxa"/>
            <w:tcBorders>
              <w:top w:val="nil"/>
              <w:bottom w:val="nil"/>
            </w:tcBorders>
          </w:tcPr>
          <w:p w:rsidR="009F4559" w:rsidRPr="006419D8" w:rsidRDefault="009F4559" w:rsidP="00A63931">
            <w:pPr>
              <w:suppressAutoHyphens/>
            </w:pPr>
            <w:r w:rsidRPr="006419D8">
              <w:t>2</w:t>
            </w:r>
          </w:p>
        </w:tc>
        <w:tc>
          <w:tcPr>
            <w:tcW w:w="6859" w:type="dxa"/>
            <w:tcBorders>
              <w:top w:val="nil"/>
              <w:bottom w:val="nil"/>
            </w:tcBorders>
          </w:tcPr>
          <w:p w:rsidR="009F4559" w:rsidRPr="006419D8" w:rsidRDefault="009F4559" w:rsidP="00A63931">
            <w:pPr>
              <w:suppressAutoHyphens/>
            </w:pPr>
            <w:r w:rsidRPr="006419D8">
              <w:t>(БРГ) – Критерии эквивалентности для категорий альтернативных светодиодных источников света, используемых в качестве эквивалентов соответствующих категорий источников света с нитью накала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21" w:type="dxa"/>
            <w:tcBorders>
              <w:top w:val="nil"/>
            </w:tcBorders>
          </w:tcPr>
          <w:p w:rsidR="009F4559" w:rsidRPr="006419D8" w:rsidRDefault="009F4559" w:rsidP="00A63931">
            <w:pPr>
              <w:suppressAutoHyphens/>
            </w:pPr>
            <w:r w:rsidRPr="006419D8">
              <w:t>e</w:t>
            </w:r>
          </w:p>
        </w:tc>
      </w:tr>
      <w:tr w:rsidR="009F4559" w:rsidRPr="006419D8" w:rsidTr="00B47E53">
        <w:tc>
          <w:tcPr>
            <w:tcW w:w="924" w:type="dxa"/>
            <w:tcBorders>
              <w:top w:val="nil"/>
              <w:bottom w:val="nil"/>
            </w:tcBorders>
          </w:tcPr>
          <w:p w:rsidR="009F4559" w:rsidRPr="006419D8" w:rsidRDefault="009F4559" w:rsidP="00A63931">
            <w:pPr>
              <w:suppressAutoHyphens/>
            </w:pPr>
            <w:r w:rsidRPr="006419D8">
              <w:t>3</w:t>
            </w:r>
          </w:p>
        </w:tc>
        <w:tc>
          <w:tcPr>
            <w:tcW w:w="6859" w:type="dxa"/>
            <w:tcBorders>
              <w:top w:val="nil"/>
              <w:bottom w:val="nil"/>
            </w:tcBorders>
          </w:tcPr>
          <w:p w:rsidR="009F4559" w:rsidRPr="006419D8" w:rsidRDefault="009F4559" w:rsidP="00A63931">
            <w:pPr>
              <w:suppressAutoHyphens/>
            </w:pPr>
            <w:r w:rsidRPr="006419D8">
              <w:t>(БРГ) – Альтернативные источники света: протоколы эквивалентности для</w:t>
            </w:r>
            <w:r w:rsidR="00A63931">
              <w:rPr>
                <w:lang w:val="en-US"/>
              </w:rPr>
              <w:t> </w:t>
            </w:r>
            <w:r w:rsidRPr="006419D8">
              <w:t>категорий C5W, PY21W и R5W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21" w:type="dxa"/>
            <w:tcBorders>
              <w:top w:val="nil"/>
            </w:tcBorders>
          </w:tcPr>
          <w:p w:rsidR="009F4559" w:rsidRPr="006419D8" w:rsidRDefault="009F4559" w:rsidP="00A63931">
            <w:pPr>
              <w:suppressAutoHyphens/>
            </w:pPr>
            <w:r w:rsidRPr="006419D8">
              <w:t>e</w:t>
            </w:r>
          </w:p>
        </w:tc>
      </w:tr>
      <w:tr w:rsidR="009F4559" w:rsidRPr="006419D8" w:rsidTr="00B47E53">
        <w:tc>
          <w:tcPr>
            <w:tcW w:w="924" w:type="dxa"/>
            <w:tcBorders>
              <w:top w:val="nil"/>
              <w:bottom w:val="nil"/>
            </w:tcBorders>
          </w:tcPr>
          <w:p w:rsidR="009F4559" w:rsidRPr="006419D8" w:rsidRDefault="009F4559" w:rsidP="00A63931">
            <w:pPr>
              <w:suppressAutoHyphens/>
            </w:pPr>
            <w:r w:rsidRPr="006419D8">
              <w:t>4</w:t>
            </w:r>
          </w:p>
        </w:tc>
        <w:tc>
          <w:tcPr>
            <w:tcW w:w="6859" w:type="dxa"/>
            <w:tcBorders>
              <w:top w:val="nil"/>
              <w:bottom w:val="nil"/>
            </w:tcBorders>
          </w:tcPr>
          <w:p w:rsidR="009F4559" w:rsidRPr="006419D8" w:rsidRDefault="009F4559" w:rsidP="00A63931">
            <w:pPr>
              <w:suppressAutoHyphens/>
            </w:pPr>
            <w:r w:rsidRPr="006419D8">
              <w:t xml:space="preserve">(БРГ) – Руководящие принципы для внедрения и оценки категорий светодиодных источников света, предназначенных для переднего освещения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21" w:type="dxa"/>
            <w:tcBorders>
              <w:top w:val="nil"/>
            </w:tcBorders>
          </w:tcPr>
          <w:p w:rsidR="009F4559" w:rsidRPr="006419D8" w:rsidRDefault="009F4559" w:rsidP="00A63931">
            <w:pPr>
              <w:suppressAutoHyphens/>
            </w:pPr>
            <w:r w:rsidRPr="006419D8">
              <w:t>d</w:t>
            </w:r>
          </w:p>
        </w:tc>
      </w:tr>
      <w:tr w:rsidR="009F4559" w:rsidRPr="006419D8" w:rsidTr="00B47E53">
        <w:tc>
          <w:tcPr>
            <w:tcW w:w="924" w:type="dxa"/>
            <w:tcBorders>
              <w:top w:val="nil"/>
              <w:bottom w:val="nil"/>
            </w:tcBorders>
          </w:tcPr>
          <w:p w:rsidR="009F4559" w:rsidRPr="006419D8" w:rsidRDefault="009F4559" w:rsidP="00A63931">
            <w:pPr>
              <w:suppressAutoHyphens/>
            </w:pPr>
            <w:r w:rsidRPr="006419D8">
              <w:t>5</w:t>
            </w:r>
          </w:p>
        </w:tc>
        <w:tc>
          <w:tcPr>
            <w:tcW w:w="6859" w:type="dxa"/>
            <w:tcBorders>
              <w:top w:val="nil"/>
              <w:bottom w:val="nil"/>
            </w:tcBorders>
          </w:tcPr>
          <w:p w:rsidR="009F4559" w:rsidRPr="006419D8" w:rsidRDefault="009F4559" w:rsidP="00A63931">
            <w:pPr>
              <w:suppressAutoHyphens/>
            </w:pPr>
            <w:r w:rsidRPr="006419D8">
              <w:t>(НРГ по УПО) – Проект новых упрощенных правил ООН, касающихся устройств световой сигнализации (УСС)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21" w:type="dxa"/>
            <w:tcBorders>
              <w:top w:val="nil"/>
            </w:tcBorders>
          </w:tcPr>
          <w:p w:rsidR="009F4559" w:rsidRPr="006419D8" w:rsidRDefault="009F4559" w:rsidP="00A63931">
            <w:pPr>
              <w:suppressAutoHyphens/>
            </w:pPr>
            <w:r w:rsidRPr="006419D8">
              <w:t>с</w:t>
            </w:r>
          </w:p>
        </w:tc>
      </w:tr>
      <w:tr w:rsidR="009F4559" w:rsidRPr="006419D8" w:rsidTr="00B47E53">
        <w:tc>
          <w:tcPr>
            <w:tcW w:w="924" w:type="dxa"/>
            <w:tcBorders>
              <w:top w:val="nil"/>
              <w:bottom w:val="nil"/>
            </w:tcBorders>
          </w:tcPr>
          <w:p w:rsidR="009F4559" w:rsidRPr="006419D8" w:rsidRDefault="009F4559" w:rsidP="00A63931">
            <w:pPr>
              <w:suppressAutoHyphens/>
            </w:pPr>
            <w:r w:rsidRPr="006419D8">
              <w:t>6/Rev.1</w:t>
            </w:r>
          </w:p>
        </w:tc>
        <w:tc>
          <w:tcPr>
            <w:tcW w:w="6859" w:type="dxa"/>
            <w:tcBorders>
              <w:top w:val="nil"/>
              <w:bottom w:val="nil"/>
            </w:tcBorders>
          </w:tcPr>
          <w:p w:rsidR="009F4559" w:rsidRPr="006419D8" w:rsidRDefault="009F4559" w:rsidP="00A63931">
            <w:pPr>
              <w:suppressAutoHyphens/>
            </w:pPr>
            <w:r w:rsidRPr="006419D8">
              <w:t>(Чешская Республика и Италия) – Предложение по дополнению к</w:t>
            </w:r>
            <w:r w:rsidR="00A63931">
              <w:rPr>
                <w:lang w:val="en-US"/>
              </w:rPr>
              <w:t> </w:t>
            </w:r>
            <w:r w:rsidRPr="006419D8">
              <w:t>поправкам серии 06 к Правилам № 48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21" w:type="dxa"/>
            <w:tcBorders>
              <w:top w:val="nil"/>
            </w:tcBorders>
          </w:tcPr>
          <w:p w:rsidR="009F4559" w:rsidRPr="006419D8" w:rsidRDefault="009F4559" w:rsidP="00A63931">
            <w:pPr>
              <w:suppressAutoHyphens/>
            </w:pPr>
            <w:r w:rsidRPr="006419D8">
              <w:t>e</w:t>
            </w:r>
          </w:p>
        </w:tc>
      </w:tr>
      <w:tr w:rsidR="009F4559" w:rsidRPr="006419D8" w:rsidTr="00B47E53">
        <w:tc>
          <w:tcPr>
            <w:tcW w:w="924" w:type="dxa"/>
            <w:tcBorders>
              <w:top w:val="nil"/>
              <w:bottom w:val="nil"/>
            </w:tcBorders>
          </w:tcPr>
          <w:p w:rsidR="009F4559" w:rsidRPr="006419D8" w:rsidRDefault="009F4559" w:rsidP="00A63931">
            <w:pPr>
              <w:suppressAutoHyphens/>
            </w:pPr>
            <w:r w:rsidRPr="006419D8">
              <w:t>7</w:t>
            </w:r>
          </w:p>
        </w:tc>
        <w:tc>
          <w:tcPr>
            <w:tcW w:w="6859" w:type="dxa"/>
            <w:tcBorders>
              <w:top w:val="nil"/>
              <w:bottom w:val="nil"/>
            </w:tcBorders>
          </w:tcPr>
          <w:p w:rsidR="009F4559" w:rsidRPr="006419D8" w:rsidRDefault="009F4559" w:rsidP="00A63931">
            <w:pPr>
              <w:suppressAutoHyphens/>
            </w:pPr>
            <w:r w:rsidRPr="006419D8">
              <w:t>(БРГ) – Запрос о предоставлении руководящих указаний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21" w:type="dxa"/>
            <w:tcBorders>
              <w:top w:val="nil"/>
            </w:tcBorders>
          </w:tcPr>
          <w:p w:rsidR="009F4559" w:rsidRPr="006419D8" w:rsidRDefault="009F4559" w:rsidP="00A63931">
            <w:pPr>
              <w:suppressAutoHyphens/>
            </w:pPr>
            <w:r w:rsidRPr="006419D8">
              <w:t>f</w:t>
            </w:r>
          </w:p>
        </w:tc>
      </w:tr>
      <w:tr w:rsidR="009F4559" w:rsidRPr="006419D8" w:rsidTr="00B47E53">
        <w:tc>
          <w:tcPr>
            <w:tcW w:w="924" w:type="dxa"/>
            <w:tcBorders>
              <w:top w:val="nil"/>
              <w:bottom w:val="nil"/>
            </w:tcBorders>
          </w:tcPr>
          <w:p w:rsidR="009F4559" w:rsidRPr="006419D8" w:rsidRDefault="009F4559" w:rsidP="00A63931">
            <w:pPr>
              <w:suppressAutoHyphens/>
            </w:pPr>
            <w:r w:rsidRPr="006419D8">
              <w:t>8</w:t>
            </w:r>
          </w:p>
        </w:tc>
        <w:tc>
          <w:tcPr>
            <w:tcW w:w="6859" w:type="dxa"/>
            <w:tcBorders>
              <w:top w:val="nil"/>
              <w:bottom w:val="nil"/>
            </w:tcBorders>
          </w:tcPr>
          <w:p w:rsidR="009F4559" w:rsidRPr="006419D8" w:rsidRDefault="009F4559" w:rsidP="00A63931">
            <w:pPr>
              <w:suppressAutoHyphens/>
            </w:pPr>
            <w:r w:rsidRPr="006419D8">
              <w:t>(Индия) – Предложение по проекту поправок к Правилам № 53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21" w:type="dxa"/>
            <w:tcBorders>
              <w:top w:val="nil"/>
            </w:tcBorders>
          </w:tcPr>
          <w:p w:rsidR="009F4559" w:rsidRPr="006419D8" w:rsidRDefault="009F4559" w:rsidP="00A63931">
            <w:pPr>
              <w:suppressAutoHyphens/>
            </w:pPr>
            <w:r w:rsidRPr="006419D8">
              <w:t>d</w:t>
            </w:r>
          </w:p>
        </w:tc>
      </w:tr>
      <w:tr w:rsidR="009F4559" w:rsidRPr="006419D8" w:rsidTr="00B47E53">
        <w:tc>
          <w:tcPr>
            <w:tcW w:w="924" w:type="dxa"/>
            <w:tcBorders>
              <w:top w:val="nil"/>
              <w:bottom w:val="nil"/>
            </w:tcBorders>
          </w:tcPr>
          <w:p w:rsidR="009F4559" w:rsidRPr="006419D8" w:rsidRDefault="009F4559" w:rsidP="00A63931">
            <w:pPr>
              <w:suppressAutoHyphens/>
            </w:pPr>
            <w:r w:rsidRPr="006419D8">
              <w:t>9</w:t>
            </w:r>
          </w:p>
        </w:tc>
        <w:tc>
          <w:tcPr>
            <w:tcW w:w="6859" w:type="dxa"/>
            <w:tcBorders>
              <w:top w:val="nil"/>
              <w:bottom w:val="nil"/>
            </w:tcBorders>
          </w:tcPr>
          <w:p w:rsidR="009F4559" w:rsidRPr="006419D8" w:rsidRDefault="009F4559" w:rsidP="007A2F38">
            <w:pPr>
              <w:suppressAutoHyphens/>
            </w:pPr>
            <w:r w:rsidRPr="006419D8">
              <w:t>(Индия) – Замечания, касающиеся ослепления водителей встречных транспортных средств, вызываемого ДХО мотоциклов в ночное время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21" w:type="dxa"/>
            <w:tcBorders>
              <w:top w:val="nil"/>
            </w:tcBorders>
          </w:tcPr>
          <w:p w:rsidR="009F4559" w:rsidRPr="006419D8" w:rsidRDefault="009F4559" w:rsidP="00A63931">
            <w:pPr>
              <w:suppressAutoHyphens/>
            </w:pPr>
            <w:r w:rsidRPr="006419D8">
              <w:t>d</w:t>
            </w:r>
          </w:p>
        </w:tc>
      </w:tr>
      <w:tr w:rsidR="009F4559" w:rsidRPr="006419D8" w:rsidTr="00B47E53">
        <w:tc>
          <w:tcPr>
            <w:tcW w:w="924" w:type="dxa"/>
            <w:tcBorders>
              <w:top w:val="nil"/>
              <w:bottom w:val="nil"/>
            </w:tcBorders>
          </w:tcPr>
          <w:p w:rsidR="009F4559" w:rsidRPr="006419D8" w:rsidRDefault="009F4559" w:rsidP="00A63931">
            <w:pPr>
              <w:suppressAutoHyphens/>
            </w:pPr>
            <w:r w:rsidRPr="006419D8">
              <w:t>10/Rev.1</w:t>
            </w:r>
          </w:p>
        </w:tc>
        <w:tc>
          <w:tcPr>
            <w:tcW w:w="6859" w:type="dxa"/>
            <w:tcBorders>
              <w:top w:val="nil"/>
              <w:bottom w:val="nil"/>
            </w:tcBorders>
          </w:tcPr>
          <w:p w:rsidR="009F4559" w:rsidRPr="006419D8" w:rsidRDefault="009F4559" w:rsidP="00A63931">
            <w:pPr>
              <w:suppressAutoHyphens/>
            </w:pPr>
            <w:r w:rsidRPr="006419D8">
              <w:t xml:space="preserve">Предложение по дополнению к поправкам серии 06 к Правилам № 48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21" w:type="dxa"/>
            <w:tcBorders>
              <w:top w:val="nil"/>
            </w:tcBorders>
          </w:tcPr>
          <w:p w:rsidR="009F4559" w:rsidRPr="006419D8" w:rsidRDefault="009F4559" w:rsidP="00A63931">
            <w:pPr>
              <w:suppressAutoHyphens/>
            </w:pPr>
            <w:r w:rsidRPr="006419D8">
              <w:t>e</w:t>
            </w:r>
          </w:p>
        </w:tc>
      </w:tr>
      <w:tr w:rsidR="009F4559" w:rsidRPr="006419D8" w:rsidTr="00B47E53">
        <w:tc>
          <w:tcPr>
            <w:tcW w:w="924" w:type="dxa"/>
            <w:tcBorders>
              <w:top w:val="nil"/>
              <w:bottom w:val="nil"/>
            </w:tcBorders>
          </w:tcPr>
          <w:p w:rsidR="009F4559" w:rsidRPr="006419D8" w:rsidRDefault="009F4559" w:rsidP="00A63931">
            <w:pPr>
              <w:suppressAutoHyphens/>
            </w:pPr>
            <w:r w:rsidRPr="006419D8">
              <w:t>11</w:t>
            </w:r>
          </w:p>
        </w:tc>
        <w:tc>
          <w:tcPr>
            <w:tcW w:w="6859" w:type="dxa"/>
            <w:tcBorders>
              <w:top w:val="nil"/>
              <w:bottom w:val="nil"/>
            </w:tcBorders>
          </w:tcPr>
          <w:p w:rsidR="009F4559" w:rsidRPr="006419D8" w:rsidRDefault="009F4559" w:rsidP="00A63931">
            <w:pPr>
              <w:suppressAutoHyphens/>
            </w:pPr>
            <w:r w:rsidRPr="006419D8">
              <w:t>(БРГ) – Предложение по поправкам к документу ECE/TRANS/WP.29/</w:t>
            </w:r>
            <w:r w:rsidR="00A63931" w:rsidRPr="00A63931">
              <w:t xml:space="preserve"> </w:t>
            </w:r>
            <w:r w:rsidRPr="006419D8">
              <w:t>GRE/2016/28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21" w:type="dxa"/>
            <w:tcBorders>
              <w:top w:val="nil"/>
            </w:tcBorders>
          </w:tcPr>
          <w:p w:rsidR="009F4559" w:rsidRPr="006419D8" w:rsidRDefault="009F4559" w:rsidP="00A63931">
            <w:pPr>
              <w:suppressAutoHyphens/>
            </w:pPr>
          </w:p>
        </w:tc>
      </w:tr>
      <w:tr w:rsidR="009F4559" w:rsidRPr="006419D8" w:rsidTr="00B47E53">
        <w:tc>
          <w:tcPr>
            <w:tcW w:w="924" w:type="dxa"/>
            <w:tcBorders>
              <w:top w:val="nil"/>
              <w:bottom w:val="nil"/>
            </w:tcBorders>
          </w:tcPr>
          <w:p w:rsidR="009F4559" w:rsidRPr="006419D8" w:rsidRDefault="009F4559" w:rsidP="00A63931">
            <w:pPr>
              <w:suppressAutoHyphens/>
            </w:pPr>
            <w:r w:rsidRPr="006419D8">
              <w:t>12</w:t>
            </w:r>
          </w:p>
        </w:tc>
        <w:tc>
          <w:tcPr>
            <w:tcW w:w="6859" w:type="dxa"/>
            <w:tcBorders>
              <w:top w:val="nil"/>
              <w:bottom w:val="nil"/>
            </w:tcBorders>
          </w:tcPr>
          <w:p w:rsidR="009F4559" w:rsidRPr="006419D8" w:rsidRDefault="009F4559" w:rsidP="00A63931">
            <w:pPr>
              <w:suppressAutoHyphens/>
            </w:pPr>
            <w:r w:rsidRPr="006419D8">
              <w:t>(БРГ) – Пересмотр документа ECE/TRANS/WP.29/GRE/2017/5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21" w:type="dxa"/>
            <w:tcBorders>
              <w:top w:val="nil"/>
            </w:tcBorders>
          </w:tcPr>
          <w:p w:rsidR="009F4559" w:rsidRPr="006419D8" w:rsidRDefault="009F4559" w:rsidP="00A63931">
            <w:pPr>
              <w:suppressAutoHyphens/>
            </w:pPr>
            <w:r w:rsidRPr="006419D8">
              <w:t>d</w:t>
            </w:r>
          </w:p>
        </w:tc>
      </w:tr>
      <w:tr w:rsidR="009F4559" w:rsidRPr="006419D8" w:rsidTr="00B47E53">
        <w:tc>
          <w:tcPr>
            <w:tcW w:w="924" w:type="dxa"/>
            <w:tcBorders>
              <w:top w:val="nil"/>
              <w:bottom w:val="nil"/>
            </w:tcBorders>
          </w:tcPr>
          <w:p w:rsidR="009F4559" w:rsidRPr="006419D8" w:rsidRDefault="009F4559" w:rsidP="00A63931">
            <w:pPr>
              <w:suppressAutoHyphens/>
            </w:pPr>
            <w:r w:rsidRPr="006419D8">
              <w:t>13</w:t>
            </w:r>
          </w:p>
        </w:tc>
        <w:tc>
          <w:tcPr>
            <w:tcW w:w="6859" w:type="dxa"/>
            <w:tcBorders>
              <w:top w:val="nil"/>
              <w:bottom w:val="nil"/>
            </w:tcBorders>
          </w:tcPr>
          <w:p w:rsidR="009F4559" w:rsidRPr="006419D8" w:rsidRDefault="009F4559" w:rsidP="00A63931">
            <w:pPr>
              <w:suppressAutoHyphens/>
            </w:pPr>
            <w:r w:rsidRPr="006419D8">
              <w:t>(БРГ) – Пересмотр документа ECE/TRANS/WP.29/GRE/2017/6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21" w:type="dxa"/>
            <w:tcBorders>
              <w:top w:val="nil"/>
            </w:tcBorders>
          </w:tcPr>
          <w:p w:rsidR="009F4559" w:rsidRPr="006419D8" w:rsidRDefault="009F4559" w:rsidP="00A63931">
            <w:pPr>
              <w:suppressAutoHyphens/>
            </w:pPr>
            <w:r w:rsidRPr="006419D8">
              <w:t>d</w:t>
            </w:r>
          </w:p>
        </w:tc>
      </w:tr>
      <w:tr w:rsidR="009F4559" w:rsidRPr="006419D8" w:rsidTr="00B47E53">
        <w:tc>
          <w:tcPr>
            <w:tcW w:w="924" w:type="dxa"/>
            <w:tcBorders>
              <w:top w:val="nil"/>
              <w:bottom w:val="nil"/>
            </w:tcBorders>
          </w:tcPr>
          <w:p w:rsidR="009F4559" w:rsidRPr="006419D8" w:rsidRDefault="009F4559" w:rsidP="00A63931">
            <w:pPr>
              <w:suppressAutoHyphens/>
            </w:pPr>
            <w:r w:rsidRPr="006419D8">
              <w:t>14</w:t>
            </w:r>
          </w:p>
        </w:tc>
        <w:tc>
          <w:tcPr>
            <w:tcW w:w="6859" w:type="dxa"/>
            <w:tcBorders>
              <w:top w:val="nil"/>
              <w:bottom w:val="nil"/>
            </w:tcBorders>
          </w:tcPr>
          <w:p w:rsidR="009F4559" w:rsidRPr="006419D8" w:rsidRDefault="009F4559" w:rsidP="00A63931">
            <w:pPr>
              <w:suppressAutoHyphens/>
            </w:pPr>
            <w:r w:rsidRPr="006419D8">
              <w:t>(БРГ) – Включение положений об источниках света на СИД в новые правила, касающиеся устройств освещения дорог (УОД)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21" w:type="dxa"/>
            <w:tcBorders>
              <w:top w:val="nil"/>
            </w:tcBorders>
          </w:tcPr>
          <w:p w:rsidR="009F4559" w:rsidRPr="006419D8" w:rsidRDefault="009F4559" w:rsidP="00A63931">
            <w:pPr>
              <w:suppressAutoHyphens/>
            </w:pPr>
            <w:r w:rsidRPr="006419D8">
              <w:t>d</w:t>
            </w:r>
          </w:p>
        </w:tc>
      </w:tr>
      <w:tr w:rsidR="009F4559" w:rsidRPr="006419D8" w:rsidTr="00B47E53">
        <w:tc>
          <w:tcPr>
            <w:tcW w:w="924" w:type="dxa"/>
            <w:tcBorders>
              <w:top w:val="nil"/>
              <w:bottom w:val="nil"/>
            </w:tcBorders>
          </w:tcPr>
          <w:p w:rsidR="009F4559" w:rsidRPr="006419D8" w:rsidRDefault="009F4559" w:rsidP="00A63931">
            <w:pPr>
              <w:suppressAutoHyphens/>
            </w:pPr>
            <w:r w:rsidRPr="006419D8">
              <w:t>15</w:t>
            </w:r>
          </w:p>
        </w:tc>
        <w:tc>
          <w:tcPr>
            <w:tcW w:w="6859" w:type="dxa"/>
            <w:tcBorders>
              <w:top w:val="nil"/>
              <w:bottom w:val="nil"/>
            </w:tcBorders>
          </w:tcPr>
          <w:p w:rsidR="009F4559" w:rsidRPr="006419D8" w:rsidRDefault="009F4559" w:rsidP="00A63931">
            <w:pPr>
              <w:suppressAutoHyphens/>
            </w:pPr>
            <w:r w:rsidRPr="006419D8">
              <w:t>(БРГ) – Предложение о включении требований в отношении использования альтернативных источников света на СИД в новые правила, касающиеся устройств световой сигнализации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21" w:type="dxa"/>
            <w:tcBorders>
              <w:top w:val="nil"/>
            </w:tcBorders>
          </w:tcPr>
          <w:p w:rsidR="009F4559" w:rsidRPr="006419D8" w:rsidRDefault="009F4559" w:rsidP="00A63931">
            <w:pPr>
              <w:suppressAutoHyphens/>
            </w:pPr>
            <w:r w:rsidRPr="006419D8">
              <w:t>e</w:t>
            </w:r>
          </w:p>
        </w:tc>
      </w:tr>
      <w:tr w:rsidR="009F4559" w:rsidRPr="006419D8" w:rsidTr="00B47E53">
        <w:tc>
          <w:tcPr>
            <w:tcW w:w="924" w:type="dxa"/>
            <w:tcBorders>
              <w:top w:val="nil"/>
              <w:bottom w:val="nil"/>
            </w:tcBorders>
          </w:tcPr>
          <w:p w:rsidR="009F4559" w:rsidRPr="006419D8" w:rsidRDefault="009F4559" w:rsidP="00A63931">
            <w:pPr>
              <w:suppressAutoHyphens/>
            </w:pPr>
            <w:r w:rsidRPr="006419D8">
              <w:t>16</w:t>
            </w:r>
          </w:p>
        </w:tc>
        <w:tc>
          <w:tcPr>
            <w:tcW w:w="6859" w:type="dxa"/>
            <w:tcBorders>
              <w:top w:val="nil"/>
              <w:bottom w:val="nil"/>
            </w:tcBorders>
          </w:tcPr>
          <w:p w:rsidR="009F4559" w:rsidRPr="006419D8" w:rsidRDefault="009F4559" w:rsidP="00A63931">
            <w:pPr>
              <w:suppressAutoHyphens/>
            </w:pPr>
            <w:r w:rsidRPr="006419D8">
              <w:t>(БРГ) – Обновление в Правилах № 48 требований о сигнализации несрабатывания источника света в огнях, оснащенных несколькими источниками света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21" w:type="dxa"/>
            <w:tcBorders>
              <w:top w:val="nil"/>
            </w:tcBorders>
          </w:tcPr>
          <w:p w:rsidR="009F4559" w:rsidRPr="006419D8" w:rsidRDefault="009F4559" w:rsidP="00A63931">
            <w:pPr>
              <w:suppressAutoHyphens/>
            </w:pPr>
            <w:r w:rsidRPr="006419D8">
              <w:t>с</w:t>
            </w:r>
          </w:p>
        </w:tc>
      </w:tr>
      <w:tr w:rsidR="009F4559" w:rsidRPr="006419D8" w:rsidTr="00B47E53">
        <w:tc>
          <w:tcPr>
            <w:tcW w:w="924" w:type="dxa"/>
            <w:tcBorders>
              <w:top w:val="nil"/>
              <w:bottom w:val="nil"/>
            </w:tcBorders>
          </w:tcPr>
          <w:p w:rsidR="009F4559" w:rsidRPr="006419D8" w:rsidRDefault="009F4559" w:rsidP="00A63931">
            <w:pPr>
              <w:suppressAutoHyphens/>
            </w:pPr>
            <w:r w:rsidRPr="006419D8">
              <w:t>17</w:t>
            </w:r>
          </w:p>
        </w:tc>
        <w:tc>
          <w:tcPr>
            <w:tcW w:w="6859" w:type="dxa"/>
            <w:tcBorders>
              <w:top w:val="nil"/>
              <w:bottom w:val="nil"/>
            </w:tcBorders>
          </w:tcPr>
          <w:p w:rsidR="009F4559" w:rsidRPr="006419D8" w:rsidRDefault="009F4559" w:rsidP="00A63931">
            <w:pPr>
              <w:suppressAutoHyphens/>
            </w:pPr>
            <w:r w:rsidRPr="006419D8">
              <w:t>(Италия) – Автоматический переключатель ДХО в Правилах № 53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21" w:type="dxa"/>
            <w:tcBorders>
              <w:top w:val="nil"/>
            </w:tcBorders>
          </w:tcPr>
          <w:p w:rsidR="009F4559" w:rsidRPr="006419D8" w:rsidRDefault="009F4559" w:rsidP="00A63931">
            <w:pPr>
              <w:suppressAutoHyphens/>
            </w:pPr>
            <w:r w:rsidRPr="006419D8">
              <w:t>d</w:t>
            </w:r>
          </w:p>
        </w:tc>
      </w:tr>
      <w:tr w:rsidR="009F4559" w:rsidRPr="006419D8" w:rsidTr="00B47E53">
        <w:tc>
          <w:tcPr>
            <w:tcW w:w="924" w:type="dxa"/>
            <w:tcBorders>
              <w:top w:val="nil"/>
              <w:bottom w:val="nil"/>
            </w:tcBorders>
          </w:tcPr>
          <w:p w:rsidR="009F4559" w:rsidRPr="006419D8" w:rsidRDefault="009F4559" w:rsidP="00A63931">
            <w:pPr>
              <w:suppressAutoHyphens/>
            </w:pPr>
            <w:r w:rsidRPr="006419D8">
              <w:t>18</w:t>
            </w:r>
          </w:p>
        </w:tc>
        <w:tc>
          <w:tcPr>
            <w:tcW w:w="6859" w:type="dxa"/>
            <w:tcBorders>
              <w:top w:val="nil"/>
              <w:bottom w:val="nil"/>
            </w:tcBorders>
          </w:tcPr>
          <w:p w:rsidR="009F4559" w:rsidRPr="006419D8" w:rsidRDefault="009F4559" w:rsidP="00A63931">
            <w:pPr>
              <w:suppressAutoHyphens/>
            </w:pPr>
            <w:r w:rsidRPr="006419D8">
              <w:t>(секретариат) – Общие сведения и основные вопросы, рассмотренные WP.29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21" w:type="dxa"/>
            <w:tcBorders>
              <w:top w:val="nil"/>
            </w:tcBorders>
          </w:tcPr>
          <w:p w:rsidR="009F4559" w:rsidRPr="006419D8" w:rsidRDefault="009F4559" w:rsidP="00A63931">
            <w:pPr>
              <w:suppressAutoHyphens/>
            </w:pPr>
            <w:r w:rsidRPr="006419D8">
              <w:t>f</w:t>
            </w:r>
          </w:p>
        </w:tc>
      </w:tr>
      <w:tr w:rsidR="009F4559" w:rsidRPr="006419D8" w:rsidTr="00B47E53">
        <w:tc>
          <w:tcPr>
            <w:tcW w:w="924" w:type="dxa"/>
            <w:tcBorders>
              <w:top w:val="nil"/>
              <w:bottom w:val="nil"/>
            </w:tcBorders>
          </w:tcPr>
          <w:p w:rsidR="009F4559" w:rsidRPr="006419D8" w:rsidRDefault="009F4559" w:rsidP="00A63931">
            <w:pPr>
              <w:suppressAutoHyphens/>
            </w:pPr>
            <w:r w:rsidRPr="006419D8">
              <w:t>19</w:t>
            </w:r>
          </w:p>
        </w:tc>
        <w:tc>
          <w:tcPr>
            <w:tcW w:w="6859" w:type="dxa"/>
            <w:tcBorders>
              <w:top w:val="nil"/>
              <w:bottom w:val="nil"/>
            </w:tcBorders>
          </w:tcPr>
          <w:p w:rsidR="009F4559" w:rsidRPr="006419D8" w:rsidRDefault="009F4559" w:rsidP="00A63931">
            <w:pPr>
              <w:suppressAutoHyphens/>
            </w:pPr>
            <w:r w:rsidRPr="006419D8">
              <w:t>(Япония) – Дополнительные пояснения к документу ECE/TRANS/WP.29/</w:t>
            </w:r>
            <w:r w:rsidR="00AD2720">
              <w:t xml:space="preserve"> </w:t>
            </w:r>
            <w:r w:rsidRPr="006419D8">
              <w:t>GRE/2016/35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21" w:type="dxa"/>
            <w:tcBorders>
              <w:top w:val="nil"/>
            </w:tcBorders>
          </w:tcPr>
          <w:p w:rsidR="009F4559" w:rsidRPr="006419D8" w:rsidRDefault="009F4559" w:rsidP="00A63931">
            <w:pPr>
              <w:suppressAutoHyphens/>
            </w:pPr>
            <w:r w:rsidRPr="006419D8">
              <w:t>d</w:t>
            </w:r>
          </w:p>
        </w:tc>
      </w:tr>
      <w:tr w:rsidR="009F4559" w:rsidRPr="006419D8" w:rsidTr="00B47E53">
        <w:tc>
          <w:tcPr>
            <w:tcW w:w="924" w:type="dxa"/>
            <w:tcBorders>
              <w:top w:val="nil"/>
              <w:bottom w:val="nil"/>
            </w:tcBorders>
          </w:tcPr>
          <w:p w:rsidR="009F4559" w:rsidRPr="006419D8" w:rsidRDefault="009F4559" w:rsidP="00A63931">
            <w:pPr>
              <w:suppressAutoHyphens/>
            </w:pPr>
            <w:r w:rsidRPr="006419D8">
              <w:t>20</w:t>
            </w:r>
          </w:p>
        </w:tc>
        <w:tc>
          <w:tcPr>
            <w:tcW w:w="6859" w:type="dxa"/>
            <w:tcBorders>
              <w:top w:val="nil"/>
              <w:bottom w:val="nil"/>
            </w:tcBorders>
          </w:tcPr>
          <w:p w:rsidR="009F4559" w:rsidRPr="006419D8" w:rsidRDefault="009F4559" w:rsidP="00A63931">
            <w:pPr>
              <w:suppressAutoHyphens/>
            </w:pPr>
            <w:r w:rsidRPr="006419D8">
              <w:t>(МОПАП) – Предложение по дополнению к поправкам серии 06 к</w:t>
            </w:r>
            <w:r w:rsidR="00A63931">
              <w:rPr>
                <w:lang w:val="en-US"/>
              </w:rPr>
              <w:t> </w:t>
            </w:r>
            <w:r w:rsidRPr="006419D8">
              <w:t>Правилам № 48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21" w:type="dxa"/>
            <w:tcBorders>
              <w:top w:val="nil"/>
            </w:tcBorders>
          </w:tcPr>
          <w:p w:rsidR="009F4559" w:rsidRPr="006419D8" w:rsidRDefault="009F4559" w:rsidP="00A63931">
            <w:pPr>
              <w:suppressAutoHyphens/>
            </w:pPr>
            <w:r w:rsidRPr="006419D8">
              <w:t>с</w:t>
            </w:r>
          </w:p>
        </w:tc>
      </w:tr>
      <w:tr w:rsidR="009F4559" w:rsidRPr="006419D8" w:rsidTr="00B47E53">
        <w:tc>
          <w:tcPr>
            <w:tcW w:w="924" w:type="dxa"/>
            <w:tcBorders>
              <w:top w:val="nil"/>
              <w:bottom w:val="nil"/>
            </w:tcBorders>
          </w:tcPr>
          <w:p w:rsidR="009F4559" w:rsidRPr="006419D8" w:rsidRDefault="009F4559" w:rsidP="00A63931">
            <w:pPr>
              <w:suppressAutoHyphens/>
            </w:pPr>
            <w:r w:rsidRPr="006419D8">
              <w:t>21</w:t>
            </w:r>
          </w:p>
        </w:tc>
        <w:tc>
          <w:tcPr>
            <w:tcW w:w="6859" w:type="dxa"/>
            <w:tcBorders>
              <w:top w:val="nil"/>
              <w:bottom w:val="nil"/>
            </w:tcBorders>
          </w:tcPr>
          <w:p w:rsidR="009F4559" w:rsidRPr="006419D8" w:rsidRDefault="009F4559" w:rsidP="00A63931">
            <w:pPr>
              <w:suppressAutoHyphens/>
            </w:pPr>
            <w:r w:rsidRPr="006419D8">
              <w:t>(ЦГ по ЭМС) – Доклад о ходе работы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21" w:type="dxa"/>
            <w:tcBorders>
              <w:top w:val="nil"/>
            </w:tcBorders>
          </w:tcPr>
          <w:p w:rsidR="009F4559" w:rsidRPr="006419D8" w:rsidRDefault="009F4559" w:rsidP="00A63931">
            <w:pPr>
              <w:suppressAutoHyphens/>
            </w:pPr>
            <w:r w:rsidRPr="006419D8">
              <w:t>f</w:t>
            </w:r>
          </w:p>
        </w:tc>
      </w:tr>
      <w:tr w:rsidR="009F4559" w:rsidRPr="006419D8" w:rsidTr="00B47E53">
        <w:tc>
          <w:tcPr>
            <w:tcW w:w="924" w:type="dxa"/>
            <w:tcBorders>
              <w:top w:val="nil"/>
              <w:bottom w:val="nil"/>
            </w:tcBorders>
          </w:tcPr>
          <w:p w:rsidR="009F4559" w:rsidRPr="006419D8" w:rsidRDefault="009F4559" w:rsidP="00A63931">
            <w:pPr>
              <w:suppressAutoHyphens/>
            </w:pPr>
            <w:r w:rsidRPr="006419D8">
              <w:t>22</w:t>
            </w:r>
          </w:p>
        </w:tc>
        <w:tc>
          <w:tcPr>
            <w:tcW w:w="6859" w:type="dxa"/>
            <w:tcBorders>
              <w:top w:val="nil"/>
              <w:bottom w:val="nil"/>
            </w:tcBorders>
          </w:tcPr>
          <w:p w:rsidR="009F4559" w:rsidRPr="006419D8" w:rsidRDefault="009F4559" w:rsidP="00A63931">
            <w:pPr>
              <w:suppressAutoHyphens/>
            </w:pPr>
            <w:r w:rsidRPr="006419D8">
              <w:t xml:space="preserve">(БРГ) – Включение положений об альтернативных источниках света на СИД в Правила № 128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21" w:type="dxa"/>
            <w:tcBorders>
              <w:top w:val="nil"/>
            </w:tcBorders>
          </w:tcPr>
          <w:p w:rsidR="009F4559" w:rsidRPr="006419D8" w:rsidRDefault="009F4559" w:rsidP="00A63931">
            <w:pPr>
              <w:suppressAutoHyphens/>
            </w:pPr>
            <w:r w:rsidRPr="006419D8">
              <w:t>e</w:t>
            </w:r>
          </w:p>
        </w:tc>
      </w:tr>
      <w:tr w:rsidR="009F4559" w:rsidRPr="006419D8" w:rsidTr="00B47E53">
        <w:tc>
          <w:tcPr>
            <w:tcW w:w="924" w:type="dxa"/>
            <w:tcBorders>
              <w:top w:val="nil"/>
              <w:bottom w:val="nil"/>
            </w:tcBorders>
          </w:tcPr>
          <w:p w:rsidR="009F4559" w:rsidRPr="006419D8" w:rsidRDefault="009F4559" w:rsidP="00A63931">
            <w:pPr>
              <w:suppressAutoHyphens/>
            </w:pPr>
            <w:r w:rsidRPr="006419D8">
              <w:t>23</w:t>
            </w:r>
          </w:p>
        </w:tc>
        <w:tc>
          <w:tcPr>
            <w:tcW w:w="6859" w:type="dxa"/>
            <w:tcBorders>
              <w:top w:val="nil"/>
              <w:bottom w:val="nil"/>
            </w:tcBorders>
          </w:tcPr>
          <w:p w:rsidR="009F4559" w:rsidRPr="006419D8" w:rsidRDefault="009F4559" w:rsidP="00A63931">
            <w:pPr>
              <w:suppressAutoHyphens/>
            </w:pPr>
            <w:r w:rsidRPr="006419D8">
              <w:t>(Российская Федерация) – Изменения к документу GRE-77-10-Rev.1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21" w:type="dxa"/>
            <w:tcBorders>
              <w:top w:val="nil"/>
            </w:tcBorders>
          </w:tcPr>
          <w:p w:rsidR="009F4559" w:rsidRPr="006419D8" w:rsidRDefault="009F4559" w:rsidP="00A63931">
            <w:pPr>
              <w:suppressAutoHyphens/>
            </w:pPr>
            <w:r w:rsidRPr="006419D8">
              <w:t>e</w:t>
            </w:r>
          </w:p>
        </w:tc>
      </w:tr>
      <w:tr w:rsidR="009F4559" w:rsidRPr="006419D8" w:rsidTr="00B47E53">
        <w:tc>
          <w:tcPr>
            <w:tcW w:w="924" w:type="dxa"/>
            <w:tcBorders>
              <w:top w:val="nil"/>
              <w:bottom w:val="nil"/>
            </w:tcBorders>
          </w:tcPr>
          <w:p w:rsidR="009F4559" w:rsidRPr="006419D8" w:rsidRDefault="009F4559" w:rsidP="00A63931">
            <w:pPr>
              <w:suppressAutoHyphens/>
            </w:pPr>
            <w:r w:rsidRPr="006419D8">
              <w:t>24</w:t>
            </w:r>
          </w:p>
        </w:tc>
        <w:tc>
          <w:tcPr>
            <w:tcW w:w="6859" w:type="dxa"/>
            <w:tcBorders>
              <w:top w:val="nil"/>
              <w:bottom w:val="nil"/>
            </w:tcBorders>
          </w:tcPr>
          <w:p w:rsidR="009F4559" w:rsidRPr="006419D8" w:rsidRDefault="009F4559" w:rsidP="00A63931">
            <w:pPr>
              <w:suppressAutoHyphens/>
            </w:pPr>
            <w:r w:rsidRPr="006419D8">
              <w:t>(Российская Федерация) – Изменения к документу GRE-77-06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21" w:type="dxa"/>
            <w:tcBorders>
              <w:top w:val="nil"/>
            </w:tcBorders>
          </w:tcPr>
          <w:p w:rsidR="009F4559" w:rsidRPr="006419D8" w:rsidRDefault="009F4559" w:rsidP="00A63931">
            <w:pPr>
              <w:suppressAutoHyphens/>
            </w:pPr>
            <w:r w:rsidRPr="006419D8">
              <w:t>e</w:t>
            </w:r>
          </w:p>
        </w:tc>
      </w:tr>
      <w:tr w:rsidR="009F4559" w:rsidRPr="006419D8" w:rsidTr="00B47E53">
        <w:tc>
          <w:tcPr>
            <w:tcW w:w="924" w:type="dxa"/>
            <w:tcBorders>
              <w:top w:val="nil"/>
              <w:bottom w:val="nil"/>
            </w:tcBorders>
          </w:tcPr>
          <w:p w:rsidR="009F4559" w:rsidRPr="006419D8" w:rsidRDefault="009F4559" w:rsidP="00A63931">
            <w:pPr>
              <w:suppressAutoHyphens/>
            </w:pPr>
            <w:r w:rsidRPr="006419D8">
              <w:t>25</w:t>
            </w:r>
          </w:p>
        </w:tc>
        <w:tc>
          <w:tcPr>
            <w:tcW w:w="6859" w:type="dxa"/>
            <w:tcBorders>
              <w:top w:val="nil"/>
              <w:bottom w:val="nil"/>
            </w:tcBorders>
          </w:tcPr>
          <w:p w:rsidR="009F4559" w:rsidRPr="006419D8" w:rsidRDefault="009F4559" w:rsidP="00A63931">
            <w:pPr>
              <w:suppressAutoHyphens/>
            </w:pPr>
            <w:r w:rsidRPr="006419D8">
              <w:t>(МОПАП) – Предложение по сводному варианту документов ECE/TRANS/WP.29/GRE/2016/33 и GRE-76-17, касающихся Правил № 48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21" w:type="dxa"/>
            <w:tcBorders>
              <w:top w:val="nil"/>
            </w:tcBorders>
          </w:tcPr>
          <w:p w:rsidR="009F4559" w:rsidRPr="006419D8" w:rsidRDefault="009F4559" w:rsidP="00A63931">
            <w:pPr>
              <w:suppressAutoHyphens/>
            </w:pPr>
            <w:r w:rsidRPr="006419D8">
              <w:t>d</w:t>
            </w:r>
          </w:p>
        </w:tc>
      </w:tr>
      <w:tr w:rsidR="009F4559" w:rsidRPr="006419D8" w:rsidTr="00B47E53">
        <w:tc>
          <w:tcPr>
            <w:tcW w:w="924" w:type="dxa"/>
            <w:tcBorders>
              <w:top w:val="nil"/>
              <w:bottom w:val="nil"/>
            </w:tcBorders>
          </w:tcPr>
          <w:p w:rsidR="009F4559" w:rsidRPr="006419D8" w:rsidRDefault="009F4559" w:rsidP="00A63931">
            <w:pPr>
              <w:suppressAutoHyphens/>
            </w:pPr>
            <w:r w:rsidRPr="006419D8">
              <w:t>26/Rev.1</w:t>
            </w:r>
          </w:p>
        </w:tc>
        <w:tc>
          <w:tcPr>
            <w:tcW w:w="6859" w:type="dxa"/>
            <w:tcBorders>
              <w:top w:val="nil"/>
              <w:bottom w:val="nil"/>
            </w:tcBorders>
          </w:tcPr>
          <w:p w:rsidR="009F4559" w:rsidRPr="006419D8" w:rsidRDefault="009F4559" w:rsidP="00A63931">
            <w:pPr>
              <w:suppressAutoHyphens/>
            </w:pPr>
            <w:r w:rsidRPr="006419D8">
              <w:t>Изменения к принятым поправкам к Правилам № 6, воспроизведенным в</w:t>
            </w:r>
            <w:r w:rsidR="00A63931">
              <w:rPr>
                <w:lang w:val="en-US"/>
              </w:rPr>
              <w:t> </w:t>
            </w:r>
            <w:r w:rsidRPr="006419D8">
              <w:t>приложении IV к документу ECE/TRANS/WP.29/GRE/76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21" w:type="dxa"/>
            <w:tcBorders>
              <w:top w:val="nil"/>
            </w:tcBorders>
          </w:tcPr>
          <w:p w:rsidR="009F4559" w:rsidRPr="006419D8" w:rsidRDefault="009F4559" w:rsidP="00A63931">
            <w:pPr>
              <w:suppressAutoHyphens/>
            </w:pPr>
            <w:r w:rsidRPr="006419D8">
              <w:t>f</w:t>
            </w:r>
          </w:p>
        </w:tc>
      </w:tr>
      <w:tr w:rsidR="009F4559" w:rsidRPr="006419D8" w:rsidTr="00B47E53">
        <w:tc>
          <w:tcPr>
            <w:tcW w:w="924" w:type="dxa"/>
            <w:tcBorders>
              <w:top w:val="nil"/>
              <w:bottom w:val="nil"/>
            </w:tcBorders>
          </w:tcPr>
          <w:p w:rsidR="009F4559" w:rsidRPr="006419D8" w:rsidRDefault="009F4559" w:rsidP="00A63931">
            <w:pPr>
              <w:suppressAutoHyphens/>
            </w:pPr>
            <w:r w:rsidRPr="006419D8">
              <w:t>27</w:t>
            </w:r>
          </w:p>
        </w:tc>
        <w:tc>
          <w:tcPr>
            <w:tcW w:w="6859" w:type="dxa"/>
            <w:tcBorders>
              <w:top w:val="nil"/>
              <w:bottom w:val="nil"/>
            </w:tcBorders>
          </w:tcPr>
          <w:p w:rsidR="009F4559" w:rsidRPr="006419D8" w:rsidRDefault="009F4559" w:rsidP="00A63931">
            <w:pPr>
              <w:suppressAutoHyphens/>
            </w:pPr>
            <w:r w:rsidRPr="006419D8">
              <w:t>(НРГ по ВОРФ) – Доклад о ходе работы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21" w:type="dxa"/>
            <w:tcBorders>
              <w:top w:val="nil"/>
            </w:tcBorders>
          </w:tcPr>
          <w:p w:rsidR="009F4559" w:rsidRPr="006419D8" w:rsidRDefault="009F4559" w:rsidP="00A63931">
            <w:pPr>
              <w:suppressAutoHyphens/>
            </w:pPr>
            <w:r w:rsidRPr="006419D8">
              <w:t>f</w:t>
            </w:r>
          </w:p>
        </w:tc>
      </w:tr>
      <w:tr w:rsidR="009F4559" w:rsidRPr="006419D8" w:rsidTr="00B47E53">
        <w:tc>
          <w:tcPr>
            <w:tcW w:w="924" w:type="dxa"/>
            <w:tcBorders>
              <w:top w:val="nil"/>
              <w:bottom w:val="nil"/>
            </w:tcBorders>
          </w:tcPr>
          <w:p w:rsidR="009F4559" w:rsidRPr="006419D8" w:rsidRDefault="009F4559" w:rsidP="00A63931">
            <w:pPr>
              <w:suppressAutoHyphens/>
            </w:pPr>
            <w:r w:rsidRPr="006419D8">
              <w:t>28</w:t>
            </w:r>
          </w:p>
        </w:tc>
        <w:tc>
          <w:tcPr>
            <w:tcW w:w="6859" w:type="dxa"/>
            <w:tcBorders>
              <w:top w:val="nil"/>
              <w:bottom w:val="nil"/>
            </w:tcBorders>
          </w:tcPr>
          <w:p w:rsidR="009F4559" w:rsidRPr="006419D8" w:rsidRDefault="009F4559" w:rsidP="00A63931">
            <w:pPr>
              <w:suppressAutoHyphens/>
            </w:pPr>
            <w:r w:rsidRPr="006419D8">
              <w:t>(ЦГ по ЭМС) – Предложение по поправкам к Правилам №</w:t>
            </w:r>
            <w:r w:rsidR="002A2AE6">
              <w:t xml:space="preserve"> </w:t>
            </w:r>
            <w:r w:rsidRPr="006419D8">
              <w:t>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21" w:type="dxa"/>
            <w:tcBorders>
              <w:top w:val="nil"/>
            </w:tcBorders>
          </w:tcPr>
          <w:p w:rsidR="009F4559" w:rsidRPr="006419D8" w:rsidRDefault="009F4559" w:rsidP="00A63931">
            <w:pPr>
              <w:suppressAutoHyphens/>
            </w:pPr>
            <w:r w:rsidRPr="006419D8">
              <w:t>с</w:t>
            </w:r>
          </w:p>
        </w:tc>
      </w:tr>
      <w:tr w:rsidR="009F4559" w:rsidRPr="006419D8" w:rsidTr="00B47E53">
        <w:tc>
          <w:tcPr>
            <w:tcW w:w="924" w:type="dxa"/>
            <w:tcBorders>
              <w:top w:val="nil"/>
              <w:bottom w:val="nil"/>
            </w:tcBorders>
          </w:tcPr>
          <w:p w:rsidR="009F4559" w:rsidRPr="006419D8" w:rsidRDefault="009F4559" w:rsidP="00A63931">
            <w:pPr>
              <w:suppressAutoHyphens/>
            </w:pPr>
            <w:r w:rsidRPr="006419D8">
              <w:t>29</w:t>
            </w:r>
          </w:p>
        </w:tc>
        <w:tc>
          <w:tcPr>
            <w:tcW w:w="6859" w:type="dxa"/>
            <w:tcBorders>
              <w:top w:val="nil"/>
              <w:bottom w:val="nil"/>
            </w:tcBorders>
          </w:tcPr>
          <w:p w:rsidR="009F4559" w:rsidRPr="006419D8" w:rsidRDefault="009F4559" w:rsidP="00A63931">
            <w:pPr>
              <w:suppressAutoHyphens/>
            </w:pPr>
            <w:r w:rsidRPr="006419D8">
              <w:t>(Германия) – Замечания по документу ECE/TRANS/WP.29/GRE/2017/2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21" w:type="dxa"/>
            <w:tcBorders>
              <w:top w:val="nil"/>
            </w:tcBorders>
          </w:tcPr>
          <w:p w:rsidR="009F4559" w:rsidRPr="006419D8" w:rsidRDefault="009F4559" w:rsidP="00A63931">
            <w:pPr>
              <w:suppressAutoHyphens/>
            </w:pPr>
            <w:r w:rsidRPr="006419D8">
              <w:t>d</w:t>
            </w:r>
          </w:p>
        </w:tc>
      </w:tr>
      <w:tr w:rsidR="009F4559" w:rsidRPr="006419D8" w:rsidTr="00B47E53">
        <w:tc>
          <w:tcPr>
            <w:tcW w:w="924" w:type="dxa"/>
            <w:tcBorders>
              <w:top w:val="nil"/>
              <w:bottom w:val="nil"/>
            </w:tcBorders>
          </w:tcPr>
          <w:p w:rsidR="009F4559" w:rsidRPr="006419D8" w:rsidRDefault="009F4559" w:rsidP="00A63931">
            <w:pPr>
              <w:suppressAutoHyphens/>
            </w:pPr>
            <w:r w:rsidRPr="006419D8">
              <w:t>30/Rev.1</w:t>
            </w:r>
          </w:p>
        </w:tc>
        <w:tc>
          <w:tcPr>
            <w:tcW w:w="6859" w:type="dxa"/>
            <w:tcBorders>
              <w:top w:val="nil"/>
              <w:bottom w:val="nil"/>
            </w:tcBorders>
          </w:tcPr>
          <w:p w:rsidR="009F4559" w:rsidRPr="006419D8" w:rsidRDefault="009F4559" w:rsidP="00A63931">
            <w:pPr>
              <w:suppressAutoHyphens/>
            </w:pPr>
            <w:r w:rsidRPr="006419D8">
              <w:t>(Европейская комиссия) – Пересмотр документа ECE/TRANS/WP.29/</w:t>
            </w:r>
            <w:r w:rsidR="002A2AE6">
              <w:t xml:space="preserve"> </w:t>
            </w:r>
            <w:r w:rsidRPr="006419D8">
              <w:t>GRE/2017/7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21" w:type="dxa"/>
            <w:tcBorders>
              <w:top w:val="nil"/>
            </w:tcBorders>
          </w:tcPr>
          <w:p w:rsidR="009F4559" w:rsidRPr="006419D8" w:rsidRDefault="009F4559" w:rsidP="00A63931">
            <w:pPr>
              <w:suppressAutoHyphens/>
            </w:pPr>
            <w:r w:rsidRPr="006419D8">
              <w:t>f</w:t>
            </w:r>
          </w:p>
        </w:tc>
      </w:tr>
      <w:tr w:rsidR="009F4559" w:rsidRPr="006419D8" w:rsidTr="00B47E53">
        <w:tc>
          <w:tcPr>
            <w:tcW w:w="924" w:type="dxa"/>
            <w:tcBorders>
              <w:top w:val="nil"/>
              <w:bottom w:val="nil"/>
            </w:tcBorders>
          </w:tcPr>
          <w:p w:rsidR="009F4559" w:rsidRPr="006419D8" w:rsidRDefault="009F4559" w:rsidP="00A63931">
            <w:pPr>
              <w:suppressAutoHyphens/>
            </w:pPr>
            <w:r w:rsidRPr="006419D8">
              <w:t>31</w:t>
            </w:r>
          </w:p>
        </w:tc>
        <w:tc>
          <w:tcPr>
            <w:tcW w:w="6859" w:type="dxa"/>
            <w:tcBorders>
              <w:top w:val="nil"/>
              <w:bottom w:val="nil"/>
            </w:tcBorders>
          </w:tcPr>
          <w:p w:rsidR="009F4559" w:rsidRPr="006419D8" w:rsidRDefault="009F4559" w:rsidP="00A63931">
            <w:pPr>
              <w:suppressAutoHyphens/>
            </w:pPr>
            <w:r w:rsidRPr="006419D8">
              <w:t>(Европейская комиссия) – Значение уникального идентификатора для упрощения правил, касающихся освещения и световой сигнализации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21" w:type="dxa"/>
            <w:tcBorders>
              <w:top w:val="nil"/>
            </w:tcBorders>
          </w:tcPr>
          <w:p w:rsidR="009F4559" w:rsidRPr="006419D8" w:rsidRDefault="009F4559" w:rsidP="00A63931">
            <w:pPr>
              <w:suppressAutoHyphens/>
            </w:pPr>
            <w:r w:rsidRPr="006419D8">
              <w:t>f</w:t>
            </w:r>
          </w:p>
        </w:tc>
      </w:tr>
      <w:tr w:rsidR="009F4559" w:rsidRPr="006419D8" w:rsidTr="00B47E53">
        <w:tc>
          <w:tcPr>
            <w:tcW w:w="924" w:type="dxa"/>
            <w:tcBorders>
              <w:top w:val="nil"/>
              <w:bottom w:val="single" w:sz="12" w:space="0" w:color="auto"/>
            </w:tcBorders>
          </w:tcPr>
          <w:p w:rsidR="009F4559" w:rsidRPr="006419D8" w:rsidRDefault="009F4559" w:rsidP="00A63931">
            <w:pPr>
              <w:suppressAutoHyphens/>
            </w:pPr>
            <w:r w:rsidRPr="006419D8">
              <w:t>32</w:t>
            </w:r>
          </w:p>
        </w:tc>
        <w:tc>
          <w:tcPr>
            <w:tcW w:w="6859" w:type="dxa"/>
            <w:tcBorders>
              <w:top w:val="nil"/>
              <w:bottom w:val="single" w:sz="12" w:space="0" w:color="auto"/>
            </w:tcBorders>
          </w:tcPr>
          <w:p w:rsidR="009F4559" w:rsidRPr="006419D8" w:rsidRDefault="009F4559" w:rsidP="00A63931">
            <w:pPr>
              <w:suppressAutoHyphens/>
            </w:pPr>
            <w:r w:rsidRPr="006419D8">
              <w:t>(НРГ по УПО) – Доклад о ходе работы и последующие шаги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21" w:type="dxa"/>
            <w:tcBorders>
              <w:top w:val="nil"/>
            </w:tcBorders>
          </w:tcPr>
          <w:p w:rsidR="009F4559" w:rsidRPr="006419D8" w:rsidRDefault="009F4559" w:rsidP="00A63931">
            <w:pPr>
              <w:suppressAutoHyphens/>
            </w:pPr>
            <w:r w:rsidRPr="006419D8">
              <w:t>f</w:t>
            </w:r>
          </w:p>
        </w:tc>
      </w:tr>
    </w:tbl>
    <w:p w:rsidR="009F4559" w:rsidRPr="006419D8" w:rsidRDefault="009F4559" w:rsidP="006419D8">
      <w:pPr>
        <w:pStyle w:val="SingleTxtGR"/>
        <w:suppressAutoHyphens/>
        <w:spacing w:before="120" w:after="0" w:line="220" w:lineRule="exact"/>
        <w:ind w:firstLine="170"/>
        <w:jc w:val="left"/>
        <w:rPr>
          <w:i/>
          <w:sz w:val="18"/>
          <w:szCs w:val="18"/>
        </w:rPr>
      </w:pPr>
      <w:r w:rsidRPr="006419D8">
        <w:rPr>
          <w:i/>
          <w:sz w:val="18"/>
          <w:szCs w:val="18"/>
        </w:rPr>
        <w:t>Примечания</w:t>
      </w:r>
      <w:r w:rsidRPr="006419D8">
        <w:rPr>
          <w:sz w:val="18"/>
          <w:szCs w:val="18"/>
        </w:rPr>
        <w:t>:</w:t>
      </w:r>
    </w:p>
    <w:p w:rsidR="009F4559" w:rsidRPr="006419D8" w:rsidRDefault="009F4559" w:rsidP="006419D8">
      <w:pPr>
        <w:pStyle w:val="SingleTxtGR"/>
        <w:suppressAutoHyphens/>
        <w:spacing w:after="0" w:line="220" w:lineRule="exact"/>
        <w:ind w:firstLine="170"/>
        <w:jc w:val="left"/>
        <w:rPr>
          <w:sz w:val="18"/>
          <w:szCs w:val="18"/>
        </w:rPr>
      </w:pPr>
      <w:r w:rsidRPr="006419D8">
        <w:rPr>
          <w:sz w:val="18"/>
          <w:szCs w:val="18"/>
        </w:rPr>
        <w:t>а)</w:t>
      </w:r>
      <w:r w:rsidRPr="006419D8">
        <w:rPr>
          <w:sz w:val="18"/>
          <w:szCs w:val="18"/>
        </w:rPr>
        <w:tab/>
        <w:t>Утвержден или принят без изменений.</w:t>
      </w:r>
    </w:p>
    <w:p w:rsidR="009F4559" w:rsidRPr="006419D8" w:rsidRDefault="009F4559" w:rsidP="006419D8">
      <w:pPr>
        <w:pStyle w:val="SingleTxtGR"/>
        <w:suppressAutoHyphens/>
        <w:spacing w:after="0" w:line="220" w:lineRule="exact"/>
        <w:ind w:firstLine="170"/>
        <w:jc w:val="left"/>
        <w:rPr>
          <w:sz w:val="18"/>
          <w:szCs w:val="18"/>
        </w:rPr>
      </w:pPr>
      <w:r w:rsidRPr="006419D8">
        <w:rPr>
          <w:sz w:val="18"/>
          <w:szCs w:val="18"/>
        </w:rPr>
        <w:t>b)</w:t>
      </w:r>
      <w:r w:rsidRPr="006419D8">
        <w:rPr>
          <w:sz w:val="18"/>
          <w:szCs w:val="18"/>
        </w:rPr>
        <w:tab/>
        <w:t>Утвержден или принят с изменениями.</w:t>
      </w:r>
    </w:p>
    <w:p w:rsidR="009F4559" w:rsidRPr="006419D8" w:rsidRDefault="009F4559" w:rsidP="00585AE4">
      <w:pPr>
        <w:pStyle w:val="SingleTxtGR"/>
        <w:suppressAutoHyphens/>
        <w:spacing w:after="0" w:line="220" w:lineRule="exact"/>
        <w:ind w:left="1701" w:hanging="397"/>
        <w:jc w:val="left"/>
        <w:rPr>
          <w:sz w:val="18"/>
          <w:szCs w:val="18"/>
        </w:rPr>
      </w:pPr>
      <w:r w:rsidRPr="006419D8">
        <w:rPr>
          <w:sz w:val="18"/>
          <w:szCs w:val="18"/>
        </w:rPr>
        <w:t>c)</w:t>
      </w:r>
      <w:r w:rsidRPr="006419D8">
        <w:rPr>
          <w:sz w:val="18"/>
          <w:szCs w:val="18"/>
        </w:rPr>
        <w:tab/>
        <w:t>Рассмотрение будет возобновлено на основе документа под официальным условным обозначением.</w:t>
      </w:r>
    </w:p>
    <w:p w:rsidR="009F4559" w:rsidRPr="006419D8" w:rsidRDefault="009F4559" w:rsidP="006419D8">
      <w:pPr>
        <w:pStyle w:val="SingleTxtGR"/>
        <w:suppressAutoHyphens/>
        <w:spacing w:after="0" w:line="220" w:lineRule="exact"/>
        <w:ind w:firstLine="170"/>
        <w:jc w:val="left"/>
        <w:rPr>
          <w:sz w:val="18"/>
          <w:szCs w:val="18"/>
        </w:rPr>
      </w:pPr>
      <w:r w:rsidRPr="006419D8">
        <w:rPr>
          <w:sz w:val="18"/>
          <w:szCs w:val="18"/>
        </w:rPr>
        <w:t>d)</w:t>
      </w:r>
      <w:r w:rsidRPr="006419D8">
        <w:rPr>
          <w:sz w:val="18"/>
          <w:szCs w:val="18"/>
        </w:rPr>
        <w:tab/>
        <w:t>Сохранен в качестве справочного документа/рассмотрение будет продолжено.</w:t>
      </w:r>
    </w:p>
    <w:p w:rsidR="009F4559" w:rsidRPr="006419D8" w:rsidRDefault="009F4559" w:rsidP="006419D8">
      <w:pPr>
        <w:pStyle w:val="SingleTxtGR"/>
        <w:suppressAutoHyphens/>
        <w:spacing w:after="0" w:line="220" w:lineRule="exact"/>
        <w:ind w:firstLine="170"/>
        <w:jc w:val="left"/>
        <w:rPr>
          <w:sz w:val="18"/>
          <w:szCs w:val="18"/>
        </w:rPr>
      </w:pPr>
      <w:r w:rsidRPr="006419D8">
        <w:rPr>
          <w:sz w:val="18"/>
          <w:szCs w:val="18"/>
        </w:rPr>
        <w:t>e)</w:t>
      </w:r>
      <w:r w:rsidRPr="006419D8">
        <w:rPr>
          <w:sz w:val="18"/>
          <w:szCs w:val="18"/>
        </w:rPr>
        <w:tab/>
        <w:t>Пересмотренное предложение для следующей сессии.</w:t>
      </w:r>
    </w:p>
    <w:p w:rsidR="009F4559" w:rsidRPr="006419D8" w:rsidRDefault="009F4559" w:rsidP="006419D8">
      <w:pPr>
        <w:pStyle w:val="SingleTxtGR"/>
        <w:suppressAutoHyphens/>
        <w:spacing w:after="0" w:line="220" w:lineRule="exact"/>
        <w:ind w:firstLine="170"/>
        <w:jc w:val="left"/>
        <w:rPr>
          <w:sz w:val="18"/>
          <w:szCs w:val="18"/>
        </w:rPr>
      </w:pPr>
      <w:r w:rsidRPr="006419D8">
        <w:rPr>
          <w:sz w:val="18"/>
          <w:szCs w:val="18"/>
        </w:rPr>
        <w:t>f)</w:t>
      </w:r>
      <w:r w:rsidRPr="006419D8">
        <w:rPr>
          <w:sz w:val="18"/>
          <w:szCs w:val="18"/>
        </w:rPr>
        <w:tab/>
        <w:t>Рассмотрение завершено либо документ подлежит замене.</w:t>
      </w:r>
    </w:p>
    <w:p w:rsidR="001276E8" w:rsidRPr="006419D8" w:rsidRDefault="009F4559" w:rsidP="006419D8">
      <w:pPr>
        <w:pStyle w:val="SingleTxtGR"/>
        <w:suppressAutoHyphens/>
        <w:spacing w:after="0" w:line="220" w:lineRule="exact"/>
        <w:ind w:firstLine="170"/>
        <w:jc w:val="left"/>
        <w:rPr>
          <w:sz w:val="18"/>
          <w:szCs w:val="18"/>
        </w:rPr>
      </w:pPr>
      <w:r w:rsidRPr="006419D8">
        <w:rPr>
          <w:sz w:val="18"/>
          <w:szCs w:val="18"/>
        </w:rPr>
        <w:t>g)</w:t>
      </w:r>
      <w:r w:rsidRPr="006419D8">
        <w:rPr>
          <w:sz w:val="18"/>
          <w:szCs w:val="18"/>
        </w:rPr>
        <w:tab/>
        <w:t>Снят с обсуждения.</w:t>
      </w:r>
    </w:p>
    <w:p w:rsidR="009F4559" w:rsidRPr="009F4559" w:rsidRDefault="009F4559" w:rsidP="006419D8">
      <w:pPr>
        <w:pStyle w:val="HChGR"/>
      </w:pPr>
      <w:r>
        <w:br w:type="page"/>
      </w:r>
      <w:r w:rsidRPr="009F4559">
        <w:t>Приложение II</w:t>
      </w:r>
      <w:bookmarkStart w:id="12" w:name="_Toc360526931"/>
      <w:bookmarkStart w:id="13" w:name="_Toc369772241"/>
      <w:bookmarkEnd w:id="12"/>
      <w:bookmarkEnd w:id="13"/>
    </w:p>
    <w:p w:rsidR="009F4559" w:rsidRPr="009F4559" w:rsidRDefault="009F4559" w:rsidP="00672DBE">
      <w:pPr>
        <w:pStyle w:val="HChGR"/>
      </w:pPr>
      <w:r w:rsidRPr="009F4559">
        <w:tab/>
      </w:r>
      <w:r w:rsidRPr="009F4559">
        <w:tab/>
        <w:t>Принятые поправки к поправкам серии 06 к</w:t>
      </w:r>
      <w:r w:rsidR="003D04AE">
        <w:rPr>
          <w:lang w:val="en-US"/>
        </w:rPr>
        <w:t> </w:t>
      </w:r>
      <w:r w:rsidRPr="009F4559">
        <w:t xml:space="preserve">Правилам № 48 (пункт 19 доклада) </w:t>
      </w:r>
    </w:p>
    <w:p w:rsidR="009F4559" w:rsidRPr="009F4559" w:rsidRDefault="001662DE" w:rsidP="00A63931">
      <w:pPr>
        <w:pStyle w:val="SingleTxtGR"/>
        <w:tabs>
          <w:tab w:val="clear" w:pos="1701"/>
          <w:tab w:val="left" w:pos="6521"/>
        </w:tabs>
        <w:ind w:left="2268" w:hanging="1134"/>
      </w:pPr>
      <w:r>
        <w:tab/>
      </w:r>
      <w:r w:rsidR="009F4559" w:rsidRPr="009F4559">
        <w:t>…</w:t>
      </w:r>
    </w:p>
    <w:p w:rsidR="009F4559" w:rsidRPr="001F770D" w:rsidRDefault="009F4559" w:rsidP="00A63931">
      <w:pPr>
        <w:pStyle w:val="SingleTxtGR"/>
        <w:tabs>
          <w:tab w:val="clear" w:pos="1701"/>
          <w:tab w:val="left" w:pos="6521"/>
        </w:tabs>
        <w:ind w:left="2268" w:hanging="1134"/>
        <w:rPr>
          <w:strike/>
        </w:rPr>
      </w:pPr>
      <w:r w:rsidRPr="001F770D">
        <w:rPr>
          <w:strike/>
        </w:rPr>
        <w:t>5.11.1.3</w:t>
      </w:r>
      <w:r w:rsidRPr="001F770D">
        <w:rPr>
          <w:strike/>
        </w:rPr>
        <w:tab/>
        <w:t>когда система световой сигнализации работает в соответствии с</w:t>
      </w:r>
      <w:r w:rsidR="00585AE4">
        <w:rPr>
          <w:strike/>
        </w:rPr>
        <w:t> </w:t>
      </w:r>
      <w:r w:rsidRPr="001F770D">
        <w:rPr>
          <w:strike/>
        </w:rPr>
        <w:t>пунктом 6.2.7.6.2;</w:t>
      </w:r>
    </w:p>
    <w:p w:rsidR="009F4559" w:rsidRPr="009F4559" w:rsidRDefault="001662DE" w:rsidP="00A63931">
      <w:pPr>
        <w:pStyle w:val="SingleTxtGR"/>
        <w:tabs>
          <w:tab w:val="clear" w:pos="1701"/>
          <w:tab w:val="left" w:pos="6521"/>
        </w:tabs>
        <w:ind w:left="2268" w:hanging="1134"/>
      </w:pPr>
      <w:r>
        <w:tab/>
      </w:r>
      <w:r w:rsidR="009F4559" w:rsidRPr="009F4559">
        <w:t>…</w:t>
      </w:r>
    </w:p>
    <w:p w:rsidR="009F4559" w:rsidRPr="001F770D" w:rsidRDefault="009F4559" w:rsidP="00A63931">
      <w:pPr>
        <w:pStyle w:val="SingleTxtGR"/>
        <w:tabs>
          <w:tab w:val="clear" w:pos="1701"/>
          <w:tab w:val="left" w:pos="6521"/>
        </w:tabs>
        <w:ind w:left="2268" w:hanging="1134"/>
        <w:rPr>
          <w:strike/>
        </w:rPr>
      </w:pPr>
      <w:r w:rsidRPr="009F4559">
        <w:t>6.2.7.6</w:t>
      </w:r>
      <w:r w:rsidRPr="009F4559">
        <w:tab/>
      </w:r>
      <w:r w:rsidRPr="001F770D">
        <w:rPr>
          <w:strike/>
        </w:rPr>
        <w:t>При наличии дневных ходовых огней, работающих в соответствии с пунктом 6.19,</w:t>
      </w:r>
    </w:p>
    <w:p w:rsidR="009F4559" w:rsidRPr="009F4559" w:rsidRDefault="009F4559" w:rsidP="00A63931">
      <w:pPr>
        <w:pStyle w:val="SingleTxtGR"/>
        <w:tabs>
          <w:tab w:val="clear" w:pos="1701"/>
          <w:tab w:val="left" w:pos="6521"/>
        </w:tabs>
        <w:ind w:left="2268" w:hanging="1134"/>
      </w:pPr>
      <w:r w:rsidRPr="00D42204">
        <w:rPr>
          <w:strike/>
        </w:rPr>
        <w:t>6.2.7.6.1</w:t>
      </w:r>
      <w:r w:rsidRPr="00D42204">
        <w:tab/>
      </w:r>
      <w:r w:rsidRPr="009F4559">
        <w:t>фары ближнего света должны включаться и выключаться автоматически в зависимости от окружающих условий освещенности (например, включаться при движении в ночное время, в туннелях и т.д.) согласно требованиям приложения 13</w:t>
      </w:r>
      <w:r w:rsidRPr="001662DE">
        <w:rPr>
          <w:b/>
        </w:rPr>
        <w:t>.</w:t>
      </w:r>
      <w:r w:rsidRPr="001662DE">
        <w:rPr>
          <w:strike/>
        </w:rPr>
        <w:t>; либо</w:t>
      </w:r>
    </w:p>
    <w:p w:rsidR="009F4559" w:rsidRPr="001F770D" w:rsidRDefault="009F4559" w:rsidP="00A63931">
      <w:pPr>
        <w:pStyle w:val="SingleTxtGR"/>
        <w:tabs>
          <w:tab w:val="clear" w:pos="1701"/>
          <w:tab w:val="left" w:pos="6521"/>
        </w:tabs>
        <w:ind w:left="2268" w:hanging="1134"/>
        <w:rPr>
          <w:strike/>
        </w:rPr>
      </w:pPr>
      <w:r w:rsidRPr="001F770D">
        <w:rPr>
          <w:strike/>
        </w:rPr>
        <w:t>6.2.7.6.2</w:t>
      </w:r>
      <w:r w:rsidRPr="001F770D">
        <w:rPr>
          <w:strike/>
        </w:rPr>
        <w:tab/>
        <w:t>дневные ходовые огни функционируют совместно с огнями, перечисленными в пункте 5.11, когда (как минимум) должны включаться, по крайней мере, задние габаритные огни; либо</w:t>
      </w:r>
    </w:p>
    <w:p w:rsidR="009F4559" w:rsidRPr="001F770D" w:rsidRDefault="009F4559" w:rsidP="00A63931">
      <w:pPr>
        <w:pStyle w:val="SingleTxtGR"/>
        <w:tabs>
          <w:tab w:val="clear" w:pos="1701"/>
          <w:tab w:val="left" w:pos="6521"/>
        </w:tabs>
        <w:ind w:left="2268" w:hanging="1134"/>
        <w:rPr>
          <w:strike/>
        </w:rPr>
      </w:pPr>
      <w:r w:rsidRPr="001F770D">
        <w:rPr>
          <w:strike/>
        </w:rPr>
        <w:t>6.2.7.6.3</w:t>
      </w:r>
      <w:r w:rsidRPr="001F770D">
        <w:rPr>
          <w:strike/>
        </w:rPr>
        <w:tab/>
        <w:t>для информирования водителя о том, что фары, габаритные огни и, в случае наличия,</w:t>
      </w:r>
      <w:r w:rsidRPr="00585AE4">
        <w:rPr>
          <w:strike/>
          <w:spacing w:val="2"/>
        </w:rPr>
        <w:t xml:space="preserve"> задние контурные огни и боковые контурные огни не включены, </w:t>
      </w:r>
      <w:r w:rsidRPr="001F770D">
        <w:rPr>
          <w:strike/>
        </w:rPr>
        <w:t>предусматриваются различные способы, а именно:</w:t>
      </w:r>
    </w:p>
    <w:p w:rsidR="009F4559" w:rsidRPr="001F770D" w:rsidRDefault="009F4559" w:rsidP="00A63931">
      <w:pPr>
        <w:pStyle w:val="SingleTxtGR"/>
        <w:tabs>
          <w:tab w:val="clear" w:pos="1701"/>
          <w:tab w:val="left" w:pos="6521"/>
        </w:tabs>
        <w:ind w:left="2268" w:hanging="1134"/>
        <w:rPr>
          <w:strike/>
        </w:rPr>
      </w:pPr>
      <w:r w:rsidRPr="001F770D">
        <w:rPr>
          <w:strike/>
        </w:rPr>
        <w:t>6.2.7.6.3.1</w:t>
      </w:r>
      <w:r w:rsidRPr="001F770D">
        <w:rPr>
          <w:strike/>
        </w:rPr>
        <w:tab/>
        <w:t>в ночное и дневное время предусматриваются два четко различимых уровня освещенности приборной доски, указывающие водителю, что должны быть включены фары ближнего света; или</w:t>
      </w:r>
    </w:p>
    <w:p w:rsidR="009F4559" w:rsidRPr="001F770D" w:rsidRDefault="009F4559" w:rsidP="00A63931">
      <w:pPr>
        <w:pStyle w:val="SingleTxtGR"/>
        <w:tabs>
          <w:tab w:val="clear" w:pos="1701"/>
          <w:tab w:val="left" w:pos="6521"/>
        </w:tabs>
        <w:ind w:left="2268" w:hanging="1134"/>
        <w:rPr>
          <w:strike/>
        </w:rPr>
      </w:pPr>
      <w:r w:rsidRPr="001F770D">
        <w:rPr>
          <w:strike/>
        </w:rPr>
        <w:t>6.2.7.6.3.2</w:t>
      </w:r>
      <w:r w:rsidRPr="001F770D">
        <w:rPr>
          <w:strike/>
        </w:rPr>
        <w:tab/>
        <w:t>неосвещенные индикаторы и идентификация ручных органов управления, которые требуются в соответствии с Правилами № 121, должны быть освещены в том случае, когда фары включены; или</w:t>
      </w:r>
    </w:p>
    <w:p w:rsidR="009F4559" w:rsidRPr="009F4559" w:rsidRDefault="009F4559" w:rsidP="00A63931">
      <w:pPr>
        <w:pStyle w:val="SingleTxtGR"/>
        <w:tabs>
          <w:tab w:val="clear" w:pos="1701"/>
          <w:tab w:val="left" w:pos="6521"/>
        </w:tabs>
        <w:ind w:left="2268" w:hanging="1134"/>
      </w:pPr>
      <w:r w:rsidRPr="001F770D">
        <w:rPr>
          <w:strike/>
        </w:rPr>
        <w:t>6.2.7.6.3.3</w:t>
      </w:r>
      <w:r w:rsidRPr="001F770D">
        <w:rPr>
          <w:strike/>
        </w:rPr>
        <w:tab/>
        <w:t>контрольный визуальный, звуковой или оба сигнала должны включаться только в условиях ограниченной внешней освещенности, определенных в приложении 13, с целью информировать водителя о том, что фары ближнего света необходимо включить. Если контрольный сигнал включен, то он должен гаснуть только после включения фар ближнего света или когда устройство запуска и/или остановки двигателя (силовой установки) установлено в такое положение, при котором двигатель (силовая установка) работать не может.</w:t>
      </w:r>
    </w:p>
    <w:p w:rsidR="009F4559" w:rsidRPr="009F4559" w:rsidRDefault="001662DE" w:rsidP="00A63931">
      <w:pPr>
        <w:pStyle w:val="SingleTxtGR"/>
        <w:tabs>
          <w:tab w:val="clear" w:pos="1701"/>
          <w:tab w:val="left" w:pos="6521"/>
        </w:tabs>
        <w:ind w:left="2268" w:hanging="1134"/>
      </w:pPr>
      <w:r>
        <w:tab/>
      </w:r>
      <w:r w:rsidR="009F4559" w:rsidRPr="009F4559">
        <w:t>…</w:t>
      </w:r>
    </w:p>
    <w:p w:rsidR="009F4559" w:rsidRPr="009F4559" w:rsidRDefault="009F4559" w:rsidP="00A63931">
      <w:pPr>
        <w:pStyle w:val="SingleTxtGR"/>
        <w:tabs>
          <w:tab w:val="clear" w:pos="1701"/>
          <w:tab w:val="left" w:pos="6521"/>
        </w:tabs>
        <w:ind w:left="2268" w:hanging="1134"/>
      </w:pPr>
      <w:r w:rsidRPr="009F4559">
        <w:t>6.9.8</w:t>
      </w:r>
      <w:r w:rsidRPr="009F4559">
        <w:tab/>
        <w:t xml:space="preserve">Контрольный сигнал </w:t>
      </w:r>
    </w:p>
    <w:p w:rsidR="009F4559" w:rsidRPr="009F4559" w:rsidRDefault="00376BEB" w:rsidP="00A63931">
      <w:pPr>
        <w:pStyle w:val="SingleTxtGR"/>
        <w:tabs>
          <w:tab w:val="clear" w:pos="1701"/>
          <w:tab w:val="left" w:pos="6521"/>
        </w:tabs>
        <w:ind w:left="2268" w:hanging="1134"/>
      </w:pPr>
      <w:r>
        <w:tab/>
      </w:r>
      <w:r w:rsidR="009F4559" w:rsidRPr="009F4559">
        <w:t>Контрольный сигнал включения является обязательным. Этот контрольный сигнал должен быть немигающим; он не требуется, если устройство освещения приборного щитка может включаться только одновременно с передними габаритными огнями.</w:t>
      </w:r>
    </w:p>
    <w:p w:rsidR="009F4559" w:rsidRPr="00376BEB" w:rsidRDefault="00376BEB" w:rsidP="00A63931">
      <w:pPr>
        <w:pStyle w:val="SingleTxtGR"/>
        <w:tabs>
          <w:tab w:val="clear" w:pos="1701"/>
          <w:tab w:val="left" w:pos="6521"/>
        </w:tabs>
        <w:ind w:left="2268" w:hanging="1134"/>
        <w:rPr>
          <w:strike/>
        </w:rPr>
      </w:pPr>
      <w:r>
        <w:tab/>
      </w:r>
      <w:r w:rsidR="009F4559" w:rsidRPr="00376BEB">
        <w:rPr>
          <w:strike/>
        </w:rPr>
        <w:t xml:space="preserve">Это требование не применяют, когда система световой сигнализации работает в соответствии с пунктом </w:t>
      </w:r>
      <w:r w:rsidR="009F4559" w:rsidRPr="00376BEB">
        <w:rPr>
          <w:bCs/>
          <w:strike/>
        </w:rPr>
        <w:t>6.2.7.6.2</w:t>
      </w:r>
      <w:r w:rsidR="009F4559" w:rsidRPr="00376BEB">
        <w:rPr>
          <w:strike/>
        </w:rPr>
        <w:t>.</w:t>
      </w:r>
    </w:p>
    <w:p w:rsidR="009F4559" w:rsidRPr="009F4559" w:rsidRDefault="00B618AE" w:rsidP="00A63931">
      <w:pPr>
        <w:pStyle w:val="SingleTxtGR"/>
        <w:tabs>
          <w:tab w:val="clear" w:pos="1701"/>
          <w:tab w:val="left" w:pos="6521"/>
        </w:tabs>
        <w:ind w:left="2268" w:hanging="1134"/>
      </w:pPr>
      <w:r>
        <w:tab/>
      </w:r>
      <w:r w:rsidR="009F4559" w:rsidRPr="009F4559">
        <w:t>…</w:t>
      </w:r>
    </w:p>
    <w:p w:rsidR="009F4559" w:rsidRPr="009F4559" w:rsidRDefault="009F4559" w:rsidP="00376BEB">
      <w:pPr>
        <w:pStyle w:val="SingleTxtGR"/>
        <w:keepNext/>
        <w:keepLines/>
        <w:tabs>
          <w:tab w:val="clear" w:pos="1701"/>
          <w:tab w:val="left" w:pos="6521"/>
        </w:tabs>
        <w:ind w:left="2268" w:hanging="1134"/>
      </w:pPr>
      <w:r w:rsidRPr="009F4559">
        <w:t>6.10.8</w:t>
      </w:r>
      <w:r w:rsidRPr="009F4559">
        <w:tab/>
        <w:t>Контрольный сигнал</w:t>
      </w:r>
    </w:p>
    <w:p w:rsidR="009F4559" w:rsidRPr="009F4559" w:rsidRDefault="00376BEB" w:rsidP="00376BEB">
      <w:pPr>
        <w:pStyle w:val="SingleTxtGR"/>
        <w:keepNext/>
        <w:keepLines/>
        <w:tabs>
          <w:tab w:val="clear" w:pos="1701"/>
          <w:tab w:val="left" w:pos="6521"/>
        </w:tabs>
        <w:ind w:left="2268" w:hanging="1134"/>
      </w:pPr>
      <w:r>
        <w:tab/>
      </w:r>
      <w:r w:rsidR="009F4559" w:rsidRPr="009F4559">
        <w:t>Контрольный сигнал включения является обязательным. Он должен быть скомбинирован с контрольным сигналом включения передних габаритных огней.</w:t>
      </w:r>
    </w:p>
    <w:p w:rsidR="009F4559" w:rsidRPr="00376BEB" w:rsidRDefault="00376BEB" w:rsidP="00A63931">
      <w:pPr>
        <w:pStyle w:val="SingleTxtGR"/>
        <w:tabs>
          <w:tab w:val="clear" w:pos="1701"/>
          <w:tab w:val="left" w:pos="6521"/>
        </w:tabs>
        <w:ind w:left="2268" w:hanging="1134"/>
        <w:rPr>
          <w:strike/>
        </w:rPr>
      </w:pPr>
      <w:r>
        <w:tab/>
      </w:r>
      <w:r w:rsidR="009F4559" w:rsidRPr="00376BEB">
        <w:rPr>
          <w:strike/>
        </w:rPr>
        <w:t xml:space="preserve">Это требование не применяют, когда система световой сигнализации работает в соответствии с пунктом </w:t>
      </w:r>
      <w:r w:rsidR="009F4559" w:rsidRPr="00376BEB">
        <w:rPr>
          <w:bCs/>
          <w:strike/>
        </w:rPr>
        <w:t>6.2.7.6.2</w:t>
      </w:r>
      <w:r w:rsidR="009F4559" w:rsidRPr="00376BEB">
        <w:rPr>
          <w:strike/>
        </w:rPr>
        <w:t>.</w:t>
      </w:r>
    </w:p>
    <w:p w:rsidR="009F4559" w:rsidRPr="009F4559" w:rsidRDefault="000B619A" w:rsidP="00A63931">
      <w:pPr>
        <w:pStyle w:val="SingleTxtGR"/>
        <w:tabs>
          <w:tab w:val="clear" w:pos="1701"/>
          <w:tab w:val="left" w:pos="6521"/>
        </w:tabs>
        <w:ind w:left="2268" w:hanging="1134"/>
      </w:pPr>
      <w:r>
        <w:tab/>
      </w:r>
      <w:r w:rsidR="009F4559" w:rsidRPr="009F4559">
        <w:t>…</w:t>
      </w:r>
    </w:p>
    <w:p w:rsidR="009F4559" w:rsidRPr="009F4559" w:rsidRDefault="009F4559" w:rsidP="00A63931">
      <w:pPr>
        <w:pStyle w:val="SingleTxtGR"/>
        <w:tabs>
          <w:tab w:val="clear" w:pos="1701"/>
          <w:tab w:val="left" w:pos="6521"/>
        </w:tabs>
        <w:ind w:left="2268" w:hanging="1134"/>
      </w:pPr>
      <w:r w:rsidRPr="009F4559">
        <w:t>6.19</w:t>
      </w:r>
      <w:r w:rsidRPr="009F4559">
        <w:tab/>
        <w:t>Дневной ходовой огонь (Правила № 87)</w:t>
      </w:r>
      <w:r w:rsidRPr="00E0485B">
        <w:rPr>
          <w:strike/>
          <w:sz w:val="18"/>
          <w:szCs w:val="18"/>
          <w:vertAlign w:val="superscript"/>
        </w:rPr>
        <w:t>14</w:t>
      </w:r>
    </w:p>
    <w:p w:rsidR="00585AE4" w:rsidRPr="00BD7256" w:rsidRDefault="009F4559" w:rsidP="000B619A">
      <w:pPr>
        <w:pStyle w:val="Footer"/>
        <w:tabs>
          <w:tab w:val="clear" w:pos="9639"/>
          <w:tab w:val="left" w:pos="2268"/>
        </w:tabs>
        <w:spacing w:after="120"/>
        <w:ind w:left="1134"/>
        <w:rPr>
          <w:u w:val="single"/>
          <w:lang w:val="ru-RU"/>
        </w:rPr>
      </w:pPr>
      <w:r w:rsidRPr="00BD7256">
        <w:rPr>
          <w:lang w:val="ru-RU"/>
        </w:rPr>
        <w:tab/>
      </w:r>
      <w:r w:rsidR="00585AE4" w:rsidRPr="00BD7256">
        <w:rPr>
          <w:u w:val="single"/>
          <w:lang w:val="ru-RU"/>
        </w:rPr>
        <w:tab/>
      </w:r>
      <w:r w:rsidR="00E0485B" w:rsidRPr="00BD7256">
        <w:rPr>
          <w:u w:val="single"/>
          <w:lang w:val="ru-RU"/>
        </w:rPr>
        <w:tab/>
      </w:r>
      <w:r w:rsidR="00E0485B" w:rsidRPr="00BD7256">
        <w:rPr>
          <w:u w:val="single"/>
          <w:lang w:val="ru-RU"/>
        </w:rPr>
        <w:tab/>
      </w:r>
      <w:r w:rsidR="00E0485B" w:rsidRPr="00BD7256">
        <w:rPr>
          <w:u w:val="single"/>
          <w:lang w:val="ru-RU"/>
        </w:rPr>
        <w:tab/>
      </w:r>
    </w:p>
    <w:p w:rsidR="009F4559" w:rsidRPr="00342FC2" w:rsidRDefault="00376BEB" w:rsidP="003C02A3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1021"/>
          <w:tab w:val="left" w:pos="2506"/>
        </w:tabs>
        <w:suppressAutoHyphens/>
        <w:spacing w:line="220" w:lineRule="exact"/>
        <w:ind w:left="2268" w:hanging="1134"/>
        <w:jc w:val="left"/>
        <w:rPr>
          <w:bCs/>
          <w:strike/>
          <w:sz w:val="18"/>
          <w:szCs w:val="18"/>
        </w:rPr>
      </w:pPr>
      <w:r>
        <w:rPr>
          <w:bCs/>
          <w:vertAlign w:val="superscript"/>
        </w:rPr>
        <w:tab/>
      </w:r>
      <w:r w:rsidR="009F4559" w:rsidRPr="00342FC2">
        <w:rPr>
          <w:bCs/>
          <w:strike/>
          <w:vertAlign w:val="superscript"/>
        </w:rPr>
        <w:t>14</w:t>
      </w:r>
      <w:r w:rsidR="00253C24">
        <w:rPr>
          <w:bCs/>
          <w:strike/>
          <w:vertAlign w:val="superscript"/>
        </w:rPr>
        <w:tab/>
      </w:r>
      <w:r w:rsidR="009F4559" w:rsidRPr="00342FC2">
        <w:rPr>
          <w:strike/>
          <w:sz w:val="18"/>
          <w:szCs w:val="18"/>
        </w:rPr>
        <w:t>Договаривающиеся стороны, не применяющие Правила № 87, могут запрещать установку ДХО (указанных в пункте 5.22) на основе национальных правил.</w:t>
      </w:r>
    </w:p>
    <w:p w:rsidR="009F4559" w:rsidRPr="009F4559" w:rsidRDefault="000B619A" w:rsidP="00A63931">
      <w:pPr>
        <w:pStyle w:val="SingleTxtGR"/>
        <w:tabs>
          <w:tab w:val="clear" w:pos="1701"/>
          <w:tab w:val="left" w:pos="6521"/>
        </w:tabs>
        <w:ind w:left="2268" w:hanging="1134"/>
      </w:pPr>
      <w:r>
        <w:tab/>
      </w:r>
      <w:r w:rsidR="009F4559" w:rsidRPr="009F4559">
        <w:t>…</w:t>
      </w:r>
    </w:p>
    <w:p w:rsidR="00342FC2" w:rsidRDefault="009F4559" w:rsidP="00A63931">
      <w:pPr>
        <w:pStyle w:val="SingleTxtGR"/>
        <w:tabs>
          <w:tab w:val="clear" w:pos="1701"/>
          <w:tab w:val="left" w:pos="6521"/>
        </w:tabs>
        <w:ind w:left="2268" w:hanging="1134"/>
      </w:pPr>
      <w:r w:rsidRPr="009F4559">
        <w:t>6.19.7.4</w:t>
      </w:r>
      <w:r w:rsidRPr="009F4559">
        <w:tab/>
        <w:t>Огни, указанные в пункте 5.11, могут включаться, когда включены дневные ходовые огни</w:t>
      </w:r>
      <w:r w:rsidRPr="00342FC2">
        <w:rPr>
          <w:strike/>
        </w:rPr>
        <w:t>, кроме случаев, когда дневные ходовые огни работают в соответствии с пунктом 6.2.7.6.2, предусматривающим включение как минимум задних габаритных огней</w:t>
      </w:r>
      <w:r w:rsidRPr="009F4559">
        <w:t>.</w:t>
      </w:r>
    </w:p>
    <w:p w:rsidR="009F4559" w:rsidRPr="009F4559" w:rsidRDefault="009F4559" w:rsidP="00672DBE">
      <w:pPr>
        <w:pStyle w:val="HChGR"/>
      </w:pPr>
      <w:r w:rsidRPr="009F4559">
        <w:br w:type="page"/>
        <w:t>Приложение III</w:t>
      </w:r>
    </w:p>
    <w:p w:rsidR="009F4559" w:rsidRPr="009F4559" w:rsidRDefault="009F4559" w:rsidP="00672DBE">
      <w:pPr>
        <w:pStyle w:val="HChGR"/>
      </w:pPr>
      <w:r w:rsidRPr="009F4559">
        <w:tab/>
      </w:r>
      <w:r w:rsidRPr="009F4559">
        <w:tab/>
        <w:t xml:space="preserve">Принятые предложения по поправкам </w:t>
      </w:r>
      <w:r w:rsidR="00342FC2">
        <w:br/>
      </w:r>
      <w:r w:rsidRPr="009F4559">
        <w:t xml:space="preserve">к правилам № 6, 48 и 50, касающимся указателей поворота с последовательной активацией </w:t>
      </w:r>
      <w:r w:rsidR="00342FC2">
        <w:br/>
      </w:r>
      <w:r w:rsidRPr="009F4559">
        <w:t>(пункт 22 доклада)</w:t>
      </w:r>
    </w:p>
    <w:p w:rsidR="009F4559" w:rsidRPr="009F4559" w:rsidRDefault="00C73D92" w:rsidP="00C73D92">
      <w:pPr>
        <w:pStyle w:val="H1GR"/>
      </w:pPr>
      <w:r>
        <w:tab/>
      </w:r>
      <w:r w:rsidR="009F4559" w:rsidRPr="009F4559">
        <w:t>A.</w:t>
      </w:r>
      <w:r w:rsidR="009F4559" w:rsidRPr="009F4559">
        <w:tab/>
        <w:t>Предложение по дополнению 28 к поправкам серии 01 к</w:t>
      </w:r>
      <w:r w:rsidR="0007060F">
        <w:rPr>
          <w:lang w:val="en-US"/>
        </w:rPr>
        <w:t> </w:t>
      </w:r>
      <w:r w:rsidR="009F4559" w:rsidRPr="009F4559">
        <w:t xml:space="preserve">Правилам № 6 (указатели поворота) </w:t>
      </w:r>
    </w:p>
    <w:p w:rsidR="009F4559" w:rsidRPr="009F4559" w:rsidRDefault="009F4559" w:rsidP="009F4559">
      <w:pPr>
        <w:pStyle w:val="SingleTxtGR"/>
        <w:rPr>
          <w:bCs/>
        </w:rPr>
      </w:pPr>
      <w:r w:rsidRPr="009F4559">
        <w:rPr>
          <w:i/>
          <w:iCs/>
        </w:rPr>
        <w:t xml:space="preserve">Пункт 1.3 </w:t>
      </w:r>
      <w:r w:rsidRPr="009F4559">
        <w:t>изменить следующим образом:</w:t>
      </w:r>
    </w:p>
    <w:p w:rsidR="009F4559" w:rsidRPr="009F4559" w:rsidRDefault="005F52EF" w:rsidP="00342FC2">
      <w:pPr>
        <w:pStyle w:val="SingleTxtGR"/>
        <w:tabs>
          <w:tab w:val="clear" w:pos="1701"/>
        </w:tabs>
        <w:ind w:left="2268" w:hanging="1134"/>
        <w:rPr>
          <w:bCs/>
        </w:rPr>
      </w:pPr>
      <w:r>
        <w:t>«1.3</w:t>
      </w:r>
      <w:r w:rsidR="009F4559" w:rsidRPr="009F4559">
        <w:tab/>
      </w:r>
      <w:r w:rsidR="00790EF3">
        <w:t>"</w:t>
      </w:r>
      <w:r w:rsidR="009F4559" w:rsidRPr="009F4559">
        <w:rPr>
          <w:i/>
          <w:iCs/>
        </w:rPr>
        <w:t>указатели поворота различных типов</w:t>
      </w:r>
      <w:r w:rsidR="00790EF3">
        <w:t>"</w:t>
      </w:r>
      <w:r w:rsidR="009F4559" w:rsidRPr="009F4559">
        <w:t xml:space="preserve"> означает огни, которые различаются по таким важным аспектам, как:</w:t>
      </w:r>
    </w:p>
    <w:p w:rsidR="009F4559" w:rsidRPr="009F4559" w:rsidRDefault="009F4559" w:rsidP="00F70154">
      <w:pPr>
        <w:pStyle w:val="SingleTxtGR"/>
        <w:tabs>
          <w:tab w:val="clear" w:pos="1701"/>
        </w:tabs>
        <w:ind w:left="2835" w:hanging="567"/>
        <w:rPr>
          <w:bCs/>
        </w:rPr>
      </w:pPr>
      <w:r w:rsidRPr="009F4559">
        <w:t>a)</w:t>
      </w:r>
      <w:r w:rsidRPr="009F4559">
        <w:tab/>
        <w:t>торговое наименование или товарный знак;</w:t>
      </w:r>
    </w:p>
    <w:p w:rsidR="009F4559" w:rsidRPr="009F4559" w:rsidRDefault="009F4559" w:rsidP="00F70154">
      <w:pPr>
        <w:pStyle w:val="SingleTxtGR"/>
        <w:tabs>
          <w:tab w:val="clear" w:pos="1701"/>
        </w:tabs>
        <w:ind w:left="2835" w:hanging="567"/>
        <w:rPr>
          <w:bCs/>
        </w:rPr>
      </w:pPr>
      <w:r w:rsidRPr="009F4559">
        <w:t>b)</w:t>
      </w:r>
      <w:r w:rsidRPr="009F4559">
        <w:tab/>
        <w:t>характеристики оптической системы (уровни силы света, углы распределения света, категория источника света, модуль источника света и т.д.);</w:t>
      </w:r>
    </w:p>
    <w:p w:rsidR="009F4559" w:rsidRPr="009F4559" w:rsidRDefault="009F4559" w:rsidP="00F70154">
      <w:pPr>
        <w:pStyle w:val="SingleTxtGR"/>
        <w:tabs>
          <w:tab w:val="clear" w:pos="1701"/>
        </w:tabs>
        <w:ind w:left="2835" w:hanging="567"/>
        <w:rPr>
          <w:bCs/>
        </w:rPr>
      </w:pPr>
      <w:r w:rsidRPr="009F4559">
        <w:t>c)</w:t>
      </w:r>
      <w:r w:rsidRPr="009F4559">
        <w:tab/>
        <w:t>категория ламп указателей поворота;</w:t>
      </w:r>
    </w:p>
    <w:p w:rsidR="009F4559" w:rsidRPr="009F4559" w:rsidRDefault="009F4559" w:rsidP="00F70154">
      <w:pPr>
        <w:pStyle w:val="SingleTxtGR"/>
        <w:tabs>
          <w:tab w:val="clear" w:pos="1701"/>
        </w:tabs>
        <w:ind w:left="2835" w:hanging="567"/>
        <w:rPr>
          <w:bCs/>
        </w:rPr>
      </w:pPr>
      <w:r w:rsidRPr="009F4559">
        <w:t>d)</w:t>
      </w:r>
      <w:r w:rsidRPr="009F4559">
        <w:tab/>
        <w:t>регулятор силы света, если имеется;</w:t>
      </w:r>
    </w:p>
    <w:p w:rsidR="009F4559" w:rsidRPr="009F4559" w:rsidRDefault="009F4559" w:rsidP="00F70154">
      <w:pPr>
        <w:pStyle w:val="SingleTxtGR"/>
        <w:tabs>
          <w:tab w:val="clear" w:pos="1701"/>
        </w:tabs>
        <w:ind w:left="2835" w:hanging="567"/>
        <w:rPr>
          <w:bCs/>
        </w:rPr>
      </w:pPr>
      <w:r w:rsidRPr="009F4559">
        <w:t>е)</w:t>
      </w:r>
      <w:r w:rsidRPr="009F4559">
        <w:tab/>
        <w:t>последовательная активация источников света, если имеется.</w:t>
      </w:r>
    </w:p>
    <w:p w:rsidR="009F4559" w:rsidRPr="009F4559" w:rsidRDefault="00F70154" w:rsidP="00342FC2">
      <w:pPr>
        <w:pStyle w:val="SingleTxtGR"/>
        <w:tabs>
          <w:tab w:val="clear" w:pos="1701"/>
        </w:tabs>
        <w:ind w:left="2268" w:hanging="1134"/>
        <w:rPr>
          <w:bCs/>
        </w:rPr>
      </w:pPr>
      <w:r>
        <w:tab/>
      </w:r>
      <w:r w:rsidR="009F4559" w:rsidRPr="009F4559">
        <w:t xml:space="preserve">Вместе с тем указатели поворота, которые могут быть активированы в различных режимах (последовательном или ином) без каких-либо изменений оптических характеристик огня, не считаются </w:t>
      </w:r>
      <w:r w:rsidR="00790EF3">
        <w:t>"</w:t>
      </w:r>
      <w:r w:rsidR="009F4559" w:rsidRPr="009F4559">
        <w:rPr>
          <w:i/>
          <w:iCs/>
        </w:rPr>
        <w:t>указателями поворота различных типов</w:t>
      </w:r>
      <w:r w:rsidR="00790EF3">
        <w:t>"</w:t>
      </w:r>
      <w:r w:rsidR="009F4559" w:rsidRPr="009F4559">
        <w:t>.</w:t>
      </w:r>
    </w:p>
    <w:p w:rsidR="009F4559" w:rsidRPr="009F4559" w:rsidRDefault="00F70154" w:rsidP="00342FC2">
      <w:pPr>
        <w:pStyle w:val="SingleTxtGR"/>
        <w:tabs>
          <w:tab w:val="clear" w:pos="1701"/>
        </w:tabs>
        <w:ind w:left="2268" w:hanging="1134"/>
        <w:rPr>
          <w:bCs/>
        </w:rPr>
      </w:pPr>
      <w:r>
        <w:tab/>
      </w:r>
      <w:r w:rsidR="009F4559" w:rsidRPr="009F4559">
        <w:t>Изменение цвета источника света или цвета любого фильтра не означает изменения типа».</w:t>
      </w:r>
    </w:p>
    <w:p w:rsidR="009F4559" w:rsidRPr="009F4559" w:rsidRDefault="009F4559" w:rsidP="00342FC2">
      <w:pPr>
        <w:pStyle w:val="SingleTxtGR"/>
        <w:tabs>
          <w:tab w:val="clear" w:pos="1701"/>
        </w:tabs>
        <w:ind w:left="2268" w:hanging="1134"/>
        <w:rPr>
          <w:bCs/>
        </w:rPr>
      </w:pPr>
      <w:r w:rsidRPr="009F4559">
        <w:rPr>
          <w:i/>
          <w:iCs/>
        </w:rPr>
        <w:t>Пункт 5.6</w:t>
      </w:r>
      <w:r w:rsidRPr="009F4559">
        <w:t xml:space="preserve"> изменить следующим образом:</w:t>
      </w:r>
    </w:p>
    <w:p w:rsidR="009F4559" w:rsidRPr="009F4559" w:rsidRDefault="009F4559" w:rsidP="00342FC2">
      <w:pPr>
        <w:pStyle w:val="SingleTxtGR"/>
        <w:tabs>
          <w:tab w:val="clear" w:pos="1701"/>
        </w:tabs>
        <w:ind w:left="2268" w:hanging="1134"/>
        <w:rPr>
          <w:bCs/>
        </w:rPr>
      </w:pPr>
      <w:r w:rsidRPr="009F4559">
        <w:t>«5.6</w:t>
      </w:r>
      <w:r w:rsidRPr="009F4559">
        <w:tab/>
        <w:t>Для огней указателя поворота категорий 1, 1а, 1b, 2а или 2b мигание может производиться с помощью последовательной активации источников света, если соблюдены следующие условия:</w:t>
      </w:r>
    </w:p>
    <w:p w:rsidR="009F4559" w:rsidRPr="009F4559" w:rsidRDefault="009F4559" w:rsidP="00F70154">
      <w:pPr>
        <w:pStyle w:val="SingleTxtGR"/>
        <w:tabs>
          <w:tab w:val="clear" w:pos="1701"/>
        </w:tabs>
        <w:ind w:left="2835" w:hanging="567"/>
        <w:rPr>
          <w:bCs/>
        </w:rPr>
      </w:pPr>
      <w:r w:rsidRPr="009F4559">
        <w:t>a)</w:t>
      </w:r>
      <w:r w:rsidRPr="009F4559">
        <w:tab/>
        <w:t>после активации каждый источник света должен оставаться включенным до конца цикла «включено»;</w:t>
      </w:r>
    </w:p>
    <w:p w:rsidR="009F4559" w:rsidRPr="009F4559" w:rsidRDefault="009F4559" w:rsidP="00F70154">
      <w:pPr>
        <w:pStyle w:val="SingleTxtGR"/>
        <w:tabs>
          <w:tab w:val="clear" w:pos="1701"/>
        </w:tabs>
        <w:ind w:left="2835" w:hanging="567"/>
      </w:pPr>
      <w:r w:rsidRPr="009F4559">
        <w:t>b)</w:t>
      </w:r>
      <w:r w:rsidRPr="009F4559">
        <w:tab/>
        <w:t>последовательность активации источников света должна обеспечивать сигнал, который подается единообразно и поступательно в направлении от внутреннего края к внешнему краю светоизлучающей поверхности;</w:t>
      </w:r>
    </w:p>
    <w:p w:rsidR="009F4559" w:rsidRPr="009F4559" w:rsidRDefault="009F4559" w:rsidP="00F70154">
      <w:pPr>
        <w:pStyle w:val="SingleTxtGR"/>
        <w:tabs>
          <w:tab w:val="clear" w:pos="1701"/>
        </w:tabs>
        <w:ind w:left="2835" w:hanging="567"/>
      </w:pPr>
      <w:r w:rsidRPr="009F4559">
        <w:t>c)</w:t>
      </w:r>
      <w:r w:rsidRPr="009F4559">
        <w:tab/>
        <w:t>должен подаваться один сигнал без каких-либо перерывов и вертикальных колебаний (т.е. не более одного изменения направления относительно вертикальной оси). Расстояние между двумя смежными/прилегающими друг к другу отдельными частями светоизлучающей поверхности последовательного указателя поворота, измеренное перпендикулярно исходной оси, не должно превышать 50 мм, а не те значения, которые указаны в пункте 5.7.2 Правил № 48. Эти перерывы сигнала не должны создавать какого-либо дублирования по вертикальной оси между различными частями от внутреннего края к внешнему краю транспортного средства и не должны использоваться для каких-либо других функций освещения или световой сигнализации;</w:t>
      </w:r>
    </w:p>
    <w:p w:rsidR="009F4559" w:rsidRPr="009F4559" w:rsidRDefault="009F4559" w:rsidP="00F70154">
      <w:pPr>
        <w:pStyle w:val="SingleTxtGR"/>
        <w:tabs>
          <w:tab w:val="clear" w:pos="1701"/>
        </w:tabs>
        <w:ind w:left="2835" w:hanging="567"/>
      </w:pPr>
      <w:r w:rsidRPr="009F4559">
        <w:t>d)</w:t>
      </w:r>
      <w:r w:rsidRPr="009F4559">
        <w:tab/>
        <w:t>вариация должна завершаться не позднее 200 мс после начала цикла «включено»;</w:t>
      </w:r>
    </w:p>
    <w:p w:rsidR="009F4559" w:rsidRPr="009F4559" w:rsidRDefault="009F4559" w:rsidP="00F70154">
      <w:pPr>
        <w:pStyle w:val="SingleTxtGR"/>
        <w:tabs>
          <w:tab w:val="clear" w:pos="1701"/>
        </w:tabs>
        <w:ind w:left="2835" w:hanging="567"/>
      </w:pPr>
      <w:r w:rsidRPr="009F4559">
        <w:t>е)</w:t>
      </w:r>
      <w:r w:rsidRPr="009F4559">
        <w:tab/>
        <w:t>ортогональная проекция светоизлучающих поверхностей указателя поворота в направлении исходной оси должна ограничиваться в плоскости, перпендикулярной исходной оси, прямоугольником, длинные стороны которого должны быть параллельны плоскости H. Соотношение горизонтальной и вертикальной сторон должно составлять не менее 1,7.</w:t>
      </w:r>
    </w:p>
    <w:p w:rsidR="009F4559" w:rsidRPr="009F4559" w:rsidRDefault="009F4559" w:rsidP="00342FC2">
      <w:pPr>
        <w:pStyle w:val="SingleTxtGR"/>
        <w:tabs>
          <w:tab w:val="clear" w:pos="1701"/>
        </w:tabs>
        <w:ind w:left="2268" w:hanging="1134"/>
      </w:pPr>
      <w:r w:rsidRPr="009F4559">
        <w:tab/>
        <w:t xml:space="preserve">Соответствие указанным выше условиям проверяют в режиме мигания». </w:t>
      </w:r>
    </w:p>
    <w:p w:rsidR="009F4559" w:rsidRPr="009F4559" w:rsidRDefault="009F4559" w:rsidP="00342FC2">
      <w:pPr>
        <w:pStyle w:val="SingleTxtGR"/>
        <w:tabs>
          <w:tab w:val="clear" w:pos="1701"/>
        </w:tabs>
        <w:ind w:left="2268" w:hanging="1134"/>
        <w:rPr>
          <w:bCs/>
        </w:rPr>
      </w:pPr>
      <w:r w:rsidRPr="009F4559">
        <w:rPr>
          <w:i/>
          <w:iCs/>
        </w:rPr>
        <w:t>Включить новые пункты 14.15–14.17</w:t>
      </w:r>
      <w:r w:rsidRPr="009F4559">
        <w:t xml:space="preserve"> следующего содержания:</w:t>
      </w:r>
    </w:p>
    <w:p w:rsidR="009F4559" w:rsidRPr="009F4559" w:rsidRDefault="009F4559" w:rsidP="00342FC2">
      <w:pPr>
        <w:pStyle w:val="SingleTxtGR"/>
        <w:tabs>
          <w:tab w:val="clear" w:pos="1701"/>
        </w:tabs>
        <w:ind w:left="2268" w:hanging="1134"/>
        <w:rPr>
          <w:bCs/>
        </w:rPr>
      </w:pPr>
      <w:r w:rsidRPr="009F4559">
        <w:t>«14.15</w:t>
      </w:r>
      <w:r w:rsidRPr="009F4559">
        <w:tab/>
        <w:t>Начиная с официальной даты вступления в силу дополнения 28 к поправкам серии 01 ни одна Договаривающаяся сторона, применяющая настоящие Правила, не отказывает в предоставлении официального утверждения на основании настоящих Правил с поправками, внесенными в соответствии с настоящим дополнением.</w:t>
      </w:r>
    </w:p>
    <w:p w:rsidR="009F4559" w:rsidRPr="009F4559" w:rsidRDefault="009F4559" w:rsidP="00342FC2">
      <w:pPr>
        <w:pStyle w:val="SingleTxtGR"/>
        <w:tabs>
          <w:tab w:val="clear" w:pos="1701"/>
        </w:tabs>
        <w:ind w:left="2268" w:hanging="1134"/>
        <w:rPr>
          <w:bCs/>
        </w:rPr>
      </w:pPr>
      <w:r w:rsidRPr="009F4559">
        <w:t>14.16</w:t>
      </w:r>
      <w:r w:rsidRPr="009F4559">
        <w:tab/>
        <w:t>С 1 сентября 2018 года Договаривающиеся стороны, применяющие настоящие Правила, предоставляют официальные утверждения только в том случае, если подлежащий официальному утверждению тип указателя поворота отвечает требованиям настоящих Правил с поправками, внесенными в соответствии с дополнением</w:t>
      </w:r>
      <w:r w:rsidR="00F70154" w:rsidRPr="00F70154">
        <w:t xml:space="preserve"> </w:t>
      </w:r>
      <w:r w:rsidRPr="009F4559">
        <w:t>28 к поправкам серии 01.</w:t>
      </w:r>
    </w:p>
    <w:p w:rsidR="009F4559" w:rsidRPr="009F4559" w:rsidRDefault="009F4559" w:rsidP="00342FC2">
      <w:pPr>
        <w:pStyle w:val="SingleTxtGR"/>
        <w:tabs>
          <w:tab w:val="clear" w:pos="1701"/>
        </w:tabs>
        <w:ind w:left="2268" w:hanging="1134"/>
      </w:pPr>
      <w:r w:rsidRPr="009F4559">
        <w:t>14.17</w:t>
      </w:r>
      <w:r w:rsidRPr="009F4559">
        <w:tab/>
        <w:t>Договаривающиеся стороны, применяющие настоящие Правила, не отказывают в распространении официального утверждения, предоставленного до даты вступления в силу дополнения 28 к поправкам серии 01 к настоящим Правилам».</w:t>
      </w:r>
    </w:p>
    <w:p w:rsidR="009F4559" w:rsidRPr="009F4559" w:rsidRDefault="00C73D92" w:rsidP="00F70154">
      <w:pPr>
        <w:pStyle w:val="H1GR"/>
      </w:pPr>
      <w:r>
        <w:tab/>
      </w:r>
      <w:r w:rsidR="009F4559" w:rsidRPr="009F4559">
        <w:t>B.</w:t>
      </w:r>
      <w:r w:rsidR="009F4559" w:rsidRPr="009F4559">
        <w:tab/>
        <w:t>Предложение по дополнению 11 к поправкам серии 05 к</w:t>
      </w:r>
      <w:r w:rsidR="0007060F">
        <w:rPr>
          <w:lang w:val="en-US"/>
        </w:rPr>
        <w:t> </w:t>
      </w:r>
      <w:r w:rsidR="009F4559" w:rsidRPr="009F4559">
        <w:t xml:space="preserve">Правилам № 48 (установка устройств освещения </w:t>
      </w:r>
      <w:r w:rsidR="0007060F">
        <w:br/>
      </w:r>
      <w:r w:rsidR="009F4559" w:rsidRPr="009F4559">
        <w:t xml:space="preserve">и световой сигнализации) </w:t>
      </w:r>
    </w:p>
    <w:p w:rsidR="009F4559" w:rsidRPr="009F4559" w:rsidRDefault="009F4559" w:rsidP="00342FC2">
      <w:pPr>
        <w:pStyle w:val="SingleTxtGR"/>
        <w:tabs>
          <w:tab w:val="clear" w:pos="1701"/>
        </w:tabs>
        <w:ind w:left="2268" w:hanging="1134"/>
      </w:pPr>
      <w:r w:rsidRPr="009F4559">
        <w:rPr>
          <w:i/>
          <w:iCs/>
        </w:rPr>
        <w:t>Пункт 6.5.7</w:t>
      </w:r>
      <w:r w:rsidRPr="009F4559">
        <w:t xml:space="preserve"> изменить следующим образом:</w:t>
      </w:r>
    </w:p>
    <w:p w:rsidR="009F4559" w:rsidRPr="009F4559" w:rsidRDefault="009F4559" w:rsidP="00342FC2">
      <w:pPr>
        <w:pStyle w:val="SingleTxtGR"/>
        <w:tabs>
          <w:tab w:val="clear" w:pos="1701"/>
        </w:tabs>
        <w:ind w:left="2268" w:hanging="1134"/>
      </w:pPr>
      <w:r w:rsidRPr="009F4559">
        <w:t>«6.5.7</w:t>
      </w:r>
      <w:r w:rsidRPr="009F4559">
        <w:tab/>
        <w:t>Электрические соединения</w:t>
      </w:r>
    </w:p>
    <w:p w:rsidR="009F4559" w:rsidRPr="009F4559" w:rsidRDefault="009F4559" w:rsidP="00342FC2">
      <w:pPr>
        <w:pStyle w:val="SingleTxtGR"/>
        <w:tabs>
          <w:tab w:val="clear" w:pos="1701"/>
        </w:tabs>
        <w:ind w:left="2268" w:hanging="1134"/>
      </w:pPr>
      <w:r w:rsidRPr="009F4559">
        <w:tab/>
        <w:t>Включение указателей поворота производится независимо от включения других огней. Все указатели поворота, расположенные на одной и той же стороне транспортного средства, должны включаться и выключаться одним и тем же устройством, а также работать в мигающем режиме в одной фазе.</w:t>
      </w:r>
    </w:p>
    <w:p w:rsidR="009F4559" w:rsidRPr="009F4559" w:rsidRDefault="009F4559" w:rsidP="00342FC2">
      <w:pPr>
        <w:pStyle w:val="SingleTxtGR"/>
        <w:tabs>
          <w:tab w:val="clear" w:pos="1701"/>
        </w:tabs>
        <w:ind w:left="2268" w:hanging="1134"/>
      </w:pPr>
      <w:r w:rsidRPr="009F4559">
        <w:tab/>
        <w:t>На транспортных средствах категорий М</w:t>
      </w:r>
      <w:r w:rsidRPr="009F4559">
        <w:rPr>
          <w:vertAlign w:val="subscript"/>
        </w:rPr>
        <w:t>1</w:t>
      </w:r>
      <w:r w:rsidRPr="009F4559">
        <w:t xml:space="preserve"> и N</w:t>
      </w:r>
      <w:r w:rsidRPr="009F4559">
        <w:rPr>
          <w:vertAlign w:val="subscript"/>
        </w:rPr>
        <w:t>1</w:t>
      </w:r>
      <w:r w:rsidRPr="009F4559">
        <w:t xml:space="preserve"> длиной менее 6 м, соответствующих требованиям пункта 6.5.5.2 выше, боковые габаритные огни автожелтого цвета, если таковые установлены, должны работать в мигающем режиме с такой же частотой (в одной фазе), с какой включаются огни указателей поворота.</w:t>
      </w:r>
    </w:p>
    <w:p w:rsidR="009F4559" w:rsidRPr="009F4559" w:rsidRDefault="009F4559" w:rsidP="00342FC2">
      <w:pPr>
        <w:pStyle w:val="SingleTxtGR"/>
        <w:tabs>
          <w:tab w:val="clear" w:pos="1701"/>
        </w:tabs>
        <w:ind w:left="2268" w:hanging="1134"/>
        <w:rPr>
          <w:bCs/>
        </w:rPr>
      </w:pPr>
      <w:r w:rsidRPr="009F4559">
        <w:tab/>
        <w:t xml:space="preserve">Указатель поворота, который может быть активирован в различных режимах (статическом или последовательном), не должен переключаться между этими двумя режимами после активации. </w:t>
      </w:r>
    </w:p>
    <w:p w:rsidR="009F4559" w:rsidRPr="009F4559" w:rsidRDefault="009F4559" w:rsidP="00342FC2">
      <w:pPr>
        <w:pStyle w:val="SingleTxtGR"/>
        <w:tabs>
          <w:tab w:val="clear" w:pos="1701"/>
        </w:tabs>
        <w:ind w:left="2268" w:hanging="1134"/>
        <w:rPr>
          <w:bCs/>
        </w:rPr>
      </w:pPr>
      <w:r w:rsidRPr="009F4559">
        <w:tab/>
        <w:t>Если на транспортных средствах категорий M</w:t>
      </w:r>
      <w:r w:rsidRPr="009F4559">
        <w:rPr>
          <w:vertAlign w:val="subscript"/>
        </w:rPr>
        <w:t>2</w:t>
      </w:r>
      <w:r w:rsidRPr="009F4559">
        <w:t>, M</w:t>
      </w:r>
      <w:r w:rsidRPr="009F4559">
        <w:rPr>
          <w:vertAlign w:val="subscript"/>
        </w:rPr>
        <w:t>3</w:t>
      </w:r>
      <w:r w:rsidRPr="009F4559">
        <w:t>, N</w:t>
      </w:r>
      <w:r w:rsidRPr="009F4559">
        <w:rPr>
          <w:vertAlign w:val="subscript"/>
        </w:rPr>
        <w:t>2</w:t>
      </w:r>
      <w:r w:rsidRPr="009F4559">
        <w:t xml:space="preserve"> и N</w:t>
      </w:r>
      <w:r w:rsidRPr="009F4559">
        <w:rPr>
          <w:vertAlign w:val="subscript"/>
        </w:rPr>
        <w:t xml:space="preserve">3 </w:t>
      </w:r>
      <w:r w:rsidRPr="009F4559">
        <w:t xml:space="preserve">установлены два факультативных огня (категории 2а или 2b), то они должны функционировать в том же режиме, что и другие обязательные задние указатели поворота (категории 2a или 2b), т.е. в статическом или последовательном режиме». </w:t>
      </w:r>
    </w:p>
    <w:p w:rsidR="009F4559" w:rsidRPr="009F4559" w:rsidRDefault="009F4559" w:rsidP="0007060F">
      <w:pPr>
        <w:pStyle w:val="SingleTxtGR"/>
        <w:keepNext/>
        <w:keepLines/>
        <w:tabs>
          <w:tab w:val="clear" w:pos="1701"/>
        </w:tabs>
        <w:ind w:left="2268" w:hanging="1134"/>
        <w:rPr>
          <w:bCs/>
        </w:rPr>
      </w:pPr>
      <w:r w:rsidRPr="009F4559">
        <w:rPr>
          <w:i/>
          <w:iCs/>
        </w:rPr>
        <w:t>Пункт 6.6.1</w:t>
      </w:r>
      <w:r w:rsidRPr="009F4559">
        <w:t xml:space="preserve"> изменить следующим образом:</w:t>
      </w:r>
    </w:p>
    <w:p w:rsidR="009F4559" w:rsidRPr="009F4559" w:rsidRDefault="009F4559" w:rsidP="0007060F">
      <w:pPr>
        <w:pStyle w:val="SingleTxtGR"/>
        <w:keepNext/>
        <w:keepLines/>
        <w:tabs>
          <w:tab w:val="clear" w:pos="1701"/>
        </w:tabs>
        <w:ind w:left="2268" w:hanging="1134"/>
        <w:rPr>
          <w:bCs/>
        </w:rPr>
      </w:pPr>
      <w:r w:rsidRPr="009F4559">
        <w:t>«6.6.1</w:t>
      </w:r>
      <w:r w:rsidRPr="009F4559">
        <w:tab/>
        <w:t>Установка</w:t>
      </w:r>
    </w:p>
    <w:p w:rsidR="009F4559" w:rsidRPr="009F4559" w:rsidRDefault="009F4559" w:rsidP="00342FC2">
      <w:pPr>
        <w:pStyle w:val="SingleTxtGR"/>
        <w:tabs>
          <w:tab w:val="clear" w:pos="1701"/>
        </w:tabs>
        <w:ind w:left="2268" w:hanging="1134"/>
        <w:rPr>
          <w:bCs/>
        </w:rPr>
      </w:pPr>
      <w:r w:rsidRPr="009F4559">
        <w:tab/>
        <w:t>Обязательна.</w:t>
      </w:r>
    </w:p>
    <w:p w:rsidR="009F4559" w:rsidRPr="009F4559" w:rsidRDefault="009F4559" w:rsidP="00342FC2">
      <w:pPr>
        <w:pStyle w:val="SingleTxtGR"/>
        <w:tabs>
          <w:tab w:val="clear" w:pos="1701"/>
        </w:tabs>
        <w:ind w:left="2268" w:hanging="1134"/>
        <w:rPr>
          <w:bCs/>
        </w:rPr>
      </w:pPr>
      <w:r w:rsidRPr="009F4559">
        <w:tab/>
        <w:t>Сигнал подается на основе одновременного срабатывания указателей поворота, соответствующих требованиям пункта 6.5 выше.</w:t>
      </w:r>
    </w:p>
    <w:p w:rsidR="009F4559" w:rsidRPr="009F4559" w:rsidRDefault="009F4559" w:rsidP="00342FC2">
      <w:pPr>
        <w:pStyle w:val="SingleTxtGR"/>
        <w:tabs>
          <w:tab w:val="clear" w:pos="1701"/>
        </w:tabs>
        <w:ind w:left="2268" w:hanging="1134"/>
        <w:rPr>
          <w:bCs/>
        </w:rPr>
      </w:pPr>
      <w:r w:rsidRPr="009F4559">
        <w:tab/>
        <w:t xml:space="preserve">Все указатели поворота категории 1 (1, 1a, 1b), активированные одновременно, работают в одном и том же режиме, т.е. в статическом или последовательном режиме. </w:t>
      </w:r>
    </w:p>
    <w:p w:rsidR="009F4559" w:rsidRPr="009F4559" w:rsidRDefault="009F4559" w:rsidP="00342FC2">
      <w:pPr>
        <w:pStyle w:val="SingleTxtGR"/>
        <w:tabs>
          <w:tab w:val="clear" w:pos="1701"/>
        </w:tabs>
        <w:ind w:left="2268" w:hanging="1134"/>
      </w:pPr>
      <w:r w:rsidRPr="009F4559">
        <w:tab/>
        <w:t>Все указатели поворота категории 2 (2a, 2b), активированные одновременно, работают в одном и том же режиме, т.е. в статическом или последовательном режиме».</w:t>
      </w:r>
    </w:p>
    <w:p w:rsidR="009F4559" w:rsidRPr="009F4559" w:rsidRDefault="00C73D92" w:rsidP="0007060F">
      <w:pPr>
        <w:pStyle w:val="H1GR"/>
      </w:pPr>
      <w:r>
        <w:tab/>
      </w:r>
      <w:r w:rsidR="009F4559" w:rsidRPr="009F4559">
        <w:t>C.</w:t>
      </w:r>
      <w:r w:rsidR="009F4559" w:rsidRPr="009F4559">
        <w:tab/>
        <w:t>Предложение по дополнению 9 к поправкам серии 06 к</w:t>
      </w:r>
      <w:r w:rsidR="0007060F">
        <w:rPr>
          <w:lang w:val="en-US"/>
        </w:rPr>
        <w:t> </w:t>
      </w:r>
      <w:r w:rsidR="009F4559" w:rsidRPr="009F4559">
        <w:t xml:space="preserve">Правилам № 48 (установка устройств освещения </w:t>
      </w:r>
      <w:r w:rsidR="0007060F">
        <w:br/>
      </w:r>
      <w:r w:rsidR="009F4559" w:rsidRPr="009F4559">
        <w:t xml:space="preserve">и световой сигнализации) </w:t>
      </w:r>
    </w:p>
    <w:p w:rsidR="009F4559" w:rsidRPr="009F4559" w:rsidRDefault="009F4559" w:rsidP="00342FC2">
      <w:pPr>
        <w:pStyle w:val="SingleTxtGR"/>
        <w:tabs>
          <w:tab w:val="clear" w:pos="1701"/>
        </w:tabs>
        <w:ind w:left="2268" w:hanging="1134"/>
      </w:pPr>
      <w:r w:rsidRPr="009F4559">
        <w:rPr>
          <w:i/>
        </w:rPr>
        <w:t>Пункт 6.5.7</w:t>
      </w:r>
      <w:r w:rsidRPr="009F4559">
        <w:t xml:space="preserve"> изменить следующим образом:</w:t>
      </w:r>
    </w:p>
    <w:p w:rsidR="009F4559" w:rsidRPr="009F4559" w:rsidRDefault="009F4559" w:rsidP="00342FC2">
      <w:pPr>
        <w:pStyle w:val="SingleTxtGR"/>
        <w:tabs>
          <w:tab w:val="clear" w:pos="1701"/>
        </w:tabs>
        <w:ind w:left="2268" w:hanging="1134"/>
      </w:pPr>
      <w:r w:rsidRPr="009F4559">
        <w:t>«6.5.7</w:t>
      </w:r>
      <w:r w:rsidRPr="009F4559">
        <w:tab/>
        <w:t>Электрические соединения</w:t>
      </w:r>
    </w:p>
    <w:p w:rsidR="009F4559" w:rsidRPr="009F4559" w:rsidRDefault="0007060F" w:rsidP="00342FC2">
      <w:pPr>
        <w:pStyle w:val="SingleTxtGR"/>
        <w:tabs>
          <w:tab w:val="clear" w:pos="1701"/>
        </w:tabs>
        <w:ind w:left="2268" w:hanging="1134"/>
      </w:pPr>
      <w:r>
        <w:tab/>
      </w:r>
      <w:r w:rsidR="009F4559" w:rsidRPr="009F4559">
        <w:t>Включение указателей поворота производится независимо от включения других огней. Все указатели поворота, расположенные на одной и той же стороне транспортного средства, должны включаться и выключаться одним и тем же устройством и работать в мигающем режиме в одной фазе.</w:t>
      </w:r>
    </w:p>
    <w:p w:rsidR="009F4559" w:rsidRPr="009F4559" w:rsidRDefault="0007060F" w:rsidP="00342FC2">
      <w:pPr>
        <w:pStyle w:val="SingleTxtGR"/>
        <w:tabs>
          <w:tab w:val="clear" w:pos="1701"/>
        </w:tabs>
        <w:ind w:left="2268" w:hanging="1134"/>
      </w:pPr>
      <w:r>
        <w:tab/>
      </w:r>
      <w:r w:rsidR="009F4559" w:rsidRPr="009F4559">
        <w:t>На транспортных средствах категорий М</w:t>
      </w:r>
      <w:r w:rsidR="009F4559" w:rsidRPr="009F4559">
        <w:rPr>
          <w:vertAlign w:val="subscript"/>
        </w:rPr>
        <w:t>1</w:t>
      </w:r>
      <w:r w:rsidR="009F4559" w:rsidRPr="009F4559">
        <w:t xml:space="preserve"> и N</w:t>
      </w:r>
      <w:r w:rsidR="009F4559" w:rsidRPr="009F4559">
        <w:rPr>
          <w:vertAlign w:val="subscript"/>
        </w:rPr>
        <w:t>1</w:t>
      </w:r>
      <w:r w:rsidR="009F4559" w:rsidRPr="009F4559">
        <w:t xml:space="preserve"> длиной менее 6 м, соответствующих требованиям пункта 6.5.5.2 выше, боковые габаритные огни автожелтого цвета, если таковые установлены, должны работать в мигающем режиме с такой же частотой (в одной фазе), с какой включаются огни указателей поворота.</w:t>
      </w:r>
    </w:p>
    <w:p w:rsidR="009F4559" w:rsidRPr="009F4559" w:rsidRDefault="0007060F" w:rsidP="00342FC2">
      <w:pPr>
        <w:pStyle w:val="SingleTxtGR"/>
        <w:tabs>
          <w:tab w:val="clear" w:pos="1701"/>
        </w:tabs>
        <w:ind w:left="2268" w:hanging="1134"/>
        <w:rPr>
          <w:bCs/>
        </w:rPr>
      </w:pPr>
      <w:r>
        <w:tab/>
      </w:r>
      <w:r w:rsidR="009F4559" w:rsidRPr="009F4559">
        <w:t xml:space="preserve">Указатель поворота, который может быть активирован в различных режимах (статическом или последовательном), не должен переключаться между этими двумя режимами после активации. </w:t>
      </w:r>
    </w:p>
    <w:p w:rsidR="009F4559" w:rsidRPr="009F4559" w:rsidRDefault="0007060F" w:rsidP="00342FC2">
      <w:pPr>
        <w:pStyle w:val="SingleTxtGR"/>
        <w:tabs>
          <w:tab w:val="clear" w:pos="1701"/>
        </w:tabs>
        <w:ind w:left="2268" w:hanging="1134"/>
        <w:rPr>
          <w:bCs/>
        </w:rPr>
      </w:pPr>
      <w:r>
        <w:tab/>
      </w:r>
      <w:r w:rsidR="009F4559" w:rsidRPr="009F4559">
        <w:t>Если на транспортных средствах категорий M</w:t>
      </w:r>
      <w:r w:rsidR="009F4559" w:rsidRPr="009F4559">
        <w:rPr>
          <w:vertAlign w:val="subscript"/>
        </w:rPr>
        <w:t>2</w:t>
      </w:r>
      <w:r w:rsidR="009F4559" w:rsidRPr="009F4559">
        <w:t>, M</w:t>
      </w:r>
      <w:r w:rsidR="009F4559" w:rsidRPr="009F4559">
        <w:rPr>
          <w:vertAlign w:val="subscript"/>
        </w:rPr>
        <w:t>3</w:t>
      </w:r>
      <w:r w:rsidR="009F4559" w:rsidRPr="009F4559">
        <w:t>, N</w:t>
      </w:r>
      <w:r w:rsidR="009F4559" w:rsidRPr="009F4559">
        <w:rPr>
          <w:vertAlign w:val="subscript"/>
        </w:rPr>
        <w:t>2</w:t>
      </w:r>
      <w:r w:rsidR="009F4559" w:rsidRPr="009F4559">
        <w:t xml:space="preserve"> и N</w:t>
      </w:r>
      <w:r w:rsidR="009F4559" w:rsidRPr="009F4559">
        <w:rPr>
          <w:vertAlign w:val="subscript"/>
        </w:rPr>
        <w:t>3</w:t>
      </w:r>
      <w:r w:rsidR="009F4559" w:rsidRPr="009F4559">
        <w:t xml:space="preserve"> установлены два факультативных огня (категории 2а или 2b), то они должны функционировать в том же режиме, что и другие обязательные задние указатели поворота (категории 2a или 2b), т.е. в статическом или последовательном режиме». </w:t>
      </w:r>
    </w:p>
    <w:p w:rsidR="009F4559" w:rsidRPr="009F4559" w:rsidRDefault="009F4559" w:rsidP="00342FC2">
      <w:pPr>
        <w:pStyle w:val="SingleTxtGR"/>
        <w:tabs>
          <w:tab w:val="clear" w:pos="1701"/>
        </w:tabs>
        <w:ind w:left="2268" w:hanging="1134"/>
        <w:rPr>
          <w:bCs/>
        </w:rPr>
      </w:pPr>
      <w:r w:rsidRPr="009F4559">
        <w:rPr>
          <w:i/>
        </w:rPr>
        <w:t xml:space="preserve">Пункт 6.6.1 </w:t>
      </w:r>
      <w:r w:rsidRPr="009F4559">
        <w:t>изменить следующим образом:</w:t>
      </w:r>
    </w:p>
    <w:p w:rsidR="009F4559" w:rsidRPr="009F4559" w:rsidRDefault="009F4559" w:rsidP="00342FC2">
      <w:pPr>
        <w:pStyle w:val="SingleTxtGR"/>
        <w:tabs>
          <w:tab w:val="clear" w:pos="1701"/>
        </w:tabs>
        <w:ind w:left="2268" w:hanging="1134"/>
        <w:rPr>
          <w:bCs/>
        </w:rPr>
      </w:pPr>
      <w:r w:rsidRPr="009F4559">
        <w:t>«6.6.1</w:t>
      </w:r>
      <w:r w:rsidRPr="009F4559">
        <w:tab/>
        <w:t>Установка</w:t>
      </w:r>
    </w:p>
    <w:p w:rsidR="009F4559" w:rsidRPr="009F4559" w:rsidRDefault="0007060F" w:rsidP="00342FC2">
      <w:pPr>
        <w:pStyle w:val="SingleTxtGR"/>
        <w:tabs>
          <w:tab w:val="clear" w:pos="1701"/>
        </w:tabs>
        <w:ind w:left="2268" w:hanging="1134"/>
        <w:rPr>
          <w:bCs/>
        </w:rPr>
      </w:pPr>
      <w:r>
        <w:tab/>
      </w:r>
      <w:r w:rsidR="009F4559" w:rsidRPr="009F4559">
        <w:t>Обязательна.</w:t>
      </w:r>
    </w:p>
    <w:p w:rsidR="009F4559" w:rsidRPr="009F4559" w:rsidRDefault="0007060F" w:rsidP="00342FC2">
      <w:pPr>
        <w:pStyle w:val="SingleTxtGR"/>
        <w:tabs>
          <w:tab w:val="clear" w:pos="1701"/>
        </w:tabs>
        <w:ind w:left="2268" w:hanging="1134"/>
        <w:rPr>
          <w:bCs/>
        </w:rPr>
      </w:pPr>
      <w:r>
        <w:tab/>
      </w:r>
      <w:r w:rsidR="009F4559" w:rsidRPr="009F4559">
        <w:t>Сигнал подается на основе одновременного срабатывания указателей поворота, соответствующих требованиям пункта 6.5 выше.</w:t>
      </w:r>
    </w:p>
    <w:p w:rsidR="009F4559" w:rsidRPr="009F4559" w:rsidRDefault="0007060F" w:rsidP="00342FC2">
      <w:pPr>
        <w:pStyle w:val="SingleTxtGR"/>
        <w:tabs>
          <w:tab w:val="clear" w:pos="1701"/>
        </w:tabs>
        <w:ind w:left="2268" w:hanging="1134"/>
        <w:rPr>
          <w:bCs/>
        </w:rPr>
      </w:pPr>
      <w:r>
        <w:tab/>
      </w:r>
      <w:r w:rsidR="009F4559" w:rsidRPr="009F4559">
        <w:t xml:space="preserve">Все указатели поворота категории 1 (1, 1a, 1b), активированные одновременно, работают в одном и том же режиме, т.е. в статическом или последовательном режиме. </w:t>
      </w:r>
    </w:p>
    <w:p w:rsidR="009F4559" w:rsidRPr="009F4559" w:rsidRDefault="0007060F" w:rsidP="00342FC2">
      <w:pPr>
        <w:pStyle w:val="SingleTxtGR"/>
        <w:tabs>
          <w:tab w:val="clear" w:pos="1701"/>
        </w:tabs>
        <w:ind w:left="2268" w:hanging="1134"/>
        <w:rPr>
          <w:bCs/>
        </w:rPr>
      </w:pPr>
      <w:r>
        <w:tab/>
      </w:r>
      <w:r w:rsidR="009F4559" w:rsidRPr="009F4559">
        <w:t xml:space="preserve">Все указатели поворота категории 2 (2a, 2b), активированные одновременно, работают в одном и том же режиме, т.е. в статическом или последовательном режиме». </w:t>
      </w:r>
    </w:p>
    <w:p w:rsidR="009F4559" w:rsidRPr="009F4559" w:rsidRDefault="00C73D92" w:rsidP="0007060F">
      <w:pPr>
        <w:pStyle w:val="H1GR"/>
      </w:pPr>
      <w:r>
        <w:tab/>
      </w:r>
      <w:r w:rsidR="009F4559" w:rsidRPr="009F4559">
        <w:t>D.</w:t>
      </w:r>
      <w:r w:rsidR="009F4559" w:rsidRPr="009F4559">
        <w:tab/>
        <w:t>Предложение по дополнению 20 к Правилам № 50 (габаритные огни, сигналы торможения, указатели поворота для мопедов и</w:t>
      </w:r>
      <w:r w:rsidR="0007060F">
        <w:rPr>
          <w:lang w:val="en-US"/>
        </w:rPr>
        <w:t> </w:t>
      </w:r>
      <w:r w:rsidR="009F4559" w:rsidRPr="009F4559">
        <w:t xml:space="preserve">мотоциклов) </w:t>
      </w:r>
    </w:p>
    <w:p w:rsidR="009F4559" w:rsidRPr="009F4559" w:rsidRDefault="009F4559" w:rsidP="00342FC2">
      <w:pPr>
        <w:pStyle w:val="SingleTxtGR"/>
        <w:tabs>
          <w:tab w:val="clear" w:pos="1701"/>
        </w:tabs>
        <w:ind w:left="2268" w:hanging="1134"/>
      </w:pPr>
      <w:r w:rsidRPr="009F4559">
        <w:rPr>
          <w:i/>
        </w:rPr>
        <w:t>Пункт 6.8</w:t>
      </w:r>
      <w:r w:rsidRPr="009F4559">
        <w:t xml:space="preserve"> изменить следующим образом:</w:t>
      </w:r>
    </w:p>
    <w:p w:rsidR="009F4559" w:rsidRPr="009F4559" w:rsidRDefault="009F4559" w:rsidP="00342FC2">
      <w:pPr>
        <w:pStyle w:val="SingleTxtGR"/>
        <w:tabs>
          <w:tab w:val="clear" w:pos="1701"/>
        </w:tabs>
        <w:ind w:left="2268" w:hanging="1134"/>
        <w:rPr>
          <w:bCs/>
        </w:rPr>
      </w:pPr>
      <w:r w:rsidRPr="009F4559">
        <w:t>«6.8</w:t>
      </w:r>
      <w:r w:rsidRPr="009F4559">
        <w:tab/>
        <w:t>Для огней указателя поворота категорий 11, 11а, 11b, 11с или 12 мигание может производиться с помощью последовательной активации источников света, если соблюдены следующие условия:</w:t>
      </w:r>
    </w:p>
    <w:p w:rsidR="009F4559" w:rsidRPr="009F4559" w:rsidRDefault="009F4559" w:rsidP="00F70154">
      <w:pPr>
        <w:pStyle w:val="SingleTxtGR"/>
        <w:tabs>
          <w:tab w:val="clear" w:pos="1701"/>
        </w:tabs>
        <w:ind w:left="2835" w:hanging="567"/>
        <w:rPr>
          <w:bCs/>
        </w:rPr>
      </w:pPr>
      <w:r w:rsidRPr="009F4559">
        <w:t>а)</w:t>
      </w:r>
      <w:r w:rsidRPr="009F4559">
        <w:tab/>
        <w:t>после активации каждый источник света должен оставаться включенным до конца цикла «включено»;</w:t>
      </w:r>
    </w:p>
    <w:p w:rsidR="009F4559" w:rsidRPr="009F4559" w:rsidRDefault="009F4559" w:rsidP="00F70154">
      <w:pPr>
        <w:pStyle w:val="SingleTxtGR"/>
        <w:tabs>
          <w:tab w:val="clear" w:pos="1701"/>
        </w:tabs>
        <w:ind w:left="2835" w:hanging="567"/>
      </w:pPr>
      <w:r w:rsidRPr="009F4559">
        <w:t>b)</w:t>
      </w:r>
      <w:r w:rsidRPr="009F4559">
        <w:tab/>
        <w:t xml:space="preserve">последовательность активации источников света должна обеспечивать сигнал, который подается единообразно и поступательно в направлении от внутреннего края к внешнему краю светоизлучающей поверхности; </w:t>
      </w:r>
    </w:p>
    <w:p w:rsidR="009F4559" w:rsidRPr="009F4559" w:rsidRDefault="009F4559" w:rsidP="00F70154">
      <w:pPr>
        <w:pStyle w:val="SingleTxtGR"/>
        <w:tabs>
          <w:tab w:val="clear" w:pos="1701"/>
        </w:tabs>
        <w:ind w:left="2835" w:hanging="567"/>
      </w:pPr>
      <w:r w:rsidRPr="009F4559">
        <w:t>c)</w:t>
      </w:r>
      <w:r w:rsidRPr="009F4559">
        <w:tab/>
        <w:t>должен подаваться один сигнал без каких-либо перерывов и вертикальных колебаний (т.е. не более одного изменения направления относительно вертикальной оси). Расстояние между двумя смежными/прилегающими друг к другу отдельными частями светоизлучающей поверхности последовательного указателя поворота, измеренное перпендикулярно исходной оси, не должно превышать 50 мм, а не те значения, которые указаны в пункте 5.6.2 Правил № 53. Эти перерывы сигнала не должны создавать какого-либо дублирования по вертикальной оси между различными частями от внутреннего края к внешнему краю транспортного средства и не должны использоваться для каких-либо других функций освещения или световой сигнализации;</w:t>
      </w:r>
    </w:p>
    <w:p w:rsidR="009F4559" w:rsidRPr="009F4559" w:rsidRDefault="009F4559" w:rsidP="00F70154">
      <w:pPr>
        <w:pStyle w:val="SingleTxtGR"/>
        <w:tabs>
          <w:tab w:val="clear" w:pos="1701"/>
        </w:tabs>
        <w:ind w:left="2835" w:hanging="567"/>
      </w:pPr>
      <w:r w:rsidRPr="009F4559">
        <w:t>d)</w:t>
      </w:r>
      <w:r w:rsidRPr="009F4559">
        <w:tab/>
        <w:t>вариация должна завершаться не позднее 200 мс после начала цикла «включено»;</w:t>
      </w:r>
    </w:p>
    <w:p w:rsidR="009F4559" w:rsidRPr="009F4559" w:rsidRDefault="009F4559" w:rsidP="00F70154">
      <w:pPr>
        <w:pStyle w:val="SingleTxtGR"/>
        <w:tabs>
          <w:tab w:val="clear" w:pos="1701"/>
        </w:tabs>
        <w:ind w:left="2835" w:hanging="567"/>
      </w:pPr>
      <w:r w:rsidRPr="009F4559">
        <w:t>e)</w:t>
      </w:r>
      <w:r w:rsidRPr="009F4559">
        <w:tab/>
        <w:t>ортогональная проекция светоизлучающих поверхностей указателя поворота в направлении исходной оси должна ограничиваться в плоскости, перпендикулярной исходной оси, прямоугольником, длинные стороны которого должны быть параллельны плоскости H. Соотношение горизонтальной и вертикальной сторон должно составлять не менее 1,7.</w:t>
      </w:r>
    </w:p>
    <w:p w:rsidR="009F4559" w:rsidRPr="009F4559" w:rsidRDefault="0007060F" w:rsidP="00342FC2">
      <w:pPr>
        <w:pStyle w:val="SingleTxtGR"/>
        <w:tabs>
          <w:tab w:val="clear" w:pos="1701"/>
        </w:tabs>
        <w:ind w:left="2268" w:hanging="1134"/>
        <w:rPr>
          <w:bCs/>
        </w:rPr>
      </w:pPr>
      <w:r>
        <w:tab/>
      </w:r>
      <w:r w:rsidR="009F4559" w:rsidRPr="009F4559">
        <w:t>Соответствие указанным выше условиям проверяют в режиме мигания».</w:t>
      </w:r>
    </w:p>
    <w:p w:rsidR="009F4559" w:rsidRPr="009F4559" w:rsidRDefault="009F4559" w:rsidP="00342FC2">
      <w:pPr>
        <w:pStyle w:val="SingleTxtGR"/>
        <w:tabs>
          <w:tab w:val="clear" w:pos="1701"/>
        </w:tabs>
        <w:ind w:left="2268" w:hanging="1134"/>
        <w:rPr>
          <w:bCs/>
        </w:rPr>
      </w:pPr>
      <w:r w:rsidRPr="009F4559">
        <w:rPr>
          <w:i/>
        </w:rPr>
        <w:t>Включить новые пункты 14.3–14.5</w:t>
      </w:r>
      <w:r w:rsidRPr="009F4559">
        <w:t xml:space="preserve"> следующего содержания:</w:t>
      </w:r>
    </w:p>
    <w:p w:rsidR="009F4559" w:rsidRPr="009F4559" w:rsidRDefault="009F4559" w:rsidP="00342FC2">
      <w:pPr>
        <w:pStyle w:val="SingleTxtGR"/>
        <w:tabs>
          <w:tab w:val="clear" w:pos="1701"/>
        </w:tabs>
        <w:ind w:left="2268" w:hanging="1134"/>
        <w:rPr>
          <w:bCs/>
        </w:rPr>
      </w:pPr>
      <w:r w:rsidRPr="009F4559">
        <w:t xml:space="preserve">«14.3 </w:t>
      </w:r>
      <w:r w:rsidRPr="009F4559">
        <w:tab/>
        <w:t>Начиная с официальной даты вступления в силу дополнения 20 к первоначальной серии поправок ни одна Договаривающаяся сторона, применяющая настоящие Правила, не отказывает в предоставлении официального утверждения на основании настоящих Правил с поправками, внесенными в соответствии с настоящим дополнением.</w:t>
      </w:r>
    </w:p>
    <w:p w:rsidR="009F4559" w:rsidRPr="009F4559" w:rsidRDefault="009F4559" w:rsidP="00342FC2">
      <w:pPr>
        <w:pStyle w:val="SingleTxtGR"/>
        <w:tabs>
          <w:tab w:val="clear" w:pos="1701"/>
        </w:tabs>
        <w:ind w:left="2268" w:hanging="1134"/>
        <w:rPr>
          <w:bCs/>
        </w:rPr>
      </w:pPr>
      <w:r w:rsidRPr="009F4559">
        <w:t xml:space="preserve">14.4 </w:t>
      </w:r>
      <w:r w:rsidRPr="009F4559">
        <w:tab/>
        <w:t>С 1 сентября 2018 года Договаривающиеся стороны, применяющие настоящие Правила, предоставляют официальные утверждения только в том случае, если подлежащий официальному утверждению тип указателя поворота отвечает требованиям настоящих Правил с поправками, внесенными в соответствии с дополнением 20 к первоначальному варианту.</w:t>
      </w:r>
    </w:p>
    <w:p w:rsidR="001276E8" w:rsidRDefault="009F4559" w:rsidP="0007060F">
      <w:pPr>
        <w:pStyle w:val="SingleTxtGR"/>
        <w:keepNext/>
        <w:keepLines/>
        <w:tabs>
          <w:tab w:val="clear" w:pos="1701"/>
        </w:tabs>
        <w:ind w:left="2268" w:hanging="1134"/>
      </w:pPr>
      <w:r w:rsidRPr="009F4559">
        <w:t xml:space="preserve">14.5 </w:t>
      </w:r>
      <w:r w:rsidRPr="009F4559">
        <w:tab/>
        <w:t>Договаривающиеся стороны, применяющие настоящие Правила, не отказывают в распространении официального утверждения, предоставленного до даты вступления в силу дополнения 20 к первоначальной серии поправок к настоящим Правилам».</w:t>
      </w:r>
    </w:p>
    <w:p w:rsidR="009F4559" w:rsidRPr="009F4559" w:rsidRDefault="009F4559" w:rsidP="00C73D92">
      <w:pPr>
        <w:pStyle w:val="HChGR"/>
      </w:pPr>
      <w:r w:rsidRPr="009F4559">
        <w:br w:type="page"/>
        <w:t>Приложение IV</w:t>
      </w:r>
    </w:p>
    <w:p w:rsidR="009F4559" w:rsidRPr="009F4559" w:rsidRDefault="009F4559" w:rsidP="00672DBE">
      <w:pPr>
        <w:pStyle w:val="HChGR"/>
      </w:pPr>
      <w:r w:rsidRPr="009F4559">
        <w:tab/>
      </w:r>
      <w:r w:rsidRPr="009F4559">
        <w:tab/>
        <w:t>Принятые поправки, касающиеся источников света, к</w:t>
      </w:r>
      <w:r w:rsidR="0007060F">
        <w:rPr>
          <w:lang w:val="en-US"/>
        </w:rPr>
        <w:t> </w:t>
      </w:r>
      <w:r w:rsidRPr="009F4559">
        <w:t>правилам № 4, 6, 7, 19, 23, 38, 48, 50, 77, 87, 91, 98, 112, 113, 119 и 123 на основе документа ECE/TRANS/</w:t>
      </w:r>
      <w:r w:rsidR="00B618AE">
        <w:t xml:space="preserve"> </w:t>
      </w:r>
      <w:r w:rsidRPr="009F4559">
        <w:t>WP.29/GRE/2017/7 (пункт 32 доклада)</w:t>
      </w:r>
    </w:p>
    <w:p w:rsidR="009F4559" w:rsidRPr="009F4559" w:rsidRDefault="00C73D92" w:rsidP="00C73D92">
      <w:pPr>
        <w:pStyle w:val="H1GR"/>
      </w:pPr>
      <w:r>
        <w:tab/>
      </w:r>
      <w:r w:rsidR="009F4559" w:rsidRPr="009F4559">
        <w:t>A.</w:t>
      </w:r>
      <w:r w:rsidR="009F4559" w:rsidRPr="009F4559">
        <w:tab/>
        <w:t xml:space="preserve">Предложение по дополнению 19 к Правилам № 4 </w:t>
      </w:r>
      <w:r w:rsidR="0007060F">
        <w:br/>
      </w:r>
      <w:r w:rsidR="009F4559" w:rsidRPr="009F4559">
        <w:t>(фонари освещения заднего регистрационного знака)</w:t>
      </w:r>
    </w:p>
    <w:p w:rsidR="009F4559" w:rsidRPr="009F4559" w:rsidRDefault="009F4559" w:rsidP="009F4559">
      <w:pPr>
        <w:pStyle w:val="SingleTxtGR"/>
      </w:pPr>
      <w:r w:rsidRPr="009F4559">
        <w:rPr>
          <w:i/>
        </w:rPr>
        <w:t>Пункт 5.6.1</w:t>
      </w:r>
      <w:r w:rsidRPr="009F4559">
        <w:t xml:space="preserve"> изменить следующим образом:</w:t>
      </w:r>
    </w:p>
    <w:p w:rsidR="009F4559" w:rsidRPr="009F4559" w:rsidRDefault="009F4559" w:rsidP="00B355E8">
      <w:pPr>
        <w:pStyle w:val="SingleTxtGR"/>
        <w:tabs>
          <w:tab w:val="clear" w:pos="1701"/>
        </w:tabs>
        <w:ind w:left="2268" w:hanging="1134"/>
      </w:pPr>
      <w:r w:rsidRPr="009F4559">
        <w:t>«5.6.1</w:t>
      </w:r>
      <w:r w:rsidRPr="009F4559">
        <w:tab/>
        <w:t>Устройство освещения оснащают только источником(ами) света, официально утвержденным(и) на основании Правил № 37 и/или Правил № 128, при условии, что в Правилах № 37 и сериях поправок к ним, действующих на момент подачи заявки на официальное утверждение типа, либо в Правилах № 128 и сериях поправок к ним, действующих на момент подачи заявки на официальное утверждение типа, никаких ограничений на его (их) применение не предусмотрено».</w:t>
      </w:r>
    </w:p>
    <w:p w:rsidR="009F4559" w:rsidRPr="009F4559" w:rsidRDefault="00C73D92" w:rsidP="00C73D92">
      <w:pPr>
        <w:pStyle w:val="H1GR"/>
      </w:pPr>
      <w:r>
        <w:tab/>
      </w:r>
      <w:r w:rsidR="009F4559" w:rsidRPr="009F4559">
        <w:t>B.</w:t>
      </w:r>
      <w:r w:rsidR="009F4559" w:rsidRPr="009F4559">
        <w:tab/>
        <w:t>Предложение по дополнению 29 к поправкам серии 01 к</w:t>
      </w:r>
      <w:r w:rsidR="00B355E8">
        <w:rPr>
          <w:lang w:val="en-US"/>
        </w:rPr>
        <w:t> </w:t>
      </w:r>
      <w:r w:rsidR="009F4559" w:rsidRPr="009F4559">
        <w:t xml:space="preserve">Правилам № 6 (указатели поворота) </w:t>
      </w:r>
    </w:p>
    <w:p w:rsidR="009F4559" w:rsidRPr="009F4559" w:rsidRDefault="009F4559" w:rsidP="009F4559">
      <w:pPr>
        <w:pStyle w:val="SingleTxtGR"/>
      </w:pPr>
      <w:r w:rsidRPr="009F4559">
        <w:rPr>
          <w:i/>
        </w:rPr>
        <w:t>Пункт 5.5.1</w:t>
      </w:r>
      <w:r w:rsidRPr="009F4559">
        <w:t xml:space="preserve"> изменить следующим образом:</w:t>
      </w:r>
    </w:p>
    <w:p w:rsidR="009F4559" w:rsidRPr="009F4559" w:rsidRDefault="009F4559" w:rsidP="00B355E8">
      <w:pPr>
        <w:pStyle w:val="SingleTxtGR"/>
        <w:tabs>
          <w:tab w:val="clear" w:pos="1701"/>
        </w:tabs>
        <w:ind w:left="2268" w:hanging="1134"/>
      </w:pPr>
      <w:r w:rsidRPr="009F4559">
        <w:t>«5.5.1</w:t>
      </w:r>
      <w:r w:rsidRPr="009F4559">
        <w:tab/>
        <w:t>Устройство оснащают только источником(ами) света, официально утвержденным(и) на основании Правил № 37 и/или Правил № 128, при условии, что в Правилах № 37 и сериях поправок к ним, действующих на момент подачи заявки на официальное утверждение типа, либо в Правилах № 128 и сериях поправок к ним, действующих на момент подачи заявки на официальное утверждение типа, никаких ограничений на его (их) применение не предусмотрено».</w:t>
      </w:r>
    </w:p>
    <w:p w:rsidR="009F4559" w:rsidRPr="009F4559" w:rsidRDefault="00C73D92" w:rsidP="00C73D92">
      <w:pPr>
        <w:pStyle w:val="H1GR"/>
      </w:pPr>
      <w:r>
        <w:tab/>
      </w:r>
      <w:r w:rsidR="009F4559" w:rsidRPr="009F4559">
        <w:t>C.</w:t>
      </w:r>
      <w:r w:rsidR="009F4559" w:rsidRPr="009F4559">
        <w:tab/>
        <w:t>Предложение по дополнению 27 к поправкам серии 02 к</w:t>
      </w:r>
      <w:r w:rsidR="00B355E8">
        <w:rPr>
          <w:lang w:val="en-US"/>
        </w:rPr>
        <w:t> </w:t>
      </w:r>
      <w:r w:rsidR="009F4559" w:rsidRPr="009F4559">
        <w:t>Правилам № 7 (габаритные огни, сигналы торможения и</w:t>
      </w:r>
      <w:r w:rsidR="00B355E8">
        <w:rPr>
          <w:lang w:val="en-US"/>
        </w:rPr>
        <w:t> </w:t>
      </w:r>
      <w:r w:rsidR="009F4559" w:rsidRPr="009F4559">
        <w:t xml:space="preserve">контурные огни) </w:t>
      </w:r>
    </w:p>
    <w:p w:rsidR="009F4559" w:rsidRPr="009F4559" w:rsidRDefault="009F4559" w:rsidP="009F4559">
      <w:pPr>
        <w:pStyle w:val="SingleTxtGR"/>
      </w:pPr>
      <w:r w:rsidRPr="009F4559">
        <w:rPr>
          <w:i/>
        </w:rPr>
        <w:t>Пункт 5.9.1</w:t>
      </w:r>
      <w:r w:rsidRPr="009F4559">
        <w:t xml:space="preserve"> изменить следующим образом:</w:t>
      </w:r>
    </w:p>
    <w:p w:rsidR="009F4559" w:rsidRPr="009F4559" w:rsidRDefault="009F4559" w:rsidP="00B355E8">
      <w:pPr>
        <w:pStyle w:val="SingleTxtGR"/>
        <w:tabs>
          <w:tab w:val="clear" w:pos="1701"/>
        </w:tabs>
        <w:ind w:left="2268" w:hanging="1134"/>
      </w:pPr>
      <w:r w:rsidRPr="009F4559">
        <w:t>«5.9.1</w:t>
      </w:r>
      <w:r w:rsidRPr="009F4559">
        <w:tab/>
        <w:t>Устройство освещения оснащают только источником(ами) света, официально утвержденным(и) на основании Правил № 37 и/или Правил № 128, при условии, что в Правилах № 37 и сериях поправок к ним, действующих на момент подачи заявки на официальное утверждение типа, либо в Правилах № 128 и сериях поправок к ним, действующих на момент подачи заявки на официальное утверждение типа, никаких ограничений на его (их) применение не предусмотрено».</w:t>
      </w:r>
    </w:p>
    <w:p w:rsidR="009F4559" w:rsidRPr="009F4559" w:rsidRDefault="00C73D92" w:rsidP="00C73D92">
      <w:pPr>
        <w:pStyle w:val="H1GR"/>
      </w:pPr>
      <w:r>
        <w:tab/>
      </w:r>
      <w:r w:rsidR="00F5541B">
        <w:t>D.</w:t>
      </w:r>
      <w:r w:rsidR="009F4559" w:rsidRPr="009F4559">
        <w:tab/>
        <w:t>Предложение по дополнению 10 к поправкам серии 04 к</w:t>
      </w:r>
      <w:r w:rsidR="00B355E8">
        <w:rPr>
          <w:lang w:val="en-US"/>
        </w:rPr>
        <w:t> </w:t>
      </w:r>
      <w:r w:rsidR="009F4559" w:rsidRPr="009F4559">
        <w:t>Правилам № 19 (передние противотуманные фары)</w:t>
      </w:r>
    </w:p>
    <w:p w:rsidR="009F4559" w:rsidRPr="009F4559" w:rsidRDefault="009F4559" w:rsidP="00B355E8">
      <w:pPr>
        <w:pStyle w:val="SingleTxtGR"/>
        <w:keepNext/>
        <w:keepLines/>
        <w:rPr>
          <w:i/>
        </w:rPr>
      </w:pPr>
      <w:r w:rsidRPr="009F4559">
        <w:rPr>
          <w:i/>
        </w:rPr>
        <w:t>Пункт 5.6</w:t>
      </w:r>
      <w:r w:rsidRPr="009F4559">
        <w:t xml:space="preserve"> изменить следующим образом:</w:t>
      </w:r>
    </w:p>
    <w:p w:rsidR="009F4559" w:rsidRPr="009F4559" w:rsidRDefault="009F4559" w:rsidP="00B355E8">
      <w:pPr>
        <w:pStyle w:val="SingleTxtGR"/>
        <w:keepNext/>
        <w:keepLines/>
        <w:tabs>
          <w:tab w:val="clear" w:pos="1701"/>
        </w:tabs>
        <w:ind w:left="2268" w:hanging="1134"/>
        <w:rPr>
          <w:bCs/>
        </w:rPr>
      </w:pPr>
      <w:r w:rsidRPr="009F4559">
        <w:t>«5.6</w:t>
      </w:r>
      <w:r w:rsidRPr="009F4559">
        <w:tab/>
        <w:t xml:space="preserve">В случае класса В передняя противотуманная фара должна быть оснащена только одним источником света с нитью накала, официально утвержденным на основании Правил № 37, даже если этот источник света с нитью накала является несменным. Может использоваться любой источник света с нитью накала, официально утвержденный на основании Правил № 37, при условии, что: </w:t>
      </w:r>
    </w:p>
    <w:p w:rsidR="009F4559" w:rsidRPr="00F70154" w:rsidRDefault="009F4559" w:rsidP="00F70154">
      <w:pPr>
        <w:pStyle w:val="SingleTxtGR"/>
        <w:tabs>
          <w:tab w:val="clear" w:pos="1701"/>
        </w:tabs>
        <w:ind w:left="2835" w:hanging="567"/>
      </w:pPr>
      <w:r w:rsidRPr="009F4559">
        <w:t>а)</w:t>
      </w:r>
      <w:r w:rsidRPr="009F4559">
        <w:tab/>
        <w:t>его номинальный световой поток не превышает 2 000 люмен и</w:t>
      </w:r>
    </w:p>
    <w:p w:rsidR="009F4559" w:rsidRPr="009F4559" w:rsidRDefault="009F4559" w:rsidP="00F70154">
      <w:pPr>
        <w:pStyle w:val="SingleTxtGR"/>
        <w:tabs>
          <w:tab w:val="clear" w:pos="1701"/>
        </w:tabs>
        <w:ind w:left="2835" w:hanging="567"/>
      </w:pPr>
      <w:r w:rsidRPr="009F4559">
        <w:t>b)</w:t>
      </w:r>
      <w:r w:rsidRPr="009F4559">
        <w:tab/>
        <w:t>в Правилах № 37 и в сериях поправок к ним, действующих на момент подачи заявки на официальное утверждение типа, не предусмотрено никаких ограничений на его использование.</w:t>
      </w:r>
    </w:p>
    <w:p w:rsidR="009F4559" w:rsidRPr="009F4559" w:rsidRDefault="009F4559" w:rsidP="00B355E8">
      <w:pPr>
        <w:pStyle w:val="SingleTxtGR"/>
        <w:tabs>
          <w:tab w:val="clear" w:pos="1701"/>
        </w:tabs>
        <w:ind w:left="2268" w:hanging="1134"/>
      </w:pPr>
      <w:r w:rsidRPr="009F4559">
        <w:t>5.6.1</w:t>
      </w:r>
      <w:r w:rsidRPr="009F4559">
        <w:tab/>
        <w:t>Даже если этот источник света с нитью накала является несменным, он должен соответствовать требованиям, содержащимся в пункте 5.6 выше».</w:t>
      </w:r>
    </w:p>
    <w:p w:rsidR="009F4559" w:rsidRPr="009F4559" w:rsidRDefault="009F4559" w:rsidP="00B355E8">
      <w:pPr>
        <w:pStyle w:val="SingleTxtGR"/>
        <w:tabs>
          <w:tab w:val="clear" w:pos="1701"/>
        </w:tabs>
        <w:ind w:left="2268" w:hanging="1134"/>
        <w:rPr>
          <w:i/>
        </w:rPr>
      </w:pPr>
      <w:r w:rsidRPr="009F4559">
        <w:rPr>
          <w:i/>
        </w:rPr>
        <w:t xml:space="preserve">Пункт 5.7 </w:t>
      </w:r>
      <w:r w:rsidRPr="009F4559">
        <w:t>изменить следующим образом:</w:t>
      </w:r>
    </w:p>
    <w:p w:rsidR="009F4559" w:rsidRPr="009F4559" w:rsidRDefault="009F4559" w:rsidP="00B355E8">
      <w:pPr>
        <w:pStyle w:val="SingleTxtGR"/>
        <w:tabs>
          <w:tab w:val="clear" w:pos="1701"/>
        </w:tabs>
        <w:ind w:left="2268" w:hanging="1134"/>
      </w:pPr>
      <w:r w:rsidRPr="009F4559">
        <w:t>«5.7</w:t>
      </w:r>
      <w:r w:rsidRPr="009F4559">
        <w:tab/>
        <w:t>В случае класса F3, независимо от того, являются источники света сменными или нет, передняя противотуманная фара должна быть оснащена только:</w:t>
      </w:r>
    </w:p>
    <w:p w:rsidR="009F4559" w:rsidRPr="009F4559" w:rsidRDefault="009F4559" w:rsidP="00B355E8">
      <w:pPr>
        <w:pStyle w:val="SingleTxtGR"/>
        <w:tabs>
          <w:tab w:val="clear" w:pos="1701"/>
        </w:tabs>
        <w:ind w:left="2268" w:hanging="1134"/>
      </w:pPr>
      <w:r w:rsidRPr="009F4559">
        <w:t>5.7.1</w:t>
      </w:r>
      <w:r w:rsidRPr="009F4559">
        <w:tab/>
        <w:t>одним или более источниками света, официально утвержденными на основании:</w:t>
      </w:r>
    </w:p>
    <w:p w:rsidR="009F4559" w:rsidRPr="009F4559" w:rsidRDefault="009F4559" w:rsidP="00B355E8">
      <w:pPr>
        <w:pStyle w:val="SingleTxtGR"/>
        <w:tabs>
          <w:tab w:val="clear" w:pos="1701"/>
        </w:tabs>
        <w:ind w:left="2268" w:hanging="1134"/>
      </w:pPr>
      <w:r w:rsidRPr="009F4559">
        <w:t>5.7.1.1</w:t>
      </w:r>
      <w:r w:rsidRPr="009F4559">
        <w:tab/>
        <w:t>Правил № 37 и серий поправок к ним, действующих на момент подачи заявки на официальное утверждение типа, при условии, что не предусмотрено никаких ограничений на их использование;</w:t>
      </w:r>
    </w:p>
    <w:p w:rsidR="009F4559" w:rsidRPr="009F4559" w:rsidRDefault="009F4559" w:rsidP="00B355E8">
      <w:pPr>
        <w:pStyle w:val="SingleTxtGR"/>
        <w:tabs>
          <w:tab w:val="clear" w:pos="1701"/>
        </w:tabs>
        <w:ind w:left="2268" w:hanging="1134"/>
      </w:pPr>
      <w:r w:rsidRPr="009F4559">
        <w:t>5.7.1.2</w:t>
      </w:r>
      <w:r w:rsidRPr="009F4559">
        <w:tab/>
        <w:t>или Правил № 99 и серий поправок к ним, действующих на момент подачи заявки на официальное утверждение типа;</w:t>
      </w:r>
    </w:p>
    <w:p w:rsidR="009F4559" w:rsidRPr="009F4559" w:rsidRDefault="009F4559" w:rsidP="00B355E8">
      <w:pPr>
        <w:pStyle w:val="SingleTxtGR"/>
        <w:tabs>
          <w:tab w:val="clear" w:pos="1701"/>
        </w:tabs>
        <w:ind w:left="2268" w:hanging="1134"/>
      </w:pPr>
      <w:r w:rsidRPr="009F4559">
        <w:t>5.7.2</w:t>
      </w:r>
      <w:r w:rsidRPr="009F4559">
        <w:tab/>
        <w:t>и/или одним или более модулями СИД, к которым применяются требования приложения 12 к настоящим Правилам; соответствие этим требованиям проверяется путем испытаний».</w:t>
      </w:r>
    </w:p>
    <w:p w:rsidR="009F4559" w:rsidRPr="009F4559" w:rsidRDefault="00C73D92" w:rsidP="00C73D92">
      <w:pPr>
        <w:pStyle w:val="H1GR"/>
      </w:pPr>
      <w:r>
        <w:tab/>
      </w:r>
      <w:r w:rsidR="009F4559" w:rsidRPr="009F4559">
        <w:t>E.</w:t>
      </w:r>
      <w:r w:rsidR="009F4559" w:rsidRPr="009F4559">
        <w:tab/>
        <w:t xml:space="preserve">Предложение по дополнению 22 к Правилам № 23 </w:t>
      </w:r>
      <w:r w:rsidR="00B355E8">
        <w:br/>
      </w:r>
      <w:r w:rsidR="009F4559" w:rsidRPr="009F4559">
        <w:t xml:space="preserve">(задние фары и огни маневрирования) </w:t>
      </w:r>
    </w:p>
    <w:p w:rsidR="009F4559" w:rsidRPr="009F4559" w:rsidRDefault="009F4559" w:rsidP="009F4559">
      <w:pPr>
        <w:pStyle w:val="SingleTxtGR"/>
      </w:pPr>
      <w:r w:rsidRPr="009F4559">
        <w:rPr>
          <w:i/>
        </w:rPr>
        <w:t>Пункт 5.4.1</w:t>
      </w:r>
      <w:r w:rsidRPr="009F4559">
        <w:t xml:space="preserve"> изменить следующим образом:</w:t>
      </w:r>
    </w:p>
    <w:p w:rsidR="009F4559" w:rsidRPr="009F4559" w:rsidRDefault="009F4559" w:rsidP="00684865">
      <w:pPr>
        <w:pStyle w:val="SingleTxtGR"/>
        <w:tabs>
          <w:tab w:val="clear" w:pos="1701"/>
        </w:tabs>
        <w:ind w:left="2268" w:hanging="1134"/>
      </w:pPr>
      <w:r w:rsidRPr="009F4559">
        <w:t xml:space="preserve">«5.4.1 </w:t>
      </w:r>
      <w:r w:rsidRPr="009F4559">
        <w:tab/>
        <w:t>Заднюю фару или огонь маневрирования оснащают только источником(ами) света, официально утвержденным(и) на основании Правил № 37 и/или Правил № 128, при условии, что в Правилах № 37 и сериях поправок к ним, действующих на момент подачи заявки на официальное утверждение типа, либо в Правилах № 128 и сериях поправок к ним, действующих на момент подачи заявки на официальное утверждение типа, никаких ограничений на его (их) применение не предусмотрено».</w:t>
      </w:r>
    </w:p>
    <w:p w:rsidR="009F4559" w:rsidRPr="009F4559" w:rsidRDefault="00C73D92" w:rsidP="00C73D92">
      <w:pPr>
        <w:pStyle w:val="H1GR"/>
      </w:pPr>
      <w:r>
        <w:tab/>
      </w:r>
      <w:r w:rsidR="009F4559" w:rsidRPr="009F4559">
        <w:t>F.</w:t>
      </w:r>
      <w:r w:rsidR="009F4559" w:rsidRPr="009F4559">
        <w:tab/>
        <w:t xml:space="preserve">Предложение по дополнению 19 к Правилам № 38 </w:t>
      </w:r>
      <w:r w:rsidR="00684865">
        <w:br/>
      </w:r>
      <w:r w:rsidR="009F4559" w:rsidRPr="009F4559">
        <w:t xml:space="preserve">(задние противотуманные фары) </w:t>
      </w:r>
    </w:p>
    <w:p w:rsidR="009F4559" w:rsidRPr="009F4559" w:rsidRDefault="009F4559" w:rsidP="00684865">
      <w:pPr>
        <w:pStyle w:val="SingleTxtGR"/>
        <w:keepNext/>
        <w:keepLines/>
        <w:rPr>
          <w:bCs/>
        </w:rPr>
      </w:pPr>
      <w:r w:rsidRPr="009F4559">
        <w:rPr>
          <w:i/>
        </w:rPr>
        <w:t>Пункт 5.5.1</w:t>
      </w:r>
      <w:r w:rsidRPr="009F4559">
        <w:t xml:space="preserve"> изменить следующим образом:</w:t>
      </w:r>
    </w:p>
    <w:p w:rsidR="009F4559" w:rsidRPr="009F4559" w:rsidRDefault="009F4559" w:rsidP="00F5541B">
      <w:pPr>
        <w:pStyle w:val="SingleTxtGR"/>
        <w:keepNext/>
        <w:keepLines/>
        <w:tabs>
          <w:tab w:val="clear" w:pos="1701"/>
        </w:tabs>
        <w:ind w:left="2268" w:hanging="1134"/>
        <w:rPr>
          <w:bCs/>
        </w:rPr>
      </w:pPr>
      <w:r w:rsidRPr="009F4559">
        <w:t>«5.5.1</w:t>
      </w:r>
      <w:r w:rsidRPr="009F4559">
        <w:tab/>
        <w:t>Заднюю противотуманную фару оснащают только источником(ами) света, официально утвержденным(и) на основании Правил № 37 и/или Правил № 128, при условии, что в Правилах № 37 и сериях поправок к ним, действующих на момент подачи заявки на официальное утверждение типа, либо в Правилах</w:t>
      </w:r>
      <w:r w:rsidR="00684865">
        <w:rPr>
          <w:lang w:val="en-US"/>
        </w:rPr>
        <w:t> </w:t>
      </w:r>
      <w:r w:rsidRPr="009F4559">
        <w:t>№</w:t>
      </w:r>
      <w:r w:rsidR="00684865">
        <w:rPr>
          <w:lang w:val="en-US"/>
        </w:rPr>
        <w:t> </w:t>
      </w:r>
      <w:r w:rsidRPr="009F4559">
        <w:t>128 и сериях поправок к ним, действующих на момент подачи заявки на официальное утверждение типа, никаких ограничений на его (их) применение не предусмотрено».</w:t>
      </w:r>
    </w:p>
    <w:p w:rsidR="009F4559" w:rsidRPr="009F4559" w:rsidRDefault="00C73D92" w:rsidP="00C73D92">
      <w:pPr>
        <w:pStyle w:val="H1GR"/>
      </w:pPr>
      <w:r>
        <w:tab/>
      </w:r>
      <w:r w:rsidR="009F4559" w:rsidRPr="009F4559">
        <w:t>G.</w:t>
      </w:r>
      <w:r w:rsidR="009F4559" w:rsidRPr="009F4559">
        <w:tab/>
        <w:t>Предложение по дополнению 9 к поправкам серии 06 к</w:t>
      </w:r>
      <w:r w:rsidR="00684865">
        <w:rPr>
          <w:lang w:val="en-US"/>
        </w:rPr>
        <w:t> </w:t>
      </w:r>
      <w:r w:rsidR="009F4559" w:rsidRPr="009F4559">
        <w:t xml:space="preserve">Правилам № 48 (установка устройств освещения </w:t>
      </w:r>
      <w:r w:rsidR="003C02A3">
        <w:br/>
      </w:r>
      <w:r w:rsidR="009F4559" w:rsidRPr="009F4559">
        <w:t>и световой сигнализации)</w:t>
      </w:r>
    </w:p>
    <w:p w:rsidR="009F4559" w:rsidRPr="009F4559" w:rsidRDefault="009F4559" w:rsidP="009F4559">
      <w:pPr>
        <w:pStyle w:val="SingleTxtGR"/>
        <w:rPr>
          <w:i/>
        </w:rPr>
      </w:pPr>
      <w:r w:rsidRPr="009F4559">
        <w:rPr>
          <w:i/>
        </w:rPr>
        <w:t>Включить новый пункт 5.30 следующего содержания:</w:t>
      </w:r>
    </w:p>
    <w:p w:rsidR="009F4559" w:rsidRPr="009F4559" w:rsidRDefault="009F4559" w:rsidP="00684865">
      <w:pPr>
        <w:pStyle w:val="SingleTxtGR"/>
        <w:tabs>
          <w:tab w:val="clear" w:pos="1701"/>
          <w:tab w:val="left" w:pos="8504"/>
        </w:tabs>
        <w:ind w:left="2268" w:hanging="1134"/>
      </w:pPr>
      <w:r w:rsidRPr="009F4559">
        <w:t>«5.30</w:t>
      </w:r>
      <w:r w:rsidRPr="009F4559">
        <w:tab/>
        <w:t>Все огни (устройства) в случае их установки на транспортном средстве должны, если это применимо, быть официально утверждены по типу конструкции на основании правил, касающихся соответствующих устройств, как это указано в подпунктах пункта 6 настоящих Правил».</w:t>
      </w:r>
    </w:p>
    <w:p w:rsidR="009F4559" w:rsidRPr="009F4559" w:rsidRDefault="009F4559" w:rsidP="009F4559">
      <w:pPr>
        <w:pStyle w:val="SingleTxtGR"/>
        <w:rPr>
          <w:i/>
        </w:rPr>
      </w:pPr>
      <w:r w:rsidRPr="009F4559">
        <w:rPr>
          <w:i/>
        </w:rPr>
        <w:t>Включить новый пункт 5.31 следующего содержания:</w:t>
      </w:r>
    </w:p>
    <w:p w:rsidR="009F4559" w:rsidRPr="009F4559" w:rsidRDefault="009F4559" w:rsidP="00684865">
      <w:pPr>
        <w:pStyle w:val="SingleTxtGR"/>
        <w:tabs>
          <w:tab w:val="clear" w:pos="1701"/>
        </w:tabs>
        <w:ind w:left="2268" w:hanging="1134"/>
      </w:pPr>
      <w:r w:rsidRPr="009F4559">
        <w:t>«5.31</w:t>
      </w:r>
      <w:r w:rsidRPr="009F4559">
        <w:tab/>
        <w:t xml:space="preserve">Устанавливаемые на транспортном средстве огни, которые были официально утверждены на основании настоящих Правил и официально утверждены для одной или нескольких категорий сменных источников света на основании правил № 37, 99 или 128, должны быть оборудованы только источниками света, официально утвержденными в соответствии с этими категориями источников света. </w:t>
      </w:r>
    </w:p>
    <w:p w:rsidR="009F4559" w:rsidRPr="009F4559" w:rsidRDefault="00684865" w:rsidP="00684865">
      <w:pPr>
        <w:pStyle w:val="SingleTxtGR"/>
        <w:tabs>
          <w:tab w:val="clear" w:pos="1701"/>
        </w:tabs>
        <w:ind w:left="2268" w:hanging="1134"/>
        <w:rPr>
          <w:bCs/>
        </w:rPr>
      </w:pPr>
      <w:r>
        <w:tab/>
      </w:r>
      <w:r w:rsidR="009F4559" w:rsidRPr="009F4559">
        <w:t>Это требование не относится к модулям источника света, модулям СИД и несменным источникам света, за исключением случаев, когда они должны быть в обязательном порядке официально утверждены на основании применимых правил».</w:t>
      </w:r>
    </w:p>
    <w:p w:rsidR="009F4559" w:rsidRPr="009F4559" w:rsidRDefault="00C73D92" w:rsidP="00C73D92">
      <w:pPr>
        <w:pStyle w:val="H1GR"/>
      </w:pPr>
      <w:r>
        <w:tab/>
      </w:r>
      <w:r w:rsidR="009F4559" w:rsidRPr="009F4559">
        <w:t>H.</w:t>
      </w:r>
      <w:r w:rsidR="009F4559" w:rsidRPr="009F4559">
        <w:tab/>
        <w:t>Предложение по дополнению 19 к Правилам № 50 (габаритные огни, сигналы торможения, указатели поворота для мопедов и</w:t>
      </w:r>
      <w:r w:rsidR="00684865">
        <w:rPr>
          <w:lang w:val="en-US"/>
        </w:rPr>
        <w:t> </w:t>
      </w:r>
      <w:r w:rsidR="009F4559" w:rsidRPr="009F4559">
        <w:t xml:space="preserve">мотоциклов) </w:t>
      </w:r>
    </w:p>
    <w:p w:rsidR="009F4559" w:rsidRPr="009F4559" w:rsidRDefault="009F4559" w:rsidP="009F4559">
      <w:pPr>
        <w:pStyle w:val="SingleTxtGR"/>
      </w:pPr>
      <w:r w:rsidRPr="009F4559">
        <w:rPr>
          <w:i/>
        </w:rPr>
        <w:t>Пункт 6.4.1</w:t>
      </w:r>
      <w:r w:rsidRPr="009F4559">
        <w:t xml:space="preserve"> изменить следующим образом:</w:t>
      </w:r>
    </w:p>
    <w:p w:rsidR="009F4559" w:rsidRPr="009F4559" w:rsidRDefault="009F4559" w:rsidP="00684865">
      <w:pPr>
        <w:pStyle w:val="SingleTxtGR"/>
        <w:tabs>
          <w:tab w:val="clear" w:pos="1701"/>
        </w:tabs>
        <w:ind w:left="2268" w:hanging="1134"/>
      </w:pPr>
      <w:r w:rsidRPr="009F4559">
        <w:t xml:space="preserve">«6.4.1 </w:t>
      </w:r>
      <w:r w:rsidRPr="009F4559">
        <w:tab/>
        <w:t>Устройство освещения оснащают только источником(ами) света, официально утвержденным(и) на основании Правил № 37 и/или Правил № 128, при условии, что в Правилах № 37 и сериях поправок к ним, действующих на момент подачи заявки на официальное утверждение типа, либо в Правилах № 128 и сериях поправок к ним, действующих на момент подачи заявки на официальное утверждение типа, никаких ограничений на его (их) применение не предусмотрено».</w:t>
      </w:r>
    </w:p>
    <w:p w:rsidR="009F4559" w:rsidRPr="009F4559" w:rsidRDefault="00C73D92" w:rsidP="00C73D92">
      <w:pPr>
        <w:pStyle w:val="H1GR"/>
      </w:pPr>
      <w:r>
        <w:tab/>
      </w:r>
      <w:r w:rsidR="009F4559" w:rsidRPr="009F4559">
        <w:t>I.</w:t>
      </w:r>
      <w:r w:rsidR="009F4559" w:rsidRPr="009F4559">
        <w:tab/>
        <w:t xml:space="preserve">Предложение по дополнению 18 к Правилам № 77 </w:t>
      </w:r>
      <w:r w:rsidR="00684865">
        <w:br/>
      </w:r>
      <w:r w:rsidR="009F4559" w:rsidRPr="009F4559">
        <w:t xml:space="preserve">(стояночные огни) </w:t>
      </w:r>
    </w:p>
    <w:p w:rsidR="009F4559" w:rsidRPr="009F4559" w:rsidRDefault="009F4559" w:rsidP="00684865">
      <w:pPr>
        <w:pStyle w:val="SingleTxtGR"/>
        <w:keepNext/>
        <w:keepLines/>
      </w:pPr>
      <w:r w:rsidRPr="009F4559">
        <w:rPr>
          <w:i/>
        </w:rPr>
        <w:t>Пункт 6.4.1</w:t>
      </w:r>
      <w:r w:rsidRPr="009F4559">
        <w:t xml:space="preserve"> изменить следующим образом:</w:t>
      </w:r>
    </w:p>
    <w:p w:rsidR="009F4559" w:rsidRPr="009F4559" w:rsidRDefault="009F4559" w:rsidP="00684865">
      <w:pPr>
        <w:pStyle w:val="SingleTxtGR"/>
        <w:keepNext/>
        <w:keepLines/>
        <w:tabs>
          <w:tab w:val="clear" w:pos="1701"/>
        </w:tabs>
        <w:ind w:left="2268" w:hanging="1134"/>
      </w:pPr>
      <w:r w:rsidRPr="009F4559">
        <w:t>«6.4.1</w:t>
      </w:r>
      <w:r w:rsidRPr="009F4559">
        <w:tab/>
        <w:t>Стояночный огонь оснащают только источником(ами) света, официально утвержденным(и) на основании Правил № 37 и/или Правил № 128, при условии, что в Правилах № 37 и сериях поправок к ним, действующих на момент подачи заявки на официальное утверждение типа, либо в Правилах № 128 и сериях поправок к ним, действующих на момент подачи заявки на официальное утверждение типа, никаких ограничений на его (их) применение не предусмотрено».</w:t>
      </w:r>
    </w:p>
    <w:p w:rsidR="009F4559" w:rsidRPr="009F4559" w:rsidRDefault="00C73D92" w:rsidP="00C73D92">
      <w:pPr>
        <w:pStyle w:val="H1GR"/>
      </w:pPr>
      <w:r>
        <w:tab/>
      </w:r>
      <w:r w:rsidR="009F4559" w:rsidRPr="009F4559">
        <w:t>J.</w:t>
      </w:r>
      <w:r w:rsidR="009F4559" w:rsidRPr="009F4559">
        <w:tab/>
        <w:t xml:space="preserve">Предложение по дополнению 20 к Правилам № 87 </w:t>
      </w:r>
      <w:r w:rsidR="00436637">
        <w:br/>
      </w:r>
      <w:r w:rsidR="009F4559" w:rsidRPr="009F4559">
        <w:t xml:space="preserve">(дневные ходовые огни) </w:t>
      </w:r>
    </w:p>
    <w:p w:rsidR="009F4559" w:rsidRPr="009F4559" w:rsidRDefault="009F4559" w:rsidP="009F4559">
      <w:pPr>
        <w:pStyle w:val="SingleTxtGR"/>
      </w:pPr>
      <w:r w:rsidRPr="009F4559">
        <w:rPr>
          <w:i/>
        </w:rPr>
        <w:t>Пункт 6.5.1</w:t>
      </w:r>
      <w:r w:rsidRPr="009F4559">
        <w:t xml:space="preserve"> изменить следующим образом:</w:t>
      </w:r>
    </w:p>
    <w:p w:rsidR="009F4559" w:rsidRPr="009F4559" w:rsidRDefault="009F4559" w:rsidP="00436637">
      <w:pPr>
        <w:pStyle w:val="SingleTxtGR"/>
        <w:tabs>
          <w:tab w:val="clear" w:pos="1701"/>
        </w:tabs>
        <w:ind w:left="2268" w:hanging="1134"/>
      </w:pPr>
      <w:r w:rsidRPr="009F4559">
        <w:t xml:space="preserve">«6.5.1 </w:t>
      </w:r>
      <w:r w:rsidRPr="009F4559">
        <w:tab/>
        <w:t>Дневной ходовой огонь оснащают только источником(ами) света, официально утвержденным(и) на основании Правил № 37 и/или Правил № 128, при условии, что в Правилах № 37 и сериях поправок к ним, действующих на момент подачи заявки на официальное утверждение типа, либо в Правилах № 128 и сериях поправок к ним, действующих на момент подачи заявки на официальное утверждение типа, никаких ограничений на его (их) применение не предусмотрено».</w:t>
      </w:r>
    </w:p>
    <w:p w:rsidR="009F4559" w:rsidRPr="009F4559" w:rsidRDefault="00C73D92" w:rsidP="00C73D92">
      <w:pPr>
        <w:pStyle w:val="H1GR"/>
      </w:pPr>
      <w:r>
        <w:tab/>
      </w:r>
      <w:r w:rsidR="009F4559" w:rsidRPr="009F4559">
        <w:t>K.</w:t>
      </w:r>
      <w:r w:rsidR="009F4559" w:rsidRPr="009F4559">
        <w:tab/>
        <w:t xml:space="preserve">Предложение по дополнению 17 к Правилам № 91 </w:t>
      </w:r>
      <w:r w:rsidR="00436637">
        <w:br/>
      </w:r>
      <w:r w:rsidR="009F4559" w:rsidRPr="009F4559">
        <w:t xml:space="preserve">(боковые габаритные огни) </w:t>
      </w:r>
    </w:p>
    <w:p w:rsidR="009F4559" w:rsidRPr="009F4559" w:rsidRDefault="009F4559" w:rsidP="009F4559">
      <w:pPr>
        <w:pStyle w:val="SingleTxtGR"/>
      </w:pPr>
      <w:r w:rsidRPr="009F4559">
        <w:rPr>
          <w:i/>
        </w:rPr>
        <w:t xml:space="preserve">Пункт 6.4.1 </w:t>
      </w:r>
      <w:r w:rsidRPr="009F4559">
        <w:t>изменить следующим образом:</w:t>
      </w:r>
    </w:p>
    <w:p w:rsidR="009F4559" w:rsidRPr="009F4559" w:rsidRDefault="009F4559" w:rsidP="00436637">
      <w:pPr>
        <w:pStyle w:val="SingleTxtGR"/>
        <w:tabs>
          <w:tab w:val="clear" w:pos="1701"/>
        </w:tabs>
        <w:ind w:left="2268" w:hanging="1134"/>
      </w:pPr>
      <w:r w:rsidRPr="009F4559">
        <w:t xml:space="preserve">«6.4.1 </w:t>
      </w:r>
      <w:r w:rsidRPr="009F4559">
        <w:tab/>
        <w:t>Боковой габаритный огонь оснащают только источником(ами) света, официально утвержденным(и) на основании Правил № 37 и/или Правил № 128, при условии, что в Правилах № 37 и сериях поправок к ним, действующих на момент подачи заявки на официальное утверждение типа, либо в Правилах № 128 и сериях поправок к ним, действующих на момент подачи заявки на официальное утверждение типа, никаких ограничений на его (их) применение не предусмотрено».</w:t>
      </w:r>
    </w:p>
    <w:p w:rsidR="009F4559" w:rsidRPr="009F4559" w:rsidRDefault="00C73D92" w:rsidP="00C73D92">
      <w:pPr>
        <w:pStyle w:val="H1GR"/>
      </w:pPr>
      <w:r>
        <w:tab/>
      </w:r>
      <w:r w:rsidR="009F4559" w:rsidRPr="009F4559">
        <w:t>L.</w:t>
      </w:r>
      <w:r w:rsidR="009F4559" w:rsidRPr="009F4559">
        <w:tab/>
        <w:t>Предложение по дополнению 9 к поправкам серии 01 к</w:t>
      </w:r>
      <w:r w:rsidR="00F5541B">
        <w:t> </w:t>
      </w:r>
      <w:r w:rsidR="009F4559" w:rsidRPr="009F4559">
        <w:t xml:space="preserve">Правилам № 98 (фары с газоразрядными источниками света) </w:t>
      </w:r>
    </w:p>
    <w:p w:rsidR="009F4559" w:rsidRPr="009F4559" w:rsidRDefault="009F4559" w:rsidP="009F4559">
      <w:pPr>
        <w:pStyle w:val="SingleTxtGR"/>
      </w:pPr>
      <w:r w:rsidRPr="009F4559">
        <w:rPr>
          <w:i/>
        </w:rPr>
        <w:t>Пункты 5.8.1 и 5.8.2</w:t>
      </w:r>
      <w:r w:rsidRPr="009F4559">
        <w:t xml:space="preserve"> изменить следующим образом:</w:t>
      </w:r>
    </w:p>
    <w:p w:rsidR="009F4559" w:rsidRPr="009F4559" w:rsidRDefault="009F4559" w:rsidP="00436637">
      <w:pPr>
        <w:pStyle w:val="SingleTxtGR"/>
        <w:tabs>
          <w:tab w:val="clear" w:pos="1701"/>
        </w:tabs>
        <w:ind w:left="2268" w:hanging="1134"/>
      </w:pPr>
      <w:r w:rsidRPr="009F4559">
        <w:t>«5.8.1</w:t>
      </w:r>
      <w:r w:rsidRPr="009F4559">
        <w:tab/>
        <w:t>Газоразрядные фары должны быть оснащены только сменным(и) газоразрядным(и) источником(ами) света, официально утвержденным(и) на основании Правил № 99 и серий поправок к ним, действующих на момент подачи заявки на официальное утверждение типа.</w:t>
      </w:r>
    </w:p>
    <w:p w:rsidR="009F4559" w:rsidRPr="009F4559" w:rsidRDefault="009F4559" w:rsidP="00436637">
      <w:pPr>
        <w:pStyle w:val="SingleTxtGR"/>
        <w:tabs>
          <w:tab w:val="clear" w:pos="1701"/>
        </w:tabs>
        <w:ind w:left="2268" w:hanging="1134"/>
      </w:pPr>
      <w:r w:rsidRPr="009F4559">
        <w:t>5.8.2</w:t>
      </w:r>
      <w:r w:rsidRPr="009F4559">
        <w:tab/>
        <w:t>В том случае, если в газоразрядной фаре используются один или более (дополнительных) источников света с нитью накала, газоразрядная фара должна быть оснащена только этими источниками света с нитью накала, которые должны быть сменными и официально утверждены в соответствии с Правилами № 37 и сериями поправок к ним, действующими на момент подачи заявки на официальное утверждение типа, при условии, что в Правилах № 37 и сериях поправок к ним, действующих на момент подачи заявки на официальное утверждение типа, не предусмотрено никаких ограничений на их использование».</w:t>
      </w:r>
    </w:p>
    <w:p w:rsidR="009F4559" w:rsidRPr="009F4559" w:rsidRDefault="00C73D92" w:rsidP="00C73D92">
      <w:pPr>
        <w:pStyle w:val="H1GR"/>
      </w:pPr>
      <w:r>
        <w:tab/>
      </w:r>
      <w:r w:rsidR="009F4559" w:rsidRPr="009F4559">
        <w:t>M.</w:t>
      </w:r>
      <w:r w:rsidR="009F4559" w:rsidRPr="009F4559">
        <w:tab/>
        <w:t>Предложение по дополнению 8 к поправкам серии 01 к</w:t>
      </w:r>
      <w:r w:rsidR="00F5541B">
        <w:t> </w:t>
      </w:r>
      <w:r w:rsidR="009F4559" w:rsidRPr="009F4559">
        <w:t>Правилам № 112 (фары, испускающие асимметричный луч</w:t>
      </w:r>
      <w:r w:rsidR="00F5541B">
        <w:t> </w:t>
      </w:r>
      <w:r w:rsidR="009F4559" w:rsidRPr="009F4559">
        <w:t xml:space="preserve">ближнего света) </w:t>
      </w:r>
    </w:p>
    <w:p w:rsidR="009F4559" w:rsidRPr="009F4559" w:rsidRDefault="009F4559" w:rsidP="009F4559">
      <w:pPr>
        <w:pStyle w:val="SingleTxtGR"/>
      </w:pPr>
      <w:r w:rsidRPr="009F4559">
        <w:rPr>
          <w:i/>
        </w:rPr>
        <w:t xml:space="preserve">Пункт 5.3.1 </w:t>
      </w:r>
      <w:r w:rsidRPr="009F4559">
        <w:t>изменить следующим образом:</w:t>
      </w:r>
    </w:p>
    <w:p w:rsidR="009F4559" w:rsidRPr="009F4559" w:rsidRDefault="009F4559" w:rsidP="00436637">
      <w:pPr>
        <w:pStyle w:val="SingleTxtGR"/>
        <w:tabs>
          <w:tab w:val="clear" w:pos="1701"/>
        </w:tabs>
        <w:ind w:left="2268" w:hanging="1134"/>
      </w:pPr>
      <w:r w:rsidRPr="009F4559">
        <w:t>«5.3.1</w:t>
      </w:r>
      <w:r w:rsidRPr="009F4559">
        <w:tab/>
        <w:t>только источником(ами) света с нитью накала, официально утвержденным(и) на основании Правил № 37. Может быть использован любой источник света с нитью накала, охваченный Правилами № 37, при условии, что в Правилах № 37 и в сериях поправок к ним, действующих на момент подачи заявки на официальное утверждение, не предусмотрено никаких ограничений на его применение».</w:t>
      </w:r>
    </w:p>
    <w:p w:rsidR="009F4559" w:rsidRPr="009F4559" w:rsidRDefault="00C73D92" w:rsidP="00C73D92">
      <w:pPr>
        <w:pStyle w:val="H1GR"/>
      </w:pPr>
      <w:r>
        <w:tab/>
      </w:r>
      <w:r w:rsidR="009F4559" w:rsidRPr="009F4559">
        <w:t>N.</w:t>
      </w:r>
      <w:r w:rsidR="009F4559" w:rsidRPr="009F4559">
        <w:tab/>
        <w:t>Предложение по дополнению 7 к поправкам серии 01 к</w:t>
      </w:r>
      <w:r w:rsidR="00F5541B">
        <w:t> </w:t>
      </w:r>
      <w:r w:rsidR="009F4559" w:rsidRPr="009F4559">
        <w:t>Правилам № 113 (фары, испускающие симметричный луч</w:t>
      </w:r>
      <w:r w:rsidR="00F5541B">
        <w:t> </w:t>
      </w:r>
      <w:r w:rsidR="009F4559" w:rsidRPr="009F4559">
        <w:t xml:space="preserve">ближнего света) </w:t>
      </w:r>
    </w:p>
    <w:p w:rsidR="009F4559" w:rsidRPr="009F4559" w:rsidRDefault="009F4559" w:rsidP="009F4559">
      <w:pPr>
        <w:pStyle w:val="SingleTxtGR"/>
      </w:pPr>
      <w:r w:rsidRPr="009F4559">
        <w:rPr>
          <w:i/>
        </w:rPr>
        <w:t xml:space="preserve">Пункт 5.3.1 </w:t>
      </w:r>
      <w:r w:rsidRPr="009F4559">
        <w:t>изменить следующим образом:</w:t>
      </w:r>
    </w:p>
    <w:p w:rsidR="009F4559" w:rsidRPr="009F4559" w:rsidRDefault="009F4559" w:rsidP="00436637">
      <w:pPr>
        <w:pStyle w:val="SingleTxtGR"/>
        <w:tabs>
          <w:tab w:val="clear" w:pos="1701"/>
        </w:tabs>
        <w:ind w:left="2268" w:hanging="1134"/>
      </w:pPr>
      <w:r w:rsidRPr="009F4559">
        <w:t>«5.3.1</w:t>
      </w:r>
      <w:r w:rsidRPr="009F4559">
        <w:tab/>
        <w:t>Фары оснащают только источником(ами) света с нитью накала, официально утвержденным(и) на основании Правил № 37, и/или модулем(ями) СИД.</w:t>
      </w:r>
    </w:p>
    <w:p w:rsidR="009F4559" w:rsidRPr="009F4559" w:rsidRDefault="00436637" w:rsidP="00436637">
      <w:pPr>
        <w:pStyle w:val="SingleTxtGR"/>
        <w:tabs>
          <w:tab w:val="clear" w:pos="1701"/>
        </w:tabs>
        <w:ind w:left="2268" w:hanging="1134"/>
      </w:pPr>
      <w:r>
        <w:tab/>
      </w:r>
      <w:r w:rsidR="009F4559" w:rsidRPr="009F4559">
        <w:t>В случае использования дополнительного(ых) источника(ов) света и/или дополнительного(ых) светового(ых) модуля(ей) для обеспечения поворотного освещения дополнительный(е) источник(и) света должен (должны) соответствовать официально утвержденным источникам света с нитью накала и дополнительный(е) световой(ые) модуль(и) должен (должны) быть оснащен(ы) только официально утвержденным(и) источником(ами) света с нитью накала, охватываемым(и) Правилами № 37, при условии, что в Правилах № 37 и в сериях поправок к ним, действующих на момент подачи заявки на официальное утверждение типа, не предусмотрено никаких ограничений на использование поворотного освещения и/или модуля(ей) СИД».</w:t>
      </w:r>
    </w:p>
    <w:p w:rsidR="009F4559" w:rsidRPr="009F4559" w:rsidRDefault="009F4559" w:rsidP="009F4559">
      <w:pPr>
        <w:pStyle w:val="SingleTxtGR"/>
      </w:pPr>
      <w:r w:rsidRPr="009F4559">
        <w:rPr>
          <w:i/>
        </w:rPr>
        <w:t>Пункт 5.4.1</w:t>
      </w:r>
      <w:r w:rsidRPr="009F4559">
        <w:t xml:space="preserve"> изменить следующим образом:</w:t>
      </w:r>
    </w:p>
    <w:p w:rsidR="009F4559" w:rsidRPr="009F4559" w:rsidRDefault="009F4559" w:rsidP="00436637">
      <w:pPr>
        <w:pStyle w:val="SingleTxtGR"/>
        <w:tabs>
          <w:tab w:val="clear" w:pos="1701"/>
        </w:tabs>
        <w:ind w:left="2268" w:hanging="1134"/>
      </w:pPr>
      <w:r w:rsidRPr="009F4559">
        <w:t>«5.4.1</w:t>
      </w:r>
      <w:r w:rsidRPr="009F4559">
        <w:tab/>
        <w:t>Фару оснащают только газоразрядным(и) источником(ами) света, официально утвержденным(и) на основании Правил № 99, и/или модулем(ями) СИД.</w:t>
      </w:r>
    </w:p>
    <w:p w:rsidR="009F4559" w:rsidRPr="009F4559" w:rsidRDefault="009F4559" w:rsidP="00436637">
      <w:pPr>
        <w:pStyle w:val="SingleTxtGR"/>
        <w:tabs>
          <w:tab w:val="clear" w:pos="1701"/>
        </w:tabs>
        <w:ind w:left="2268" w:hanging="1134"/>
      </w:pPr>
      <w:r w:rsidRPr="009F4559">
        <w:tab/>
        <w:t>В случае использования дополнительного(ых) источника(ов) света и/или дополнительного(ых) светового(ых) модуля(ей) для обеспечения поворотного освещения дополнительный(е) источник(и) света должен (должны) соответствовать официально утвержденным источникам света с нитью накала и дополнительный(е) световой(ые) модуль(и) должен (должны) быть оснащен(ы) только официально утвержденным(и) источником(ами) света с нитью накала, охватываемым(и) Правилами № 37, при условии, что в Правилах № 37 и в сериях поправок к ним, действующих на момент подачи заявки на официальное утверждение типа, не предусмотрено никаких ограничений на использование поворотного освещения и/или модуля(ей) СИД».</w:t>
      </w:r>
    </w:p>
    <w:p w:rsidR="009F4559" w:rsidRPr="009F4559" w:rsidRDefault="00C73D92" w:rsidP="00C73D92">
      <w:pPr>
        <w:pStyle w:val="H1GR"/>
      </w:pPr>
      <w:r>
        <w:tab/>
      </w:r>
      <w:r w:rsidR="009F4559" w:rsidRPr="009F4559">
        <w:t>O.</w:t>
      </w:r>
      <w:r w:rsidR="009F4559" w:rsidRPr="009F4559">
        <w:tab/>
        <w:t>Предложение по дополнению 6 к поправкам серии 01 к</w:t>
      </w:r>
      <w:r w:rsidR="00D21B10">
        <w:rPr>
          <w:lang w:val="en-US"/>
        </w:rPr>
        <w:t> </w:t>
      </w:r>
      <w:r w:rsidR="009F4559" w:rsidRPr="009F4559">
        <w:t xml:space="preserve">Правилам № 119 (огни подсветки поворота) </w:t>
      </w:r>
    </w:p>
    <w:p w:rsidR="009F4559" w:rsidRPr="009F4559" w:rsidRDefault="009F4559" w:rsidP="009F4559">
      <w:pPr>
        <w:pStyle w:val="SingleTxtGR"/>
      </w:pPr>
      <w:r w:rsidRPr="009F4559">
        <w:rPr>
          <w:i/>
        </w:rPr>
        <w:t>Пункт 5.4.1</w:t>
      </w:r>
      <w:r w:rsidRPr="009F4559">
        <w:t xml:space="preserve"> изменить следующим образом:</w:t>
      </w:r>
    </w:p>
    <w:p w:rsidR="009F4559" w:rsidRPr="009F4559" w:rsidRDefault="009F4559" w:rsidP="00436637">
      <w:pPr>
        <w:pStyle w:val="SingleTxtGR"/>
        <w:tabs>
          <w:tab w:val="clear" w:pos="1701"/>
          <w:tab w:val="left" w:pos="7371"/>
        </w:tabs>
        <w:ind w:left="2268" w:hanging="1134"/>
      </w:pPr>
      <w:r w:rsidRPr="009F4559">
        <w:t>«5.4.1</w:t>
      </w:r>
      <w:r w:rsidRPr="009F4559">
        <w:tab/>
        <w:t>Огонь подсветки поворота оснащают только источником(ами) света, официально утвержденным(и) на основании Правил № 37 и/или Правил № 128, при условии, что в Правилах № 37 и сериях поправок к ним, действующих на момент подачи заявки на официальное утверждение типа, либо в Правилах № 128 и сериях поправок к ним, действующих на момент подачи заявки на официальное утверждение типа, никаких ограничений на его (их) применение не предусмотрено».</w:t>
      </w:r>
    </w:p>
    <w:p w:rsidR="009F4559" w:rsidRPr="009F4559" w:rsidRDefault="00C73D92" w:rsidP="00C73D92">
      <w:pPr>
        <w:pStyle w:val="H1GR"/>
      </w:pPr>
      <w:r>
        <w:tab/>
      </w:r>
      <w:r w:rsidR="009F4559" w:rsidRPr="009F4559">
        <w:t>P.</w:t>
      </w:r>
      <w:r w:rsidR="009F4559" w:rsidRPr="009F4559">
        <w:tab/>
        <w:t>Предложение по дополнению 9 к поправкам серии 01 к</w:t>
      </w:r>
      <w:r w:rsidR="00D21B10">
        <w:rPr>
          <w:lang w:val="en-US"/>
        </w:rPr>
        <w:t> </w:t>
      </w:r>
      <w:r w:rsidR="009F4559" w:rsidRPr="009F4559">
        <w:t xml:space="preserve">Правилам № 123 (адаптивные системы переднего </w:t>
      </w:r>
      <w:r w:rsidR="00D21B10">
        <w:br/>
      </w:r>
      <w:r w:rsidR="009F4559" w:rsidRPr="009F4559">
        <w:t xml:space="preserve">освещения (АСПО)) </w:t>
      </w:r>
    </w:p>
    <w:p w:rsidR="009F4559" w:rsidRPr="009F4559" w:rsidRDefault="009F4559" w:rsidP="009F4559">
      <w:pPr>
        <w:pStyle w:val="SingleTxtGR"/>
      </w:pPr>
      <w:r w:rsidRPr="009F4559">
        <w:rPr>
          <w:i/>
        </w:rPr>
        <w:t xml:space="preserve">Пункт 5.3.1 </w:t>
      </w:r>
      <w:r w:rsidRPr="009F4559">
        <w:t>изменить следующим образом:</w:t>
      </w:r>
    </w:p>
    <w:p w:rsidR="009F4559" w:rsidRPr="009F4559" w:rsidRDefault="009F4559" w:rsidP="00436637">
      <w:pPr>
        <w:pStyle w:val="SingleTxtGR"/>
        <w:tabs>
          <w:tab w:val="clear" w:pos="1701"/>
        </w:tabs>
        <w:ind w:left="2268" w:hanging="1134"/>
      </w:pPr>
      <w:r w:rsidRPr="009F4559">
        <w:t>«5.3</w:t>
      </w:r>
      <w:r w:rsidRPr="009F4559">
        <w:tab/>
        <w:t>Сменные и несменные источники света и модули СИД:</w:t>
      </w:r>
    </w:p>
    <w:p w:rsidR="009F4559" w:rsidRPr="009F4559" w:rsidRDefault="009F4559" w:rsidP="00436637">
      <w:pPr>
        <w:pStyle w:val="SingleTxtGR"/>
        <w:tabs>
          <w:tab w:val="clear" w:pos="1701"/>
        </w:tabs>
        <w:ind w:left="2268" w:hanging="1134"/>
      </w:pPr>
      <w:r w:rsidRPr="009F4559">
        <w:t>5.3.1</w:t>
      </w:r>
      <w:r w:rsidRPr="009F4559">
        <w:tab/>
        <w:t xml:space="preserve">Систему оснащают одним или комбинацией: </w:t>
      </w:r>
    </w:p>
    <w:p w:rsidR="009F4559" w:rsidRPr="009F4559" w:rsidRDefault="009F4559" w:rsidP="00436637">
      <w:pPr>
        <w:pStyle w:val="SingleTxtGR"/>
        <w:tabs>
          <w:tab w:val="clear" w:pos="1701"/>
        </w:tabs>
        <w:ind w:left="2268" w:hanging="1134"/>
      </w:pPr>
      <w:r w:rsidRPr="009F4559">
        <w:t>5.3.1.1</w:t>
      </w:r>
      <w:r w:rsidRPr="009F4559">
        <w:tab/>
        <w:t>источников света, которые официально утверждены на основании Правил № 37 и соответствующей серии поправок к ним, действующих на момент подачи заявки на официальное утверждение типа и в отношении которых не предусматривается никаких ограничений на применение;</w:t>
      </w:r>
    </w:p>
    <w:p w:rsidR="009F4559" w:rsidRPr="009F4559" w:rsidRDefault="009F4559" w:rsidP="00436637">
      <w:pPr>
        <w:pStyle w:val="SingleTxtGR"/>
        <w:tabs>
          <w:tab w:val="clear" w:pos="1701"/>
        </w:tabs>
        <w:ind w:left="2268" w:hanging="1134"/>
      </w:pPr>
      <w:r w:rsidRPr="009F4559">
        <w:t>5.3.1.2</w:t>
      </w:r>
      <w:r w:rsidRPr="009F4559">
        <w:tab/>
        <w:t xml:space="preserve">источников света, которые официально утверждены на основании Правил № 99; </w:t>
      </w:r>
    </w:p>
    <w:p w:rsidR="001276E8" w:rsidRDefault="009F4559" w:rsidP="00436637">
      <w:pPr>
        <w:pStyle w:val="SingleTxtGR"/>
        <w:tabs>
          <w:tab w:val="clear" w:pos="1701"/>
        </w:tabs>
        <w:ind w:left="2268" w:hanging="1134"/>
      </w:pPr>
      <w:r w:rsidRPr="009F4559">
        <w:t>5.3.1.3</w:t>
      </w:r>
      <w:r w:rsidRPr="009F4559">
        <w:tab/>
        <w:t>модулем(ей) СИД».</w:t>
      </w:r>
    </w:p>
    <w:p w:rsidR="009F4559" w:rsidRPr="009F4559" w:rsidRDefault="009F4559" w:rsidP="003C02A3">
      <w:pPr>
        <w:pStyle w:val="HChGR"/>
      </w:pPr>
      <w:r w:rsidRPr="009F4559">
        <w:br w:type="page"/>
        <w:t>Приложение V</w:t>
      </w:r>
    </w:p>
    <w:p w:rsidR="009F4559" w:rsidRPr="009F4559" w:rsidRDefault="009F4559" w:rsidP="00672DBE">
      <w:pPr>
        <w:pStyle w:val="HChGR"/>
      </w:pPr>
      <w:r w:rsidRPr="009F4559">
        <w:tab/>
      </w:r>
      <w:r w:rsidRPr="009F4559">
        <w:tab/>
        <w:t>Принятое предложение по поправкам серии 02 к</w:t>
      </w:r>
      <w:r w:rsidR="003D51E1">
        <w:rPr>
          <w:lang w:val="en-US"/>
        </w:rPr>
        <w:t> </w:t>
      </w:r>
      <w:r w:rsidRPr="009F4559">
        <w:t>Правилам № 113 на основе документа ECE/TRANS/WP.29/2017/39 (пункт 35 доклада)</w:t>
      </w:r>
    </w:p>
    <w:p w:rsidR="009F4559" w:rsidRPr="009F4559" w:rsidRDefault="009F4559" w:rsidP="009F4559">
      <w:pPr>
        <w:pStyle w:val="SingleTxtGR"/>
        <w:rPr>
          <w:i/>
          <w:iCs/>
        </w:rPr>
      </w:pPr>
      <w:r w:rsidRPr="009F4559">
        <w:rPr>
          <w:i/>
        </w:rPr>
        <w:t>Пункт 1.3.1</w:t>
      </w:r>
      <w:r w:rsidRPr="009F4559">
        <w:t xml:space="preserve"> изменить следующим образом:</w:t>
      </w:r>
    </w:p>
    <w:p w:rsidR="009F4559" w:rsidRPr="009F4559" w:rsidRDefault="009F4559" w:rsidP="003D51E1">
      <w:pPr>
        <w:pStyle w:val="SingleTxtGR"/>
        <w:tabs>
          <w:tab w:val="clear" w:pos="1701"/>
        </w:tabs>
        <w:ind w:left="2268" w:hanging="1134"/>
        <w:rPr>
          <w:iCs/>
        </w:rPr>
      </w:pPr>
      <w:r w:rsidRPr="009F4559">
        <w:t>«1.3.1</w:t>
      </w:r>
      <w:r w:rsidRPr="009F4559">
        <w:tab/>
        <w:t>торговое наименование или товарный знак:</w:t>
      </w:r>
    </w:p>
    <w:p w:rsidR="009F4559" w:rsidRPr="009F4559" w:rsidRDefault="009F4559" w:rsidP="003D51E1">
      <w:pPr>
        <w:pStyle w:val="SingleTxtGR"/>
        <w:tabs>
          <w:tab w:val="clear" w:pos="1701"/>
        </w:tabs>
        <w:ind w:left="2835" w:hanging="1701"/>
        <w:rPr>
          <w:bCs/>
          <w:iCs/>
        </w:rPr>
      </w:pPr>
      <w:r w:rsidRPr="009F4559">
        <w:rPr>
          <w:b/>
        </w:rPr>
        <w:tab/>
      </w:r>
      <w:r w:rsidRPr="009F4559">
        <w:rPr>
          <w:bCs/>
        </w:rPr>
        <w:t>a)</w:t>
      </w:r>
      <w:r w:rsidRPr="009F4559">
        <w:rPr>
          <w:bCs/>
        </w:rPr>
        <w:tab/>
        <w:t>огни, имеющие одно и то же торговое наименование или товарный знак, но произведенные различными изготовителями, рассматриваются в качестве огней различных типов;</w:t>
      </w:r>
    </w:p>
    <w:p w:rsidR="009F4559" w:rsidRPr="009F4559" w:rsidRDefault="009F4559" w:rsidP="003D51E1">
      <w:pPr>
        <w:pStyle w:val="SingleTxtGR"/>
        <w:tabs>
          <w:tab w:val="clear" w:pos="1701"/>
        </w:tabs>
        <w:ind w:left="2835" w:hanging="1701"/>
        <w:rPr>
          <w:iCs/>
        </w:rPr>
      </w:pPr>
      <w:r w:rsidRPr="009F4559">
        <w:rPr>
          <w:bCs/>
        </w:rPr>
        <w:tab/>
        <w:t>b)</w:t>
      </w:r>
      <w:r w:rsidRPr="009F4559">
        <w:rPr>
          <w:bCs/>
        </w:rPr>
        <w:tab/>
        <w:t>огни, произведенные одним и тем же изготовителем, отличающиеся только торговым наименованием или товарным знаком, рассматриваются в качестве огней одного типа».</w:t>
      </w:r>
    </w:p>
    <w:p w:rsidR="009F4559" w:rsidRPr="009F4559" w:rsidRDefault="009F4559" w:rsidP="003D51E1">
      <w:pPr>
        <w:pStyle w:val="SingleTxtGR"/>
        <w:tabs>
          <w:tab w:val="clear" w:pos="1701"/>
        </w:tabs>
        <w:ind w:left="2268" w:hanging="1134"/>
      </w:pPr>
      <w:r w:rsidRPr="009F4559">
        <w:rPr>
          <w:i/>
          <w:iCs/>
        </w:rPr>
        <w:t>Включить новый пункт 2.4</w:t>
      </w:r>
      <w:r w:rsidRPr="009F4559">
        <w:t xml:space="preserve"> следующего содержания:</w:t>
      </w:r>
    </w:p>
    <w:p w:rsidR="009F4559" w:rsidRPr="009F4559" w:rsidRDefault="009F4559" w:rsidP="003D51E1">
      <w:pPr>
        <w:pStyle w:val="SingleTxtGR"/>
        <w:tabs>
          <w:tab w:val="clear" w:pos="1701"/>
        </w:tabs>
        <w:ind w:left="2268" w:hanging="1134"/>
      </w:pPr>
      <w:r w:rsidRPr="009F4559">
        <w:t>«2.4</w:t>
      </w:r>
      <w:r w:rsidRPr="009F4559">
        <w:tab/>
        <w:t>Если речь идет о типе огня, отличающемся от ранее официально утвержденного типа только торговым наименованием или товарным знаком, то достаточно представить:</w:t>
      </w:r>
    </w:p>
    <w:p w:rsidR="009F4559" w:rsidRPr="009F4559" w:rsidRDefault="009F4559" w:rsidP="003D51E1">
      <w:pPr>
        <w:pStyle w:val="SingleTxtGR"/>
        <w:tabs>
          <w:tab w:val="clear" w:pos="1701"/>
        </w:tabs>
        <w:ind w:left="2268" w:hanging="1134"/>
      </w:pPr>
      <w:r w:rsidRPr="009F4559">
        <w:t>2.4.1</w:t>
      </w:r>
      <w:r w:rsidRPr="009F4559">
        <w:tab/>
        <w:t>заявление изготовителя огня о том, что представленный тип идентичен (за исключением торгового наименования или товарного знака) уже официально утвержденному типу и производится тем же изготовителем, причем это удостоверяется по его коду официального утверждения;</w:t>
      </w:r>
    </w:p>
    <w:p w:rsidR="009F4559" w:rsidRPr="009F4559" w:rsidRDefault="009F4559" w:rsidP="003D51E1">
      <w:pPr>
        <w:pStyle w:val="SingleTxtGR"/>
        <w:tabs>
          <w:tab w:val="clear" w:pos="1701"/>
        </w:tabs>
        <w:ind w:left="2268" w:hanging="1134"/>
      </w:pPr>
      <w:r w:rsidRPr="009F4559">
        <w:t>2.4.2</w:t>
      </w:r>
      <w:r w:rsidRPr="009F4559">
        <w:tab/>
        <w:t>два образца с новым торговым наименованием или товарным знаком либо соответствующие документы».</w:t>
      </w:r>
    </w:p>
    <w:p w:rsidR="009F4559" w:rsidRPr="009F4559" w:rsidRDefault="009F4559" w:rsidP="003D51E1">
      <w:pPr>
        <w:pStyle w:val="SingleTxtGR"/>
        <w:tabs>
          <w:tab w:val="clear" w:pos="1701"/>
        </w:tabs>
        <w:ind w:left="2268" w:hanging="1134"/>
        <w:rPr>
          <w:i/>
          <w:iCs/>
        </w:rPr>
      </w:pPr>
      <w:r w:rsidRPr="009F4559">
        <w:rPr>
          <w:i/>
          <w:iCs/>
        </w:rPr>
        <w:t xml:space="preserve">Пункт 5 </w:t>
      </w:r>
      <w:r w:rsidRPr="009F4559">
        <w:t>изменить следующим образом:</w:t>
      </w:r>
    </w:p>
    <w:p w:rsidR="009F4559" w:rsidRPr="009F4559" w:rsidRDefault="008317B6" w:rsidP="00FE1EBB">
      <w:pPr>
        <w:pStyle w:val="HChGR"/>
      </w:pPr>
      <w:r>
        <w:rPr>
          <w:b w:val="0"/>
          <w:sz w:val="20"/>
        </w:rPr>
        <w:tab/>
      </w:r>
      <w:r w:rsidR="009F4559" w:rsidRPr="00FE1EBB">
        <w:rPr>
          <w:b w:val="0"/>
          <w:sz w:val="20"/>
        </w:rPr>
        <w:t>«</w:t>
      </w:r>
      <w:r w:rsidR="009F4559" w:rsidRPr="009F4559">
        <w:t>5.</w:t>
      </w:r>
      <w:r w:rsidR="009F4559" w:rsidRPr="009F4559">
        <w:tab/>
        <w:t>Общие технические требования</w:t>
      </w:r>
    </w:p>
    <w:p w:rsidR="009F4559" w:rsidRPr="009F4559" w:rsidRDefault="008317B6" w:rsidP="008317B6">
      <w:pPr>
        <w:pStyle w:val="SingleTxtGR"/>
        <w:tabs>
          <w:tab w:val="clear" w:pos="1701"/>
        </w:tabs>
        <w:ind w:left="2268" w:hanging="1134"/>
      </w:pPr>
      <w:r>
        <w:tab/>
      </w:r>
      <w:r w:rsidR="009F4559" w:rsidRPr="009F4559">
        <w:t xml:space="preserve">К настоящим Правилам применяют требования, предусмотренные в разделе 5 </w:t>
      </w:r>
      <w:r w:rsidR="002E30AD">
        <w:t>"</w:t>
      </w:r>
      <w:r w:rsidR="009F4559" w:rsidRPr="009F4559">
        <w:t>Общие технические требования</w:t>
      </w:r>
      <w:r w:rsidR="002E30AD">
        <w:t>"</w:t>
      </w:r>
      <w:r w:rsidR="009F4559" w:rsidRPr="009F4559">
        <w:t xml:space="preserve">, разделе 6 </w:t>
      </w:r>
      <w:r w:rsidR="002E30AD">
        <w:t>"</w:t>
      </w:r>
      <w:r w:rsidR="009F4559" w:rsidRPr="009F4559">
        <w:t>Отдельные технические требования</w:t>
      </w:r>
      <w:r w:rsidR="00BF03AB">
        <w:t>"</w:t>
      </w:r>
      <w:r w:rsidR="009F4559" w:rsidRPr="009F4559">
        <w:t xml:space="preserve"> и приложениях, на которые сделаны ссылки в вышеназванных разделах правил № 53, 74 или 86 и серий поправок к ним, действующих на момент подачи заявки на официальное утверждение типа огня.</w:t>
      </w:r>
    </w:p>
    <w:p w:rsidR="009F4559" w:rsidRPr="009F4559" w:rsidRDefault="008317B6" w:rsidP="008317B6">
      <w:pPr>
        <w:pStyle w:val="SingleTxtGR"/>
        <w:tabs>
          <w:tab w:val="clear" w:pos="1701"/>
        </w:tabs>
        <w:ind w:left="2268" w:hanging="1134"/>
      </w:pPr>
      <w:r>
        <w:tab/>
      </w:r>
      <w:r w:rsidR="009F4559" w:rsidRPr="009F4559">
        <w:t>Если возможно проведение проверки огня в момент официального утверждения его типа, то применяют требования, касающиеся каждого огня и категории/ий транспортных средств, для использования на которых предназначен данный огонь.</w:t>
      </w:r>
    </w:p>
    <w:p w:rsidR="009F4559" w:rsidRPr="009F4559" w:rsidRDefault="009F4559" w:rsidP="00FE1EBB">
      <w:pPr>
        <w:pStyle w:val="SingleTxtGR"/>
        <w:tabs>
          <w:tab w:val="clear" w:pos="1701"/>
          <w:tab w:val="left" w:pos="6663"/>
        </w:tabs>
      </w:pPr>
      <w:r w:rsidRPr="009F4559">
        <w:t>5.1</w:t>
      </w:r>
      <w:r w:rsidRPr="009F4559">
        <w:tab/>
        <w:t>…».</w:t>
      </w:r>
    </w:p>
    <w:p w:rsidR="009F4559" w:rsidRPr="009F4559" w:rsidRDefault="009F4559" w:rsidP="00FE1EBB">
      <w:pPr>
        <w:pStyle w:val="SingleTxtGR"/>
        <w:tabs>
          <w:tab w:val="clear" w:pos="1701"/>
          <w:tab w:val="left" w:pos="6663"/>
        </w:tabs>
      </w:pPr>
      <w:r w:rsidRPr="009F4559">
        <w:rPr>
          <w:i/>
        </w:rPr>
        <w:t xml:space="preserve">Пункт 9.1 </w:t>
      </w:r>
      <w:r w:rsidRPr="009F4559">
        <w:t>изменить следующим образом:</w:t>
      </w:r>
    </w:p>
    <w:p w:rsidR="009F4559" w:rsidRPr="009F4559" w:rsidRDefault="009F4559" w:rsidP="00FE1EBB">
      <w:pPr>
        <w:pStyle w:val="SingleTxtGR"/>
        <w:tabs>
          <w:tab w:val="clear" w:pos="1701"/>
          <w:tab w:val="left" w:pos="6663"/>
        </w:tabs>
        <w:ind w:left="2268" w:hanging="1134"/>
      </w:pPr>
      <w:r w:rsidRPr="009F4559">
        <w:t>«9.1</w:t>
      </w:r>
      <w:r w:rsidRPr="009F4559">
        <w:tab/>
        <w:t>Фары изготавливают таким образом, чтобы они соответствовали типу, официально утвержденному на основании настоящих Правил.</w:t>
      </w:r>
    </w:p>
    <w:p w:rsidR="009F4559" w:rsidRPr="009F4559" w:rsidRDefault="00FE1EBB" w:rsidP="00FE1EBB">
      <w:pPr>
        <w:pStyle w:val="SingleTxtGR"/>
        <w:tabs>
          <w:tab w:val="clear" w:pos="1701"/>
          <w:tab w:val="left" w:pos="6663"/>
        </w:tabs>
        <w:ind w:left="2268" w:hanging="1134"/>
      </w:pPr>
      <w:r>
        <w:tab/>
      </w:r>
      <w:r w:rsidR="009F4559" w:rsidRPr="009F4559">
        <w:t>Проверку соответствия требованиям, изложенным в пунктах 6 и 7 выше, проводят следующим образом:».</w:t>
      </w:r>
    </w:p>
    <w:p w:rsidR="009F4559" w:rsidRPr="009F4559" w:rsidRDefault="009F4559" w:rsidP="00FE1EBB">
      <w:pPr>
        <w:pStyle w:val="SingleTxtGR"/>
        <w:tabs>
          <w:tab w:val="clear" w:pos="1701"/>
          <w:tab w:val="left" w:pos="6663"/>
        </w:tabs>
      </w:pPr>
      <w:r w:rsidRPr="009F4559">
        <w:rPr>
          <w:i/>
        </w:rPr>
        <w:t>Пункт 9.2 (прежний)</w:t>
      </w:r>
      <w:r w:rsidRPr="009F4559">
        <w:t>, изменить нумерацию на 9.1.1.</w:t>
      </w:r>
    </w:p>
    <w:p w:rsidR="009F4559" w:rsidRPr="009F4559" w:rsidRDefault="009F4559" w:rsidP="00FE1EBB">
      <w:pPr>
        <w:pStyle w:val="SingleTxtGR"/>
        <w:tabs>
          <w:tab w:val="clear" w:pos="1701"/>
          <w:tab w:val="left" w:pos="6663"/>
        </w:tabs>
      </w:pPr>
      <w:r w:rsidRPr="009F4559">
        <w:rPr>
          <w:i/>
        </w:rPr>
        <w:t>Пункт 9.3 (прежний)</w:t>
      </w:r>
      <w:r w:rsidRPr="009F4559">
        <w:t>, изменить нумерацию на 9.1.2.</w:t>
      </w:r>
    </w:p>
    <w:p w:rsidR="009F4559" w:rsidRPr="009F4559" w:rsidRDefault="009F4559" w:rsidP="009F4559">
      <w:pPr>
        <w:pStyle w:val="SingleTxtGR"/>
      </w:pPr>
      <w:r w:rsidRPr="009F4559">
        <w:rPr>
          <w:i/>
        </w:rPr>
        <w:t>Пункт 9.4 (прежний)</w:t>
      </w:r>
      <w:r w:rsidRPr="009F4559">
        <w:t>, изменить нумерацию на 9.2.</w:t>
      </w:r>
    </w:p>
    <w:p w:rsidR="009F4559" w:rsidRPr="009F4559" w:rsidRDefault="009F4559" w:rsidP="009F4559">
      <w:pPr>
        <w:pStyle w:val="SingleTxtGR"/>
      </w:pPr>
      <w:r w:rsidRPr="009F4559">
        <w:rPr>
          <w:i/>
        </w:rPr>
        <w:t>Пункт 9.5 (прежний)</w:t>
      </w:r>
      <w:r w:rsidRPr="009F4559">
        <w:t>, изменить нумерацию на 9.3.</w:t>
      </w:r>
    </w:p>
    <w:p w:rsidR="009F4559" w:rsidRPr="009F4559" w:rsidRDefault="009F4559" w:rsidP="009F4559">
      <w:pPr>
        <w:pStyle w:val="SingleTxtGR"/>
      </w:pPr>
      <w:r w:rsidRPr="009F4559">
        <w:rPr>
          <w:i/>
        </w:rPr>
        <w:t>Пункт 9.6 (прежний)</w:t>
      </w:r>
      <w:r w:rsidRPr="009F4559">
        <w:t>, изменить нумерацию на 9.4.</w:t>
      </w:r>
    </w:p>
    <w:p w:rsidR="009F4559" w:rsidRPr="009F4559" w:rsidRDefault="009F4559" w:rsidP="009F4559">
      <w:pPr>
        <w:pStyle w:val="SingleTxtGR"/>
      </w:pPr>
      <w:r w:rsidRPr="009F4559">
        <w:rPr>
          <w:i/>
        </w:rPr>
        <w:t>Пункт 13.5 (прежний)</w:t>
      </w:r>
      <w:r w:rsidRPr="009F4559">
        <w:t>, изменить нумерацию на 13.7.</w:t>
      </w:r>
    </w:p>
    <w:p w:rsidR="009F4559" w:rsidRPr="009F4559" w:rsidRDefault="009F4559" w:rsidP="009F4559">
      <w:pPr>
        <w:pStyle w:val="SingleTxtGR"/>
        <w:rPr>
          <w:bCs/>
        </w:rPr>
      </w:pPr>
      <w:r w:rsidRPr="009F4559">
        <w:rPr>
          <w:i/>
          <w:iCs/>
        </w:rPr>
        <w:t>Включить новые пункты 13.5 и 13.6</w:t>
      </w:r>
      <w:r w:rsidRPr="009F4559">
        <w:t xml:space="preserve"> следующего содержания:</w:t>
      </w:r>
    </w:p>
    <w:p w:rsidR="009F4559" w:rsidRPr="009F4559" w:rsidRDefault="009F4559" w:rsidP="00FE1EBB">
      <w:pPr>
        <w:pStyle w:val="SingleTxtGR"/>
        <w:tabs>
          <w:tab w:val="clear" w:pos="1701"/>
        </w:tabs>
        <w:ind w:left="2268" w:hanging="1134"/>
        <w:rPr>
          <w:bCs/>
        </w:rPr>
      </w:pPr>
      <w:r w:rsidRPr="009F4559">
        <w:t>«13.5</w:t>
      </w:r>
      <w:r w:rsidRPr="009F4559">
        <w:tab/>
        <w:t>Начиная с официальной даты вступления в силу поправок серии 02 ни одна из Договаривающихся сторон, применяющих настоящие Правила, не отказывает в предоставлении официального утверждения на основании настоящих Правил с внесенными поправками серии 02.</w:t>
      </w:r>
    </w:p>
    <w:p w:rsidR="009F4559" w:rsidRPr="009F4559" w:rsidRDefault="009F4559" w:rsidP="00FE1EBB">
      <w:pPr>
        <w:pStyle w:val="SingleTxtGR"/>
        <w:tabs>
          <w:tab w:val="clear" w:pos="1701"/>
        </w:tabs>
        <w:ind w:left="2268" w:hanging="1134"/>
      </w:pPr>
      <w:r w:rsidRPr="009F4559">
        <w:t>13.6</w:t>
      </w:r>
      <w:r w:rsidRPr="009F4559">
        <w:tab/>
        <w:t>С 1 сентября 2019 года Договаривающиеся стороны, применяющие настоящие Правила, предоставляют официальные утверждения только в том случае, если фара отвечает требованиям настоящих Правил с внесенными поправками серии 02».</w:t>
      </w:r>
    </w:p>
    <w:p w:rsidR="009F4559" w:rsidRPr="009F4559" w:rsidRDefault="009F4559" w:rsidP="00FE1EBB">
      <w:pPr>
        <w:pStyle w:val="SingleTxtGR"/>
        <w:tabs>
          <w:tab w:val="clear" w:pos="1701"/>
        </w:tabs>
        <w:ind w:left="2268" w:hanging="1134"/>
        <w:rPr>
          <w:i/>
          <w:iCs/>
        </w:rPr>
      </w:pPr>
      <w:r w:rsidRPr="009F4559">
        <w:rPr>
          <w:i/>
          <w:iCs/>
        </w:rPr>
        <w:t>Приложение 4</w:t>
      </w:r>
    </w:p>
    <w:p w:rsidR="009F4559" w:rsidRPr="009F4559" w:rsidRDefault="009F4559" w:rsidP="00FE1EBB">
      <w:pPr>
        <w:pStyle w:val="SingleTxtGR"/>
        <w:tabs>
          <w:tab w:val="clear" w:pos="1701"/>
        </w:tabs>
        <w:ind w:left="2268" w:hanging="1134"/>
      </w:pPr>
      <w:r w:rsidRPr="009F4559">
        <w:rPr>
          <w:i/>
          <w:iCs/>
        </w:rPr>
        <w:t xml:space="preserve">Пункт 1.2.1.1.2 </w:t>
      </w:r>
      <w:r w:rsidRPr="009F4559">
        <w:t>изменить следующим образом:</w:t>
      </w:r>
    </w:p>
    <w:p w:rsidR="009F4559" w:rsidRPr="009F4559" w:rsidRDefault="009F4559" w:rsidP="00FE1EBB">
      <w:pPr>
        <w:pStyle w:val="SingleTxtGR"/>
        <w:tabs>
          <w:tab w:val="clear" w:pos="1701"/>
        </w:tabs>
        <w:ind w:left="2268" w:hanging="1134"/>
      </w:pPr>
      <w:r w:rsidRPr="009F4559">
        <w:t>«1.2.1.1.2</w:t>
      </w:r>
      <w:r w:rsidRPr="009F4559">
        <w:tab/>
        <w:t>Для фары с внешним рассеивателем из пластического материала:</w:t>
      </w:r>
    </w:p>
    <w:p w:rsidR="009F4559" w:rsidRPr="009F4559" w:rsidRDefault="00BF5056" w:rsidP="00FE1EBB">
      <w:pPr>
        <w:pStyle w:val="SingleTxtGR"/>
        <w:tabs>
          <w:tab w:val="clear" w:pos="1701"/>
        </w:tabs>
        <w:ind w:left="2268" w:hanging="1134"/>
      </w:pPr>
      <w:r>
        <w:tab/>
      </w:r>
      <w:r w:rsidR="009F4559" w:rsidRPr="009F4559">
        <w:t>смесь воды и загрязняющего вещества, наносимая на фару, состоит из:</w:t>
      </w:r>
    </w:p>
    <w:p w:rsidR="009F4559" w:rsidRPr="009F4559" w:rsidRDefault="009F4559" w:rsidP="00BF5056">
      <w:pPr>
        <w:pStyle w:val="SingleTxtGR"/>
        <w:tabs>
          <w:tab w:val="clear" w:pos="1701"/>
        </w:tabs>
        <w:ind w:left="2835" w:hanging="567"/>
      </w:pPr>
      <w:r w:rsidRPr="009F4559">
        <w:t>а)</w:t>
      </w:r>
      <w:r w:rsidRPr="009F4559">
        <w:tab/>
        <w:t xml:space="preserve">9 частей по весу силикатного песка, размер частиц которого составляет 0−100 мкм, </w:t>
      </w:r>
    </w:p>
    <w:p w:rsidR="009F4559" w:rsidRPr="009F4559" w:rsidRDefault="009F4559" w:rsidP="00BF5056">
      <w:pPr>
        <w:pStyle w:val="SingleTxtGR"/>
        <w:tabs>
          <w:tab w:val="clear" w:pos="1701"/>
        </w:tabs>
        <w:ind w:left="2835" w:hanging="567"/>
      </w:pPr>
      <w:r w:rsidRPr="009F4559">
        <w:t>b)</w:t>
      </w:r>
      <w:r w:rsidRPr="009F4559">
        <w:tab/>
        <w:t>1 части по весу угольной пыли органического происхождения, полученной из буковой древесины, размер частиц которой составляет 0−100 мкм,</w:t>
      </w:r>
    </w:p>
    <w:p w:rsidR="009F4559" w:rsidRPr="009F4559" w:rsidRDefault="009F4559" w:rsidP="00BF5056">
      <w:pPr>
        <w:pStyle w:val="SingleTxtGR"/>
        <w:tabs>
          <w:tab w:val="clear" w:pos="1701"/>
        </w:tabs>
        <w:ind w:left="2835" w:hanging="567"/>
      </w:pPr>
      <w:r w:rsidRPr="009F4559">
        <w:t>с)</w:t>
      </w:r>
      <w:r w:rsidRPr="009F4559">
        <w:tab/>
        <w:t>0,2 части по весу NaCMC</w:t>
      </w:r>
      <w:r w:rsidRPr="009F4559">
        <w:rPr>
          <w:vertAlign w:val="superscript"/>
        </w:rPr>
        <w:t>3</w:t>
      </w:r>
      <w:r w:rsidRPr="009F4559">
        <w:t>,</w:t>
      </w:r>
    </w:p>
    <w:p w:rsidR="009F4559" w:rsidRPr="009F4559" w:rsidRDefault="009F4559" w:rsidP="00BF5056">
      <w:pPr>
        <w:pStyle w:val="SingleTxtGR"/>
        <w:tabs>
          <w:tab w:val="clear" w:pos="1701"/>
        </w:tabs>
        <w:ind w:left="2835" w:hanging="567"/>
      </w:pPr>
      <w:r w:rsidRPr="009F4559">
        <w:t>d)</w:t>
      </w:r>
      <w:r w:rsidRPr="009F4559">
        <w:tab/>
        <w:t>5 частей по весу хлорида натрия (чистотой 99%),</w:t>
      </w:r>
    </w:p>
    <w:p w:rsidR="009F4559" w:rsidRPr="009F4559" w:rsidRDefault="009F4559" w:rsidP="00BF5056">
      <w:pPr>
        <w:pStyle w:val="SingleTxtGR"/>
        <w:tabs>
          <w:tab w:val="clear" w:pos="1701"/>
        </w:tabs>
        <w:ind w:left="2835" w:hanging="567"/>
      </w:pPr>
      <w:r w:rsidRPr="009F4559">
        <w:t>е)</w:t>
      </w:r>
      <w:r w:rsidRPr="009F4559">
        <w:tab/>
        <w:t xml:space="preserve">13 частей по весу дистиллированной воды, проводимость которой </w:t>
      </w:r>
      <w:r w:rsidRPr="009F4559">
        <w:rPr>
          <w:u w:val="single"/>
        </w:rPr>
        <w:t>&lt;</w:t>
      </w:r>
      <w:r w:rsidRPr="009F4559">
        <w:t xml:space="preserve"> 1 мСм/м, </w:t>
      </w:r>
    </w:p>
    <w:p w:rsidR="009F4559" w:rsidRPr="009F4559" w:rsidRDefault="009F4559" w:rsidP="00BF5056">
      <w:pPr>
        <w:pStyle w:val="SingleTxtGR"/>
        <w:tabs>
          <w:tab w:val="clear" w:pos="1701"/>
        </w:tabs>
        <w:ind w:left="2835" w:hanging="567"/>
      </w:pPr>
      <w:r w:rsidRPr="009F4559">
        <w:t>f)</w:t>
      </w:r>
      <w:r w:rsidRPr="009F4559">
        <w:tab/>
        <w:t>2 ± 1 капли поверхностно-активного вещества</w:t>
      </w:r>
      <w:r w:rsidRPr="00BF03AB">
        <w:rPr>
          <w:sz w:val="18"/>
          <w:szCs w:val="18"/>
          <w:vertAlign w:val="superscript"/>
        </w:rPr>
        <w:t>4</w:t>
      </w:r>
      <w:r w:rsidRPr="009F4559">
        <w:t>.</w:t>
      </w:r>
    </w:p>
    <w:p w:rsidR="009F4559" w:rsidRPr="009F4559" w:rsidRDefault="00BF5056" w:rsidP="00FE1EBB">
      <w:pPr>
        <w:pStyle w:val="SingleTxtGR"/>
        <w:tabs>
          <w:tab w:val="clear" w:pos="1701"/>
        </w:tabs>
        <w:ind w:left="2268" w:hanging="1134"/>
      </w:pPr>
      <w:r>
        <w:tab/>
      </w:r>
      <w:r w:rsidR="009F4559" w:rsidRPr="009F4559">
        <w:t>Эта смесь должна быть подготовлена не ранее чем за 14 дней до испытания».</w:t>
      </w:r>
    </w:p>
    <w:p w:rsidR="009F4559" w:rsidRPr="009F4559" w:rsidRDefault="009F4559" w:rsidP="00FE1EBB">
      <w:pPr>
        <w:pStyle w:val="SingleTxtGR"/>
        <w:tabs>
          <w:tab w:val="clear" w:pos="1701"/>
        </w:tabs>
        <w:ind w:left="2268" w:hanging="1134"/>
      </w:pPr>
      <w:r w:rsidRPr="009F4559">
        <w:rPr>
          <w:i/>
          <w:iCs/>
        </w:rPr>
        <w:t>Пункт 2.2</w:t>
      </w:r>
      <w:r w:rsidRPr="009F4559">
        <w:t xml:space="preserve"> изменить следующим образом:</w:t>
      </w:r>
    </w:p>
    <w:p w:rsidR="009F4559" w:rsidRPr="009F4559" w:rsidRDefault="009F4559" w:rsidP="00FE1EBB">
      <w:pPr>
        <w:pStyle w:val="SingleTxtGR"/>
        <w:tabs>
          <w:tab w:val="clear" w:pos="1701"/>
        </w:tabs>
        <w:ind w:left="2268" w:hanging="1134"/>
      </w:pPr>
      <w:r w:rsidRPr="009F4559">
        <w:t>«2.2</w:t>
      </w:r>
      <w:r w:rsidRPr="009F4559">
        <w:tab/>
        <w:t>Результаты испытаний</w:t>
      </w:r>
    </w:p>
    <w:p w:rsidR="009F4559" w:rsidRPr="009F4559" w:rsidRDefault="009F4559" w:rsidP="00FE1EBB">
      <w:pPr>
        <w:pStyle w:val="SingleTxtGR"/>
        <w:tabs>
          <w:tab w:val="clear" w:pos="1701"/>
        </w:tabs>
        <w:ind w:left="2268" w:hanging="1134"/>
      </w:pPr>
      <w:r w:rsidRPr="009F4559">
        <w:t>2.2.1</w:t>
      </w:r>
      <w:r w:rsidRPr="009F4559">
        <w:tab/>
        <w:t>Результат в миллирадианах (мрад) считают приемлемым для фары, создающей луч ближнего света, только в том случае, если абсолютное значение ∆r</w:t>
      </w:r>
      <w:r w:rsidRPr="009F4559">
        <w:rPr>
          <w:vertAlign w:val="subscript"/>
        </w:rPr>
        <w:t>I</w:t>
      </w:r>
      <w:r w:rsidRPr="009F4559">
        <w:t> = | r</w:t>
      </w:r>
      <w:r w:rsidRPr="009F4559">
        <w:rPr>
          <w:vertAlign w:val="subscript"/>
        </w:rPr>
        <w:t>3</w:t>
      </w:r>
      <w:r w:rsidRPr="009F4559">
        <w:t> − r</w:t>
      </w:r>
      <w:r w:rsidRPr="009F4559">
        <w:rPr>
          <w:vertAlign w:val="subscript"/>
        </w:rPr>
        <w:t>60</w:t>
      </w:r>
      <w:r w:rsidRPr="009F4559">
        <w:t> |, зарегистрированное на этой фаре, не превышает 1,0 мрад (Δ r</w:t>
      </w:r>
      <w:r w:rsidRPr="009F4559">
        <w:rPr>
          <w:vertAlign w:val="subscript"/>
        </w:rPr>
        <w:t>1</w:t>
      </w:r>
      <w:r w:rsidRPr="009F4559">
        <w:t> ≤ 1,0 мрад) в направлении вверх и 2,0 мрад (Δ r</w:t>
      </w:r>
      <w:r w:rsidRPr="009F4559">
        <w:rPr>
          <w:vertAlign w:val="subscript"/>
        </w:rPr>
        <w:t>1</w:t>
      </w:r>
      <w:r w:rsidRPr="009F4559">
        <w:t xml:space="preserve"> ≤ 2,0 мрад) в направлении вниз.</w:t>
      </w:r>
    </w:p>
    <w:p w:rsidR="009F4559" w:rsidRPr="009F4559" w:rsidRDefault="009F4559" w:rsidP="00FE1EBB">
      <w:pPr>
        <w:pStyle w:val="SingleTxtGR"/>
        <w:tabs>
          <w:tab w:val="clear" w:pos="1701"/>
        </w:tabs>
        <w:ind w:left="2268" w:hanging="1134"/>
      </w:pPr>
      <w:r w:rsidRPr="009F4559">
        <w:t>2.2.2</w:t>
      </w:r>
      <w:r w:rsidRPr="009F4559">
        <w:tab/>
        <w:t>Однако если это значение составляет:</w:t>
      </w:r>
    </w:p>
    <w:tbl>
      <w:tblPr>
        <w:tblStyle w:val="TabTxt"/>
        <w:tblW w:w="7370" w:type="dxa"/>
        <w:tblInd w:w="1134" w:type="dxa"/>
        <w:tblLayout w:type="fixed"/>
        <w:tblLook w:val="05E0" w:firstRow="1" w:lastRow="1" w:firstColumn="1" w:lastColumn="1" w:noHBand="0" w:noVBand="1"/>
      </w:tblPr>
      <w:tblGrid>
        <w:gridCol w:w="2505"/>
        <w:gridCol w:w="4865"/>
      </w:tblGrid>
      <w:tr w:rsidR="009F4559" w:rsidRPr="00C73D92" w:rsidTr="00C73D92">
        <w:trPr>
          <w:tblHeader/>
        </w:trPr>
        <w:tc>
          <w:tcPr>
            <w:tcW w:w="250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9F4559" w:rsidRPr="00C73D92" w:rsidRDefault="009F4559" w:rsidP="00C73D92">
            <w:pPr>
              <w:spacing w:before="80" w:after="80" w:line="200" w:lineRule="exact"/>
              <w:rPr>
                <w:i/>
                <w:sz w:val="16"/>
              </w:rPr>
            </w:pPr>
            <w:r w:rsidRPr="00C73D92">
              <w:rPr>
                <w:i/>
                <w:sz w:val="16"/>
              </w:rPr>
              <w:t>При перемещении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865" w:type="dxa"/>
            <w:tcBorders>
              <w:bottom w:val="single" w:sz="12" w:space="0" w:color="auto"/>
            </w:tcBorders>
            <w:shd w:val="clear" w:color="auto" w:fill="auto"/>
          </w:tcPr>
          <w:p w:rsidR="009F4559" w:rsidRPr="00C73D92" w:rsidRDefault="009F4559" w:rsidP="00C73D92">
            <w:pPr>
              <w:spacing w:before="80" w:after="80" w:line="200" w:lineRule="exact"/>
              <w:rPr>
                <w:i/>
                <w:sz w:val="16"/>
              </w:rPr>
            </w:pPr>
          </w:p>
        </w:tc>
      </w:tr>
      <w:tr w:rsidR="009F4559" w:rsidRPr="00C73D92" w:rsidTr="00C73D92">
        <w:tc>
          <w:tcPr>
            <w:tcW w:w="2505" w:type="dxa"/>
            <w:tcBorders>
              <w:top w:val="single" w:sz="12" w:space="0" w:color="auto"/>
            </w:tcBorders>
          </w:tcPr>
          <w:p w:rsidR="009F4559" w:rsidRPr="00C73D92" w:rsidRDefault="009F4559" w:rsidP="00C73D92">
            <w:r w:rsidRPr="00C73D92">
              <w:t>Вверх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865" w:type="dxa"/>
            <w:tcBorders>
              <w:top w:val="single" w:sz="12" w:space="0" w:color="auto"/>
            </w:tcBorders>
          </w:tcPr>
          <w:p w:rsidR="009F4559" w:rsidRPr="00C73D92" w:rsidRDefault="009F4559" w:rsidP="00C73D92">
            <w:r w:rsidRPr="00C73D92">
              <w:t xml:space="preserve">более 1,0 мрад, но не более 1,5 мрад </w:t>
            </w:r>
            <w:r w:rsidRPr="00C73D92">
              <w:br/>
              <w:t>(1,0 мрад &lt; ΔrI ≤ 1,5 мрад)</w:t>
            </w:r>
          </w:p>
        </w:tc>
      </w:tr>
      <w:tr w:rsidR="009F4559" w:rsidRPr="00C73D92" w:rsidTr="00C73D92">
        <w:tc>
          <w:tcPr>
            <w:tcW w:w="2505" w:type="dxa"/>
          </w:tcPr>
          <w:p w:rsidR="009F4559" w:rsidRPr="00C73D92" w:rsidRDefault="009F4559" w:rsidP="00C73D92">
            <w:r w:rsidRPr="00C73D92">
              <w:t>Вниз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865" w:type="dxa"/>
          </w:tcPr>
          <w:p w:rsidR="009F4559" w:rsidRPr="00C73D92" w:rsidRDefault="009F4559" w:rsidP="00C73D92">
            <w:r w:rsidRPr="00C73D92">
              <w:t>более 2,0 мрад, но не более 3,0 мрад</w:t>
            </w:r>
            <w:r w:rsidRPr="00C73D92">
              <w:br/>
              <w:t>(2,0 мрад &lt; ΔrI ≤ 3,0 мрад)</w:t>
            </w:r>
          </w:p>
        </w:tc>
      </w:tr>
    </w:tbl>
    <w:p w:rsidR="009F4559" w:rsidRPr="009F4559" w:rsidRDefault="00BF5056" w:rsidP="00BF5056">
      <w:pPr>
        <w:pStyle w:val="SingleTxtGR"/>
        <w:tabs>
          <w:tab w:val="clear" w:pos="1701"/>
        </w:tabs>
        <w:spacing w:before="120"/>
        <w:ind w:left="2268" w:hanging="1134"/>
      </w:pPr>
      <w:r>
        <w:tab/>
      </w:r>
      <w:r w:rsidR="009F4559" w:rsidRPr="009F4559">
        <w:t>то проводят испытание дополнительного образца фары, установленной на опоре таким образом, как ее следует устанавливать на транспортном средстве, в соответствии с пунктом 2.1 выше после трехразового последовательного прохождения цикла, указанного ниже, для стабилизации правильного положения механических частей фары:</w:t>
      </w:r>
    </w:p>
    <w:p w:rsidR="009F4559" w:rsidRPr="009F4559" w:rsidRDefault="009F4559" w:rsidP="00BF5056">
      <w:pPr>
        <w:pStyle w:val="SingleTxtGR"/>
        <w:tabs>
          <w:tab w:val="clear" w:pos="1701"/>
        </w:tabs>
        <w:ind w:left="2835" w:hanging="567"/>
      </w:pPr>
      <w:r w:rsidRPr="009F4559">
        <w:t>а)</w:t>
      </w:r>
      <w:r w:rsidRPr="009F4559">
        <w:tab/>
        <w:t xml:space="preserve">включение фары ближнего света на </w:t>
      </w:r>
      <w:r w:rsidR="0033168B">
        <w:t>один</w:t>
      </w:r>
      <w:r w:rsidRPr="009F4559">
        <w:t xml:space="preserve"> час (напряжение устанавливают в соответствии с пунктом 1.1.1.2);</w:t>
      </w:r>
    </w:p>
    <w:p w:rsidR="009F4559" w:rsidRPr="009F4559" w:rsidRDefault="009F4559" w:rsidP="00BF5056">
      <w:pPr>
        <w:pStyle w:val="SingleTxtGR"/>
        <w:tabs>
          <w:tab w:val="clear" w:pos="1701"/>
        </w:tabs>
        <w:ind w:left="2835" w:hanging="567"/>
      </w:pPr>
      <w:r w:rsidRPr="009F4559">
        <w:t>b)</w:t>
      </w:r>
      <w:r w:rsidRPr="009F4559">
        <w:tab/>
        <w:t xml:space="preserve">выключение фары на </w:t>
      </w:r>
      <w:r w:rsidR="0033168B">
        <w:t>один</w:t>
      </w:r>
      <w:r w:rsidRPr="009F4559">
        <w:t xml:space="preserve"> час.</w:t>
      </w:r>
    </w:p>
    <w:p w:rsidR="009F4559" w:rsidRPr="009F4559" w:rsidRDefault="00BF5056" w:rsidP="00BF5056">
      <w:pPr>
        <w:pStyle w:val="SingleTxtGR"/>
        <w:tabs>
          <w:tab w:val="clear" w:pos="1701"/>
        </w:tabs>
        <w:ind w:left="2268" w:hanging="1134"/>
      </w:pPr>
      <w:r>
        <w:tab/>
      </w:r>
      <w:r w:rsidR="009F4559" w:rsidRPr="009F4559">
        <w:t>После этих трех циклов фара данного типа считается приемлемой, если абсолютные значения Δr, измеренные в соответствии с пунктом 2.1 выше на этом дополнительном образце, отвечают требованиям пункта 2.2.1 выше».</w:t>
      </w:r>
    </w:p>
    <w:p w:rsidR="009F4559" w:rsidRPr="009F4559" w:rsidRDefault="009F4559" w:rsidP="00BF5056">
      <w:pPr>
        <w:pStyle w:val="SingleTxtGR"/>
        <w:tabs>
          <w:tab w:val="clear" w:pos="1701"/>
        </w:tabs>
        <w:ind w:left="2268" w:hanging="1134"/>
        <w:rPr>
          <w:i/>
          <w:iCs/>
        </w:rPr>
      </w:pPr>
      <w:r w:rsidRPr="009F4559">
        <w:rPr>
          <w:i/>
          <w:iCs/>
        </w:rPr>
        <w:t>Приложение 5</w:t>
      </w:r>
    </w:p>
    <w:p w:rsidR="009F4559" w:rsidRPr="009F4559" w:rsidRDefault="009F4559" w:rsidP="00BF5056">
      <w:pPr>
        <w:pStyle w:val="SingleTxtGR"/>
        <w:tabs>
          <w:tab w:val="clear" w:pos="1701"/>
        </w:tabs>
        <w:ind w:left="2268" w:hanging="1134"/>
      </w:pPr>
      <w:r w:rsidRPr="009F4559">
        <w:rPr>
          <w:i/>
          <w:iCs/>
        </w:rPr>
        <w:t>Пункт 1.4</w:t>
      </w:r>
      <w:r w:rsidRPr="009F4559">
        <w:t xml:space="preserve"> изменить следующим образом:</w:t>
      </w:r>
    </w:p>
    <w:p w:rsidR="009F4559" w:rsidRPr="009F4559" w:rsidRDefault="009F4559" w:rsidP="00BF5056">
      <w:pPr>
        <w:pStyle w:val="SingleTxtGR"/>
        <w:tabs>
          <w:tab w:val="clear" w:pos="1701"/>
        </w:tabs>
        <w:ind w:left="2268" w:hanging="1134"/>
      </w:pPr>
      <w:r w:rsidRPr="009F4559">
        <w:t>«1.4</w:t>
      </w:r>
      <w:r w:rsidRPr="009F4559">
        <w:tab/>
        <w:t>Для проверки вертикального отклонения светотеневой границы под воздействием тепла применяют следующую процедуру (только для фар классов В, С, D и E):</w:t>
      </w:r>
    </w:p>
    <w:p w:rsidR="009F4559" w:rsidRPr="009F4559" w:rsidRDefault="005A1D43" w:rsidP="00BF5056">
      <w:pPr>
        <w:pStyle w:val="SingleTxtGR"/>
        <w:tabs>
          <w:tab w:val="clear" w:pos="1701"/>
        </w:tabs>
        <w:ind w:left="2268" w:hanging="1134"/>
      </w:pPr>
      <w:r>
        <w:tab/>
      </w:r>
      <w:r w:rsidR="009F4559" w:rsidRPr="009F4559">
        <w:t>одну из отобранных фар испытывают в соответствии с процедурой, описанной в пункте 2.1 приложения 4, после трехразового последовательного прохождения цикла, описанного в пункте 2.2.2 приложения 4.</w:t>
      </w:r>
    </w:p>
    <w:p w:rsidR="009F4559" w:rsidRPr="009F4559" w:rsidRDefault="005A1D43" w:rsidP="00BF5056">
      <w:pPr>
        <w:pStyle w:val="SingleTxtGR"/>
        <w:tabs>
          <w:tab w:val="clear" w:pos="1701"/>
        </w:tabs>
        <w:ind w:left="2268" w:hanging="1134"/>
      </w:pPr>
      <w:r>
        <w:tab/>
      </w:r>
      <w:r w:rsidR="009F4559" w:rsidRPr="009F4559">
        <w:t xml:space="preserve">Фара считается приемлемой, если </w:t>
      </w:r>
      <w:r w:rsidR="009F4559" w:rsidRPr="009F4559">
        <w:sym w:font="Symbol" w:char="F044"/>
      </w:r>
      <w:r w:rsidR="009F4559" w:rsidRPr="009F4559">
        <w:t>r не превышает 1,5 мрад в</w:t>
      </w:r>
      <w:r w:rsidR="002E30AD">
        <w:t> </w:t>
      </w:r>
      <w:r w:rsidR="009F4559" w:rsidRPr="009F4559">
        <w:t>направлении вверх и 2,5 мрад в направлении вниз.</w:t>
      </w:r>
    </w:p>
    <w:p w:rsidR="009F4559" w:rsidRPr="009F4559" w:rsidRDefault="005A1D43" w:rsidP="00BF5056">
      <w:pPr>
        <w:pStyle w:val="SingleTxtGR"/>
        <w:tabs>
          <w:tab w:val="clear" w:pos="1701"/>
        </w:tabs>
        <w:ind w:left="2268" w:hanging="1134"/>
      </w:pPr>
      <w:r>
        <w:tab/>
      </w:r>
      <w:r w:rsidR="009F4559" w:rsidRPr="009F4559">
        <w:t>Если это значение превышает 1,5 мрад, но составляет не более 2,0 мрад в направлении вверх или превышает 2,5 мрад, но составляет не более 3,0 мрад в направлении вниз, то испытанию подвергают второй образец, причем среднеарифметическое абсолютных значений, зарегистрированных на обоих образцах, не должно превышать 1,5 мрад в направлении вверх и 2,5 мрад в направлении вниз».</w:t>
      </w:r>
    </w:p>
    <w:p w:rsidR="009F4559" w:rsidRPr="009F4559" w:rsidRDefault="009F4559" w:rsidP="00BF5056">
      <w:pPr>
        <w:pStyle w:val="SingleTxtGR"/>
        <w:tabs>
          <w:tab w:val="clear" w:pos="1701"/>
        </w:tabs>
        <w:ind w:left="2268" w:hanging="1134"/>
        <w:rPr>
          <w:i/>
        </w:rPr>
      </w:pPr>
      <w:r w:rsidRPr="009F4559">
        <w:rPr>
          <w:i/>
        </w:rPr>
        <w:t>Приложение 7</w:t>
      </w:r>
    </w:p>
    <w:p w:rsidR="009F4559" w:rsidRPr="009F4559" w:rsidRDefault="009F4559" w:rsidP="00BF5056">
      <w:pPr>
        <w:pStyle w:val="SingleTxtGR"/>
        <w:tabs>
          <w:tab w:val="clear" w:pos="1701"/>
        </w:tabs>
        <w:ind w:left="2268" w:hanging="1134"/>
      </w:pPr>
      <w:r w:rsidRPr="009F4559">
        <w:rPr>
          <w:i/>
          <w:iCs/>
        </w:rPr>
        <w:t>Пункты 2–5</w:t>
      </w:r>
      <w:r w:rsidRPr="009F4559">
        <w:t xml:space="preserve"> изменить следующим образом:</w:t>
      </w:r>
    </w:p>
    <w:p w:rsidR="009F4559" w:rsidRPr="009F4559" w:rsidRDefault="009F4559" w:rsidP="00BF5056">
      <w:pPr>
        <w:pStyle w:val="SingleTxtGR"/>
        <w:tabs>
          <w:tab w:val="clear" w:pos="1701"/>
        </w:tabs>
        <w:ind w:left="2268" w:hanging="1134"/>
      </w:pPr>
      <w:r w:rsidRPr="009F4559">
        <w:t>«2.</w:t>
      </w:r>
      <w:r w:rsidRPr="009F4559">
        <w:tab/>
        <w:t>Первый отбор образцов</w:t>
      </w:r>
    </w:p>
    <w:p w:rsidR="009F4559" w:rsidRPr="009F4559" w:rsidRDefault="005A1D43" w:rsidP="00BF5056">
      <w:pPr>
        <w:pStyle w:val="SingleTxtGR"/>
        <w:tabs>
          <w:tab w:val="clear" w:pos="1701"/>
        </w:tabs>
        <w:ind w:left="2268" w:hanging="1134"/>
      </w:pPr>
      <w:r>
        <w:tab/>
      </w:r>
      <w:r w:rsidR="009F4559" w:rsidRPr="009F4559">
        <w:t>В ходе первого отбора образцов произвольно выбирают четыре фары. Первую выборку из двух образцов обозначают буквой A, а вторую выборку из двух образцов − буквой B.</w:t>
      </w:r>
    </w:p>
    <w:p w:rsidR="009F4559" w:rsidRPr="009F4559" w:rsidRDefault="009F4559" w:rsidP="00BF5056">
      <w:pPr>
        <w:pStyle w:val="SingleTxtGR"/>
        <w:tabs>
          <w:tab w:val="clear" w:pos="1701"/>
        </w:tabs>
        <w:ind w:left="2268" w:hanging="1134"/>
      </w:pPr>
      <w:r w:rsidRPr="009F4559">
        <w:t>2.1</w:t>
      </w:r>
      <w:r w:rsidRPr="009F4559">
        <w:tab/>
        <w:t>Соответствие производства серийных фар считается доказанным, если отклонение любого образца из выборок A и B (всех четырех огней) не превышает 20%.</w:t>
      </w:r>
    </w:p>
    <w:p w:rsidR="009F4559" w:rsidRPr="009F4559" w:rsidRDefault="005A1D43" w:rsidP="00BF5056">
      <w:pPr>
        <w:pStyle w:val="SingleTxtGR"/>
        <w:tabs>
          <w:tab w:val="clear" w:pos="1701"/>
        </w:tabs>
        <w:ind w:left="2268" w:hanging="1134"/>
      </w:pPr>
      <w:r>
        <w:tab/>
      </w:r>
      <w:r w:rsidR="009F4559" w:rsidRPr="009F4559">
        <w:t>В том случае, если отклонение обоих огней из выборки А не превышает 0%, измерения могут быть прекращены.</w:t>
      </w:r>
    </w:p>
    <w:p w:rsidR="009F4559" w:rsidRPr="009F4559" w:rsidRDefault="009F4559" w:rsidP="00BF5056">
      <w:pPr>
        <w:pStyle w:val="SingleTxtGR"/>
        <w:tabs>
          <w:tab w:val="clear" w:pos="1701"/>
        </w:tabs>
        <w:ind w:left="2268" w:hanging="1134"/>
      </w:pPr>
      <w:r w:rsidRPr="009F4559">
        <w:t>2.2</w:t>
      </w:r>
      <w:r w:rsidRPr="009F4559">
        <w:tab/>
        <w:t>Соответствие производства серийных фар не считается доказанным, если отклонение по крайней мере одного образца из выборки А или В превышает 20%.</w:t>
      </w:r>
    </w:p>
    <w:p w:rsidR="009F4559" w:rsidRPr="009F4559" w:rsidRDefault="005A1D43" w:rsidP="00BF5056">
      <w:pPr>
        <w:pStyle w:val="SingleTxtGR"/>
        <w:tabs>
          <w:tab w:val="clear" w:pos="1701"/>
        </w:tabs>
        <w:ind w:left="2268" w:hanging="1134"/>
      </w:pPr>
      <w:r>
        <w:tab/>
      </w:r>
      <w:r w:rsidR="009F4559" w:rsidRPr="009F4559">
        <w:t>Изготовителю предлагают обеспечить соответствие производства предъявляемым требованиям (привести его в соответствие с этими требованиями) и проводят повторный отбор образцов согласно пункту 3 ниже в течение двух месяцев после уведомления. Выборки A и B хранятся в технической службе до завершения всего процесса обеспечения соответствия производства.</w:t>
      </w:r>
    </w:p>
    <w:p w:rsidR="009F4559" w:rsidRPr="009F4559" w:rsidRDefault="009F4559" w:rsidP="002E30AD">
      <w:pPr>
        <w:pStyle w:val="SingleTxtGR"/>
        <w:keepNext/>
        <w:keepLines/>
        <w:tabs>
          <w:tab w:val="clear" w:pos="1701"/>
        </w:tabs>
        <w:ind w:left="2268" w:hanging="1134"/>
      </w:pPr>
      <w:r w:rsidRPr="009F4559">
        <w:t>3.</w:t>
      </w:r>
      <w:r w:rsidRPr="009F4559">
        <w:tab/>
        <w:t>Первый повторный отбор образцов</w:t>
      </w:r>
    </w:p>
    <w:p w:rsidR="009F4559" w:rsidRPr="009F4559" w:rsidRDefault="005A1D43" w:rsidP="002E30AD">
      <w:pPr>
        <w:pStyle w:val="SingleTxtGR"/>
        <w:keepNext/>
        <w:keepLines/>
        <w:tabs>
          <w:tab w:val="clear" w:pos="1701"/>
        </w:tabs>
        <w:ind w:left="2268" w:hanging="1134"/>
      </w:pPr>
      <w:r>
        <w:tab/>
      </w:r>
      <w:r w:rsidR="009F4559" w:rsidRPr="009F4559">
        <w:t>Из партии продукции, изготовленной после приведения производства в соответствие с предъявляемыми требованиями, произвольно делается выборка из четырех огней.</w:t>
      </w:r>
    </w:p>
    <w:p w:rsidR="009F4559" w:rsidRPr="009F4559" w:rsidRDefault="005A1D43" w:rsidP="00BF5056">
      <w:pPr>
        <w:pStyle w:val="SingleTxtGR"/>
        <w:tabs>
          <w:tab w:val="clear" w:pos="1701"/>
        </w:tabs>
        <w:ind w:left="2268" w:hanging="1134"/>
      </w:pPr>
      <w:r>
        <w:tab/>
      </w:r>
      <w:r w:rsidR="009F4559" w:rsidRPr="009F4559">
        <w:t>Первую выборку из двух образцов обозначают буквой C, а вторую выборку из двух образцов − буквой D.</w:t>
      </w:r>
    </w:p>
    <w:p w:rsidR="009F4559" w:rsidRPr="009F4559" w:rsidRDefault="009F4559" w:rsidP="00BF5056">
      <w:pPr>
        <w:pStyle w:val="SingleTxtGR"/>
        <w:tabs>
          <w:tab w:val="clear" w:pos="1701"/>
        </w:tabs>
        <w:ind w:left="2268" w:hanging="1134"/>
      </w:pPr>
      <w:r w:rsidRPr="009F4559">
        <w:t>3.1</w:t>
      </w:r>
      <w:r w:rsidRPr="009F4559">
        <w:tab/>
        <w:t>Соответствие серийных фар считается доказанным, если отклонение любого образца из выборок C и D (всех четырех огней) не превышает 20%.</w:t>
      </w:r>
    </w:p>
    <w:p w:rsidR="009F4559" w:rsidRPr="009F4559" w:rsidRDefault="005A1D43" w:rsidP="00BF5056">
      <w:pPr>
        <w:pStyle w:val="SingleTxtGR"/>
        <w:tabs>
          <w:tab w:val="clear" w:pos="1701"/>
        </w:tabs>
        <w:ind w:left="2268" w:hanging="1134"/>
      </w:pPr>
      <w:r>
        <w:tab/>
      </w:r>
      <w:r w:rsidR="009F4559" w:rsidRPr="009F4559">
        <w:t>В том случае, если отклонение обоих огней из выборки С не превышает 0%, измерения могут быть прекращены.</w:t>
      </w:r>
    </w:p>
    <w:p w:rsidR="009F4559" w:rsidRPr="009F4559" w:rsidRDefault="009F4559" w:rsidP="00BF5056">
      <w:pPr>
        <w:pStyle w:val="SingleTxtGR"/>
        <w:tabs>
          <w:tab w:val="clear" w:pos="1701"/>
        </w:tabs>
        <w:ind w:left="2268" w:hanging="1134"/>
      </w:pPr>
      <w:r w:rsidRPr="009F4559">
        <w:t>3.2</w:t>
      </w:r>
      <w:r w:rsidRPr="009F4559">
        <w:tab/>
        <w:t>Соответствие производства серийных фар не считается доказанным, если отклонение по крайней мере:</w:t>
      </w:r>
    </w:p>
    <w:p w:rsidR="009F4559" w:rsidRPr="009F4559" w:rsidRDefault="009F4559" w:rsidP="00BF5056">
      <w:pPr>
        <w:pStyle w:val="SingleTxtGR"/>
        <w:tabs>
          <w:tab w:val="clear" w:pos="1701"/>
        </w:tabs>
        <w:ind w:left="2268" w:hanging="1134"/>
      </w:pPr>
      <w:r w:rsidRPr="009F4559">
        <w:t>3.2.1</w:t>
      </w:r>
      <w:r w:rsidRPr="009F4559">
        <w:tab/>
        <w:t>одного образца из выборки C или D превышает 20%, но отклонение всех образцов из этих выборок не превышает 30%;</w:t>
      </w:r>
    </w:p>
    <w:p w:rsidR="009F4559" w:rsidRPr="009F4559" w:rsidRDefault="005A1D43" w:rsidP="00BF5056">
      <w:pPr>
        <w:pStyle w:val="SingleTxtGR"/>
        <w:tabs>
          <w:tab w:val="clear" w:pos="1701"/>
        </w:tabs>
        <w:ind w:left="2268" w:hanging="1134"/>
      </w:pPr>
      <w:r>
        <w:tab/>
      </w:r>
      <w:r w:rsidR="009F4559" w:rsidRPr="009F4559">
        <w:t>изготовителю предлагают вновь обеспечить соответствие производства предъявляемым требованиям (привести его в соответствие с этими требованиями);</w:t>
      </w:r>
    </w:p>
    <w:p w:rsidR="009F4559" w:rsidRPr="009F4559" w:rsidRDefault="005A1D43" w:rsidP="00BF5056">
      <w:pPr>
        <w:pStyle w:val="SingleTxtGR"/>
        <w:tabs>
          <w:tab w:val="clear" w:pos="1701"/>
        </w:tabs>
        <w:ind w:left="2268" w:hanging="1134"/>
      </w:pPr>
      <w:r>
        <w:tab/>
      </w:r>
      <w:r w:rsidR="009F4559" w:rsidRPr="009F4559">
        <w:t>проводят второй повторный отбор образцов согласно пункту 4 ниже в течение двух месяцев после уведомления. Выборки C и D хранятся в технической службе до завершения всего процесса обеспечения соответствия производства;</w:t>
      </w:r>
    </w:p>
    <w:p w:rsidR="009F4559" w:rsidRPr="009F4559" w:rsidRDefault="009F4559" w:rsidP="00BF5056">
      <w:pPr>
        <w:pStyle w:val="SingleTxtGR"/>
        <w:tabs>
          <w:tab w:val="clear" w:pos="1701"/>
        </w:tabs>
        <w:ind w:left="2268" w:hanging="1134"/>
      </w:pPr>
      <w:r w:rsidRPr="009F4559">
        <w:t>3.2.2</w:t>
      </w:r>
      <w:r w:rsidRPr="009F4559">
        <w:tab/>
        <w:t>одного образца из выборок C и D превышает 30%;</w:t>
      </w:r>
    </w:p>
    <w:p w:rsidR="009F4559" w:rsidRPr="009F4559" w:rsidRDefault="00BA672C" w:rsidP="00BF5056">
      <w:pPr>
        <w:pStyle w:val="SingleTxtGR"/>
        <w:tabs>
          <w:tab w:val="clear" w:pos="1701"/>
        </w:tabs>
        <w:ind w:left="2268" w:hanging="1134"/>
      </w:pPr>
      <w:r>
        <w:tab/>
      </w:r>
      <w:r w:rsidR="009F4559" w:rsidRPr="009F4559">
        <w:t>в таком случае официальное утверждение отменяют и применяют пункт 5 ниже.</w:t>
      </w:r>
    </w:p>
    <w:p w:rsidR="009F4559" w:rsidRPr="009F4559" w:rsidRDefault="009F4559" w:rsidP="00BF5056">
      <w:pPr>
        <w:pStyle w:val="SingleTxtGR"/>
        <w:tabs>
          <w:tab w:val="clear" w:pos="1701"/>
        </w:tabs>
        <w:ind w:left="2268" w:hanging="1134"/>
      </w:pPr>
      <w:r w:rsidRPr="009F4559">
        <w:t>4.</w:t>
      </w:r>
      <w:r w:rsidRPr="009F4559">
        <w:tab/>
        <w:t>Второй повторный отбор образцов</w:t>
      </w:r>
    </w:p>
    <w:p w:rsidR="009F4559" w:rsidRPr="009F4559" w:rsidRDefault="00BA672C" w:rsidP="00BF5056">
      <w:pPr>
        <w:pStyle w:val="SingleTxtGR"/>
        <w:tabs>
          <w:tab w:val="clear" w:pos="1701"/>
        </w:tabs>
        <w:ind w:left="2268" w:hanging="1134"/>
      </w:pPr>
      <w:r>
        <w:tab/>
      </w:r>
      <w:r w:rsidR="009F4559" w:rsidRPr="009F4559">
        <w:t>Из партии продукции, изготовленной после приведения производства в соответствие с предъявляемыми требованиями, произвольно делается выборка из четырех огней.</w:t>
      </w:r>
    </w:p>
    <w:p w:rsidR="009F4559" w:rsidRPr="009F4559" w:rsidRDefault="00BA672C" w:rsidP="00BF5056">
      <w:pPr>
        <w:pStyle w:val="SingleTxtGR"/>
        <w:tabs>
          <w:tab w:val="clear" w:pos="1701"/>
        </w:tabs>
        <w:ind w:left="2268" w:hanging="1134"/>
      </w:pPr>
      <w:r>
        <w:tab/>
      </w:r>
      <w:r w:rsidR="009F4559" w:rsidRPr="009F4559">
        <w:t>Первую выборку из двух огней обозначают буквой E, а вторую выборку из двух огней − буквой F.</w:t>
      </w:r>
    </w:p>
    <w:p w:rsidR="009F4559" w:rsidRPr="009F4559" w:rsidRDefault="009F4559" w:rsidP="00BF5056">
      <w:pPr>
        <w:pStyle w:val="SingleTxtGR"/>
        <w:tabs>
          <w:tab w:val="clear" w:pos="1701"/>
        </w:tabs>
        <w:ind w:left="2268" w:hanging="1134"/>
      </w:pPr>
      <w:r w:rsidRPr="009F4559">
        <w:t>4.1</w:t>
      </w:r>
      <w:r w:rsidRPr="009F4559">
        <w:tab/>
        <w:t xml:space="preserve">Соответствие производства серийных фар считается доказанным, если отклонение любого образца из выборок E и F (всех четырех огней) не превышает 20%. </w:t>
      </w:r>
    </w:p>
    <w:p w:rsidR="009F4559" w:rsidRPr="009F4559" w:rsidRDefault="00BA672C" w:rsidP="00BF5056">
      <w:pPr>
        <w:pStyle w:val="SingleTxtGR"/>
        <w:tabs>
          <w:tab w:val="clear" w:pos="1701"/>
        </w:tabs>
        <w:ind w:left="2268" w:hanging="1134"/>
      </w:pPr>
      <w:r>
        <w:tab/>
      </w:r>
      <w:r w:rsidR="009F4559" w:rsidRPr="009F4559">
        <w:t>В том случае, если отклонение обоих огней из выборки E не превышает 0%, измерения могут быть прекращены.</w:t>
      </w:r>
    </w:p>
    <w:p w:rsidR="009F4559" w:rsidRPr="009F4559" w:rsidRDefault="009F4559" w:rsidP="00BF5056">
      <w:pPr>
        <w:pStyle w:val="SingleTxtGR"/>
        <w:tabs>
          <w:tab w:val="clear" w:pos="1701"/>
        </w:tabs>
        <w:ind w:left="2268" w:hanging="1134"/>
      </w:pPr>
      <w:r w:rsidRPr="009F4559">
        <w:t>4.2</w:t>
      </w:r>
      <w:r w:rsidRPr="009F4559">
        <w:tab/>
        <w:t>Соответствие производства серийных фар не считается доказанным, если отклонение по крайней мере одного образца из выборки E или F превышает 20%.</w:t>
      </w:r>
    </w:p>
    <w:p w:rsidR="009F4559" w:rsidRPr="009F4559" w:rsidRDefault="00BA672C" w:rsidP="00BF5056">
      <w:pPr>
        <w:pStyle w:val="SingleTxtGR"/>
        <w:tabs>
          <w:tab w:val="clear" w:pos="1701"/>
        </w:tabs>
        <w:ind w:left="2268" w:hanging="1134"/>
      </w:pPr>
      <w:r>
        <w:tab/>
      </w:r>
      <w:r w:rsidR="009F4559" w:rsidRPr="009F4559">
        <w:t>В таком случае официальное утверждение отменяют и применяют пункт 5 ниже.</w:t>
      </w:r>
    </w:p>
    <w:p w:rsidR="009F4559" w:rsidRPr="009F4559" w:rsidRDefault="009F4559" w:rsidP="00BF5056">
      <w:pPr>
        <w:pStyle w:val="SingleTxtGR"/>
        <w:tabs>
          <w:tab w:val="clear" w:pos="1701"/>
        </w:tabs>
        <w:ind w:left="2268" w:hanging="1134"/>
      </w:pPr>
      <w:r w:rsidRPr="009F4559">
        <w:t>5.</w:t>
      </w:r>
      <w:r w:rsidRPr="009F4559">
        <w:tab/>
        <w:t>Отмена официального утверждения</w:t>
      </w:r>
    </w:p>
    <w:p w:rsidR="009F4559" w:rsidRPr="009F4559" w:rsidRDefault="00BA672C" w:rsidP="00BF5056">
      <w:pPr>
        <w:pStyle w:val="SingleTxtGR"/>
        <w:tabs>
          <w:tab w:val="clear" w:pos="1701"/>
        </w:tabs>
        <w:ind w:left="2268" w:hanging="1134"/>
      </w:pPr>
      <w:r>
        <w:tab/>
      </w:r>
      <w:r w:rsidR="009F4559" w:rsidRPr="009F4559">
        <w:t>Официальное утверждение отменяют в соответствии с пунктом 10 настоящих Правил».</w:t>
      </w:r>
    </w:p>
    <w:p w:rsidR="001276E8" w:rsidRDefault="009F4559" w:rsidP="00BF5056">
      <w:pPr>
        <w:pStyle w:val="SingleTxtGR"/>
        <w:tabs>
          <w:tab w:val="clear" w:pos="1701"/>
        </w:tabs>
        <w:ind w:left="2268" w:hanging="1134"/>
      </w:pPr>
      <w:r w:rsidRPr="009F4559">
        <w:rPr>
          <w:i/>
        </w:rPr>
        <w:t>Рис. 1</w:t>
      </w:r>
      <w:r w:rsidRPr="009F4559">
        <w:t xml:space="preserve"> исключить.</w:t>
      </w:r>
    </w:p>
    <w:p w:rsidR="009F4559" w:rsidRPr="00BA672C" w:rsidRDefault="009F4559" w:rsidP="00BA672C">
      <w:pPr>
        <w:pStyle w:val="HChGR"/>
      </w:pPr>
      <w:r w:rsidRPr="009F4559">
        <w:br w:type="page"/>
      </w:r>
      <w:r w:rsidRPr="00BA672C">
        <w:t>Приложение VI</w:t>
      </w:r>
    </w:p>
    <w:p w:rsidR="009F4559" w:rsidRPr="009F4559" w:rsidRDefault="009F4559" w:rsidP="00672DBE">
      <w:pPr>
        <w:pStyle w:val="HChGR"/>
      </w:pPr>
      <w:r w:rsidRPr="009F4559">
        <w:tab/>
      </w:r>
      <w:r w:rsidRPr="009F4559">
        <w:tab/>
        <w:t>Неофициальные группы GRE</w:t>
      </w:r>
    </w:p>
    <w:tbl>
      <w:tblPr>
        <w:tblStyle w:val="TabTxt"/>
        <w:tblW w:w="8504" w:type="dxa"/>
        <w:tblInd w:w="1134" w:type="dxa"/>
        <w:tblLayout w:type="fixed"/>
        <w:tblLook w:val="05E0" w:firstRow="1" w:lastRow="1" w:firstColumn="1" w:lastColumn="1" w:noHBand="0" w:noVBand="1"/>
      </w:tblPr>
      <w:tblGrid>
        <w:gridCol w:w="1568"/>
        <w:gridCol w:w="3563"/>
        <w:gridCol w:w="3373"/>
      </w:tblGrid>
      <w:tr w:rsidR="009F4559" w:rsidRPr="001276E8" w:rsidTr="009323FE">
        <w:trPr>
          <w:tblHeader/>
        </w:trPr>
        <w:tc>
          <w:tcPr>
            <w:tcW w:w="156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9F4559" w:rsidRPr="001276E8" w:rsidRDefault="009F4559" w:rsidP="004E6C7C">
            <w:pPr>
              <w:spacing w:before="80" w:after="80" w:line="200" w:lineRule="exact"/>
              <w:rPr>
                <w:i/>
                <w:sz w:val="16"/>
              </w:rPr>
            </w:pPr>
            <w:r w:rsidRPr="001276E8">
              <w:rPr>
                <w:i/>
                <w:sz w:val="16"/>
              </w:rPr>
              <w:t xml:space="preserve">Неофициальная </w:t>
            </w:r>
            <w:r w:rsidR="004E6C7C">
              <w:rPr>
                <w:i/>
                <w:sz w:val="16"/>
              </w:rPr>
              <w:br/>
            </w:r>
            <w:r w:rsidRPr="001276E8">
              <w:rPr>
                <w:i/>
                <w:sz w:val="16"/>
              </w:rPr>
              <w:t>группа</w:t>
            </w:r>
          </w:p>
        </w:tc>
        <w:tc>
          <w:tcPr>
            <w:tcW w:w="356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9F4559" w:rsidRPr="001276E8" w:rsidRDefault="009F4559" w:rsidP="004E6C7C">
            <w:pPr>
              <w:spacing w:before="80" w:after="80" w:line="200" w:lineRule="exact"/>
              <w:rPr>
                <w:i/>
                <w:sz w:val="16"/>
              </w:rPr>
            </w:pPr>
            <w:r w:rsidRPr="001276E8">
              <w:rPr>
                <w:i/>
                <w:sz w:val="16"/>
              </w:rPr>
              <w:t>Председатель(и)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73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9F4559" w:rsidRPr="001276E8" w:rsidRDefault="009F4559" w:rsidP="004E6C7C">
            <w:pPr>
              <w:spacing w:before="80" w:after="80" w:line="200" w:lineRule="exact"/>
              <w:rPr>
                <w:i/>
                <w:sz w:val="16"/>
              </w:rPr>
            </w:pPr>
            <w:r w:rsidRPr="001276E8">
              <w:rPr>
                <w:i/>
                <w:sz w:val="16"/>
              </w:rPr>
              <w:t>Секретарь</w:t>
            </w:r>
          </w:p>
        </w:tc>
      </w:tr>
      <w:tr w:rsidR="009F4559" w:rsidRPr="001276E8" w:rsidTr="009323FE">
        <w:trPr>
          <w:trHeight w:val="1151"/>
        </w:trPr>
        <w:tc>
          <w:tcPr>
            <w:tcW w:w="1568" w:type="dxa"/>
            <w:tcBorders>
              <w:top w:val="single" w:sz="12" w:space="0" w:color="auto"/>
            </w:tcBorders>
          </w:tcPr>
          <w:p w:rsidR="009F4559" w:rsidRPr="001276E8" w:rsidRDefault="009F4559" w:rsidP="004E6C7C">
            <w:pPr>
              <w:suppressAutoHyphens/>
            </w:pPr>
            <w:r w:rsidRPr="001276E8">
              <w:t>Упрощение правил, касающихся устройств освещения и</w:t>
            </w:r>
            <w:r w:rsidR="004E6C7C">
              <w:rPr>
                <w:lang w:val="en-US"/>
              </w:rPr>
              <w:t> </w:t>
            </w:r>
            <w:r w:rsidRPr="001276E8">
              <w:t>световой сигнализации (УПО)</w:t>
            </w:r>
          </w:p>
        </w:tc>
        <w:tc>
          <w:tcPr>
            <w:tcW w:w="3563" w:type="dxa"/>
            <w:tcBorders>
              <w:top w:val="single" w:sz="12" w:space="0" w:color="auto"/>
            </w:tcBorders>
          </w:tcPr>
          <w:p w:rsidR="009F4559" w:rsidRPr="001276E8" w:rsidRDefault="009F4559" w:rsidP="004E6C7C">
            <w:r w:rsidRPr="001276E8">
              <w:t>Г-н Мишель Локюфьер (Бельгия)</w:t>
            </w:r>
            <w:r w:rsidR="004E6C7C">
              <w:br/>
            </w:r>
            <w:r w:rsidRPr="001276E8">
              <w:t>Тел.: +32 474 989</w:t>
            </w:r>
            <w:r w:rsidR="004E6C7C">
              <w:t> </w:t>
            </w:r>
            <w:r w:rsidRPr="001276E8">
              <w:t>023</w:t>
            </w:r>
            <w:r w:rsidR="004E6C7C">
              <w:br/>
            </w:r>
            <w:r w:rsidRPr="001276E8">
              <w:t>Эл. почта: michel.loccufier@mobilit.fgov.be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73" w:type="dxa"/>
            <w:tcBorders>
              <w:top w:val="single" w:sz="12" w:space="0" w:color="auto"/>
            </w:tcBorders>
          </w:tcPr>
          <w:p w:rsidR="009F4559" w:rsidRPr="001276E8" w:rsidRDefault="009F4559" w:rsidP="004E6C7C">
            <w:r w:rsidRPr="001276E8">
              <w:t>Г-н Давиде Пульизи (БРГ)</w:t>
            </w:r>
            <w:r w:rsidR="004E6C7C">
              <w:br/>
            </w:r>
            <w:r w:rsidRPr="001276E8">
              <w:t>Тел.: +39 011 562 11 49</w:t>
            </w:r>
            <w:r w:rsidR="004E6C7C">
              <w:br/>
            </w:r>
            <w:r w:rsidRPr="001276E8">
              <w:t>Факс: +39 011 53 21 43</w:t>
            </w:r>
            <w:r w:rsidR="004E6C7C">
              <w:br/>
            </w:r>
            <w:r w:rsidRPr="001276E8">
              <w:t>Эл. почта:</w:t>
            </w:r>
            <w:r w:rsidR="004E6C7C">
              <w:br/>
            </w:r>
            <w:r w:rsidRPr="001276E8">
              <w:t>secretary@gtb-lighting.org</w:t>
            </w:r>
          </w:p>
        </w:tc>
      </w:tr>
      <w:tr w:rsidR="009F4559" w:rsidRPr="001276E8" w:rsidTr="009323FE">
        <w:trPr>
          <w:trHeight w:val="1151"/>
        </w:trPr>
        <w:tc>
          <w:tcPr>
            <w:tcW w:w="1568" w:type="dxa"/>
          </w:tcPr>
          <w:p w:rsidR="009F4559" w:rsidRPr="001276E8" w:rsidRDefault="009F4559" w:rsidP="004E6C7C">
            <w:pPr>
              <w:suppressAutoHyphens/>
            </w:pPr>
            <w:r w:rsidRPr="001276E8">
              <w:t>Вопросы видимости, ослепления и</w:t>
            </w:r>
            <w:r w:rsidR="004E6C7C">
              <w:rPr>
                <w:lang w:val="en-US"/>
              </w:rPr>
              <w:t> </w:t>
            </w:r>
            <w:r w:rsidRPr="001276E8">
              <w:t>регулировки фар (ВОРФ)</w:t>
            </w:r>
          </w:p>
        </w:tc>
        <w:tc>
          <w:tcPr>
            <w:tcW w:w="3563" w:type="dxa"/>
          </w:tcPr>
          <w:p w:rsidR="009F4559" w:rsidRPr="001276E8" w:rsidRDefault="009F4559" w:rsidP="004E6C7C">
            <w:r w:rsidRPr="001276E8">
              <w:t>Г-н Томаш Таргосински (Польша)</w:t>
            </w:r>
            <w:r w:rsidR="004E6C7C">
              <w:br/>
            </w:r>
            <w:r w:rsidRPr="001276E8">
              <w:t>Тел.: +48 22 4385 157</w:t>
            </w:r>
            <w:r w:rsidR="004E6C7C">
              <w:br/>
            </w:r>
            <w:r w:rsidRPr="001276E8">
              <w:t>Факс: + 48 22 4385 401</w:t>
            </w:r>
            <w:r w:rsidR="004E6C7C">
              <w:br/>
            </w:r>
            <w:r w:rsidRPr="001276E8">
              <w:t>Эл. почта: tomasz.targosinski@its.waw.pl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73" w:type="dxa"/>
          </w:tcPr>
          <w:p w:rsidR="009F4559" w:rsidRPr="001276E8" w:rsidRDefault="009F4559" w:rsidP="004E6C7C">
            <w:r w:rsidRPr="001276E8">
              <w:t>Г-жа Франсуаз Сильвани (МОПАП)</w:t>
            </w:r>
            <w:r w:rsidR="004E6C7C">
              <w:br/>
            </w:r>
            <w:r w:rsidRPr="001276E8">
              <w:t>Факс: +33 1 76 86 92 89</w:t>
            </w:r>
            <w:r w:rsidR="004E6C7C">
              <w:br/>
            </w:r>
            <w:r w:rsidRPr="001276E8">
              <w:t>Эл. почта: francoise.silvani@renault.com</w:t>
            </w:r>
          </w:p>
        </w:tc>
      </w:tr>
    </w:tbl>
    <w:p w:rsidR="009F4559" w:rsidRPr="009F4559" w:rsidRDefault="009F4559" w:rsidP="009F4559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9F4559" w:rsidRPr="009F4559" w:rsidSect="00BC242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204" w:rsidRPr="00A312BC" w:rsidRDefault="00D42204" w:rsidP="00A312BC"/>
  </w:endnote>
  <w:endnote w:type="continuationSeparator" w:id="0">
    <w:p w:rsidR="00D42204" w:rsidRPr="00A312BC" w:rsidRDefault="00D42204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204" w:rsidRPr="00BC242E" w:rsidRDefault="00D42204">
    <w:pPr>
      <w:pStyle w:val="Footer"/>
    </w:pPr>
    <w:r w:rsidRPr="00BC242E">
      <w:rPr>
        <w:b/>
        <w:sz w:val="18"/>
      </w:rPr>
      <w:fldChar w:fldCharType="begin"/>
    </w:r>
    <w:r w:rsidRPr="00BC242E">
      <w:rPr>
        <w:b/>
        <w:sz w:val="18"/>
      </w:rPr>
      <w:instrText xml:space="preserve"> PAGE  \* MERGEFORMAT </w:instrText>
    </w:r>
    <w:r w:rsidRPr="00BC242E">
      <w:rPr>
        <w:b/>
        <w:sz w:val="18"/>
      </w:rPr>
      <w:fldChar w:fldCharType="separate"/>
    </w:r>
    <w:r w:rsidR="00EB5EA8">
      <w:rPr>
        <w:b/>
        <w:noProof/>
        <w:sz w:val="18"/>
      </w:rPr>
      <w:t>2</w:t>
    </w:r>
    <w:r w:rsidRPr="00BC242E">
      <w:rPr>
        <w:b/>
        <w:sz w:val="18"/>
      </w:rPr>
      <w:fldChar w:fldCharType="end"/>
    </w:r>
    <w:r>
      <w:rPr>
        <w:b/>
        <w:sz w:val="18"/>
      </w:rPr>
      <w:tab/>
    </w:r>
    <w:r>
      <w:t>GE.17-07746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204" w:rsidRPr="00BC242E" w:rsidRDefault="00D42204" w:rsidP="00BC242E">
    <w:pPr>
      <w:pStyle w:val="Footer"/>
      <w:tabs>
        <w:tab w:val="clear" w:pos="9639"/>
        <w:tab w:val="right" w:pos="9638"/>
      </w:tabs>
      <w:rPr>
        <w:b/>
        <w:sz w:val="18"/>
      </w:rPr>
    </w:pPr>
    <w:r>
      <w:t>GE.17-07746</w:t>
    </w:r>
    <w:r>
      <w:tab/>
    </w:r>
    <w:r w:rsidRPr="00BC242E">
      <w:rPr>
        <w:b/>
        <w:sz w:val="18"/>
      </w:rPr>
      <w:fldChar w:fldCharType="begin"/>
    </w:r>
    <w:r w:rsidRPr="00BC242E">
      <w:rPr>
        <w:b/>
        <w:sz w:val="18"/>
      </w:rPr>
      <w:instrText xml:space="preserve"> PAGE  \* MERGEFORMAT </w:instrText>
    </w:r>
    <w:r w:rsidRPr="00BC242E">
      <w:rPr>
        <w:b/>
        <w:sz w:val="18"/>
      </w:rPr>
      <w:fldChar w:fldCharType="separate"/>
    </w:r>
    <w:r w:rsidR="00EB5EA8">
      <w:rPr>
        <w:b/>
        <w:noProof/>
        <w:sz w:val="18"/>
      </w:rPr>
      <w:t>7</w:t>
    </w:r>
    <w:r w:rsidRPr="00BC242E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204" w:rsidRPr="00BC242E" w:rsidRDefault="00D42204" w:rsidP="00BC242E">
    <w:pPr>
      <w:spacing w:before="120" w:line="240" w:lineRule="auto"/>
    </w:pPr>
    <w:r>
      <w:t>GE.</w:t>
    </w:r>
    <w:r>
      <w:rPr>
        <w:b/>
        <w:noProof/>
        <w:lang w:val="en-GB" w:eastAsia="en-GB"/>
      </w:rPr>
      <w:drawing>
        <wp:anchor distT="0" distB="0" distL="114300" distR="114300" simplePos="0" relativeHeight="251660288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17-07746  (R)</w:t>
    </w:r>
    <w:r w:rsidR="00DB5770">
      <w:rPr>
        <w:lang w:val="en-US"/>
      </w:rPr>
      <w:t xml:space="preserve">  070617 09</w:t>
    </w:r>
    <w:r>
      <w:rPr>
        <w:lang w:val="en-US"/>
      </w:rPr>
      <w:t>0617</w:t>
    </w:r>
    <w:r>
      <w:br/>
    </w:r>
    <w:r w:rsidRPr="00BC242E">
      <w:rPr>
        <w:rFonts w:ascii="C39T30Lfz" w:hAnsi="C39T30Lfz"/>
        <w:spacing w:val="0"/>
        <w:w w:val="100"/>
        <w:sz w:val="56"/>
      </w:rPr>
      <w:t></w:t>
    </w:r>
    <w:r w:rsidRPr="00BC242E">
      <w:rPr>
        <w:rFonts w:ascii="C39T30Lfz" w:hAnsi="C39T30Lfz"/>
        <w:spacing w:val="0"/>
        <w:w w:val="100"/>
        <w:sz w:val="56"/>
      </w:rPr>
      <w:t></w:t>
    </w:r>
    <w:r w:rsidRPr="00BC242E">
      <w:rPr>
        <w:rFonts w:ascii="C39T30Lfz" w:hAnsi="C39T30Lfz"/>
        <w:spacing w:val="0"/>
        <w:w w:val="100"/>
        <w:sz w:val="56"/>
      </w:rPr>
      <w:t></w:t>
    </w:r>
    <w:r w:rsidRPr="00BC242E">
      <w:rPr>
        <w:rFonts w:ascii="C39T30Lfz" w:hAnsi="C39T30Lfz"/>
        <w:spacing w:val="0"/>
        <w:w w:val="100"/>
        <w:sz w:val="56"/>
      </w:rPr>
      <w:t></w:t>
    </w:r>
    <w:r w:rsidRPr="00BC242E">
      <w:rPr>
        <w:rFonts w:ascii="C39T30Lfz" w:hAnsi="C39T30Lfz"/>
        <w:spacing w:val="0"/>
        <w:w w:val="100"/>
        <w:sz w:val="56"/>
      </w:rPr>
      <w:t></w:t>
    </w:r>
    <w:r w:rsidRPr="00BC242E">
      <w:rPr>
        <w:rFonts w:ascii="C39T30Lfz" w:hAnsi="C39T30Lfz"/>
        <w:spacing w:val="0"/>
        <w:w w:val="100"/>
        <w:sz w:val="56"/>
      </w:rPr>
      <w:t></w:t>
    </w:r>
    <w:r w:rsidRPr="00BC242E">
      <w:rPr>
        <w:rFonts w:ascii="C39T30Lfz" w:hAnsi="C39T30Lfz"/>
        <w:spacing w:val="0"/>
        <w:w w:val="100"/>
        <w:sz w:val="56"/>
      </w:rPr>
      <w:t></w:t>
    </w:r>
    <w:r w:rsidRPr="00BC242E">
      <w:rPr>
        <w:rFonts w:ascii="C39T30Lfz" w:hAnsi="C39T30Lfz"/>
        <w:spacing w:val="0"/>
        <w:w w:val="100"/>
        <w:sz w:val="56"/>
      </w:rPr>
      <w:t></w:t>
    </w:r>
    <w:r w:rsidRPr="00BC242E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val="en-GB"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29/GRE/77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E/77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204" w:rsidRPr="001075E9" w:rsidRDefault="00D42204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D42204" w:rsidRDefault="00D42204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204" w:rsidRPr="00BC242E" w:rsidRDefault="00CE41BE">
    <w:pPr>
      <w:pStyle w:val="Header"/>
    </w:pPr>
    <w:fldSimple w:instr=" TITLE  \* MERGEFORMAT ">
      <w:r w:rsidR="00BF2684">
        <w:t>ECE/TRANS/WP.29/GRE/77</w:t>
      </w:r>
    </w:fldSimple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204" w:rsidRPr="00BC242E" w:rsidRDefault="00CE41BE" w:rsidP="00BC242E">
    <w:pPr>
      <w:pStyle w:val="Header"/>
      <w:jc w:val="right"/>
    </w:pPr>
    <w:fldSimple w:instr=" TITLE  \* MERGEFORMAT ">
      <w:r w:rsidR="00BF2684">
        <w:t>ECE/TRANS/WP.29/GRE/77</w:t>
      </w:r>
    </w:fldSimple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204" w:rsidRDefault="00D42204" w:rsidP="00BC242E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E1D3BA6"/>
    <w:multiLevelType w:val="hybridMultilevel"/>
    <w:tmpl w:val="1B70FB40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7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8"/>
  </w:num>
  <w:num w:numId="2">
    <w:abstractNumId w:val="12"/>
  </w:num>
  <w:num w:numId="3">
    <w:abstractNumId w:val="10"/>
  </w:num>
  <w:num w:numId="4">
    <w:abstractNumId w:val="19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7"/>
  </w:num>
  <w:num w:numId="17">
    <w:abstractNumId w:val="13"/>
  </w:num>
  <w:num w:numId="18">
    <w:abstractNumId w:val="15"/>
  </w:num>
  <w:num w:numId="19">
    <w:abstractNumId w:val="16"/>
    <w:lvlOverride w:ilvl="0">
      <w:lvl w:ilvl="0" w:tplc="04090001">
        <w:start w:val="1"/>
        <w:numFmt w:val="bullet"/>
        <w:lvlText w:val=""/>
        <w:lvlJc w:val="left"/>
        <w:pPr>
          <w:ind w:left="1494" w:hanging="360"/>
        </w:pPr>
        <w:rPr>
          <w:rFonts w:ascii="Symbol" w:hAnsi="Symbol" w:hint="default"/>
        </w:rPr>
      </w:lvl>
    </w:lvlOverride>
  </w:num>
  <w:num w:numId="20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FA6"/>
    <w:rsid w:val="00012F02"/>
    <w:rsid w:val="00012FA6"/>
    <w:rsid w:val="00033EE1"/>
    <w:rsid w:val="00042B72"/>
    <w:rsid w:val="000558BD"/>
    <w:rsid w:val="0006744A"/>
    <w:rsid w:val="0007060F"/>
    <w:rsid w:val="000B57E7"/>
    <w:rsid w:val="000B619A"/>
    <w:rsid w:val="000B6373"/>
    <w:rsid w:val="000E124E"/>
    <w:rsid w:val="000E4E5B"/>
    <w:rsid w:val="000F09DF"/>
    <w:rsid w:val="000F61B2"/>
    <w:rsid w:val="001075E9"/>
    <w:rsid w:val="001079C3"/>
    <w:rsid w:val="00126480"/>
    <w:rsid w:val="001276E8"/>
    <w:rsid w:val="0014152F"/>
    <w:rsid w:val="001662DE"/>
    <w:rsid w:val="00180183"/>
    <w:rsid w:val="0018024D"/>
    <w:rsid w:val="0018649F"/>
    <w:rsid w:val="00187194"/>
    <w:rsid w:val="00193FC3"/>
    <w:rsid w:val="00196389"/>
    <w:rsid w:val="001B3EF6"/>
    <w:rsid w:val="001C7A89"/>
    <w:rsid w:val="001F770D"/>
    <w:rsid w:val="001F7CED"/>
    <w:rsid w:val="002421E8"/>
    <w:rsid w:val="00253C24"/>
    <w:rsid w:val="00255343"/>
    <w:rsid w:val="0027151D"/>
    <w:rsid w:val="0027390C"/>
    <w:rsid w:val="002A2AE6"/>
    <w:rsid w:val="002A2EFC"/>
    <w:rsid w:val="002B0106"/>
    <w:rsid w:val="002B74B1"/>
    <w:rsid w:val="002C0E18"/>
    <w:rsid w:val="002D5AAC"/>
    <w:rsid w:val="002E30AD"/>
    <w:rsid w:val="002E5067"/>
    <w:rsid w:val="002F405F"/>
    <w:rsid w:val="002F7EEC"/>
    <w:rsid w:val="00301299"/>
    <w:rsid w:val="00305C08"/>
    <w:rsid w:val="00307FB6"/>
    <w:rsid w:val="00317339"/>
    <w:rsid w:val="00322004"/>
    <w:rsid w:val="0033168B"/>
    <w:rsid w:val="003402C2"/>
    <w:rsid w:val="00342FC2"/>
    <w:rsid w:val="00366DA0"/>
    <w:rsid w:val="00376BEB"/>
    <w:rsid w:val="00381C24"/>
    <w:rsid w:val="00387668"/>
    <w:rsid w:val="00387CD4"/>
    <w:rsid w:val="003958D0"/>
    <w:rsid w:val="003A0D43"/>
    <w:rsid w:val="003A48CE"/>
    <w:rsid w:val="003B00E5"/>
    <w:rsid w:val="003C02A3"/>
    <w:rsid w:val="003D04AE"/>
    <w:rsid w:val="003D51E1"/>
    <w:rsid w:val="00407B78"/>
    <w:rsid w:val="004208F7"/>
    <w:rsid w:val="00424203"/>
    <w:rsid w:val="00436637"/>
    <w:rsid w:val="00452493"/>
    <w:rsid w:val="00453318"/>
    <w:rsid w:val="0045333E"/>
    <w:rsid w:val="00454AF2"/>
    <w:rsid w:val="00454E07"/>
    <w:rsid w:val="00472C5C"/>
    <w:rsid w:val="00477955"/>
    <w:rsid w:val="004E05B7"/>
    <w:rsid w:val="004E6C7C"/>
    <w:rsid w:val="0050108D"/>
    <w:rsid w:val="00513081"/>
    <w:rsid w:val="00517901"/>
    <w:rsid w:val="00522023"/>
    <w:rsid w:val="00526683"/>
    <w:rsid w:val="005639C1"/>
    <w:rsid w:val="005709E0"/>
    <w:rsid w:val="00572E19"/>
    <w:rsid w:val="00585AE4"/>
    <w:rsid w:val="005961C8"/>
    <w:rsid w:val="005966F1"/>
    <w:rsid w:val="005A1D43"/>
    <w:rsid w:val="005B7D73"/>
    <w:rsid w:val="005D7914"/>
    <w:rsid w:val="005D7EAB"/>
    <w:rsid w:val="005E2B41"/>
    <w:rsid w:val="005F0B42"/>
    <w:rsid w:val="005F52EF"/>
    <w:rsid w:val="006345DB"/>
    <w:rsid w:val="00640F49"/>
    <w:rsid w:val="006419D8"/>
    <w:rsid w:val="00672DBE"/>
    <w:rsid w:val="00680D03"/>
    <w:rsid w:val="00681A10"/>
    <w:rsid w:val="00684865"/>
    <w:rsid w:val="006A1ED8"/>
    <w:rsid w:val="006C2031"/>
    <w:rsid w:val="006D461A"/>
    <w:rsid w:val="006E3A29"/>
    <w:rsid w:val="006F35EE"/>
    <w:rsid w:val="007021FF"/>
    <w:rsid w:val="00712895"/>
    <w:rsid w:val="00734ACB"/>
    <w:rsid w:val="00757357"/>
    <w:rsid w:val="00785364"/>
    <w:rsid w:val="00790EF3"/>
    <w:rsid w:val="00792497"/>
    <w:rsid w:val="007A2F38"/>
    <w:rsid w:val="00806737"/>
    <w:rsid w:val="00825F8D"/>
    <w:rsid w:val="008317B6"/>
    <w:rsid w:val="00834B71"/>
    <w:rsid w:val="008356B9"/>
    <w:rsid w:val="00843B69"/>
    <w:rsid w:val="0086445C"/>
    <w:rsid w:val="00894693"/>
    <w:rsid w:val="00895DC7"/>
    <w:rsid w:val="008A08D7"/>
    <w:rsid w:val="008A37C8"/>
    <w:rsid w:val="008B6909"/>
    <w:rsid w:val="008D02E1"/>
    <w:rsid w:val="008D53B6"/>
    <w:rsid w:val="008F7609"/>
    <w:rsid w:val="00906890"/>
    <w:rsid w:val="00911BE4"/>
    <w:rsid w:val="009214FB"/>
    <w:rsid w:val="009323FE"/>
    <w:rsid w:val="00951972"/>
    <w:rsid w:val="009608F3"/>
    <w:rsid w:val="009A24AC"/>
    <w:rsid w:val="009C6FE6"/>
    <w:rsid w:val="009F4559"/>
    <w:rsid w:val="00A14DA8"/>
    <w:rsid w:val="00A312BC"/>
    <w:rsid w:val="00A63931"/>
    <w:rsid w:val="00A84021"/>
    <w:rsid w:val="00A84D35"/>
    <w:rsid w:val="00A917B3"/>
    <w:rsid w:val="00AA2002"/>
    <w:rsid w:val="00AB4B51"/>
    <w:rsid w:val="00AD2720"/>
    <w:rsid w:val="00B10CC7"/>
    <w:rsid w:val="00B355E8"/>
    <w:rsid w:val="00B36DF7"/>
    <w:rsid w:val="00B47E53"/>
    <w:rsid w:val="00B539E7"/>
    <w:rsid w:val="00B618AE"/>
    <w:rsid w:val="00B62458"/>
    <w:rsid w:val="00B77580"/>
    <w:rsid w:val="00BA672C"/>
    <w:rsid w:val="00BB1E3F"/>
    <w:rsid w:val="00BC18B2"/>
    <w:rsid w:val="00BC242E"/>
    <w:rsid w:val="00BD33EE"/>
    <w:rsid w:val="00BD7256"/>
    <w:rsid w:val="00BE1CC7"/>
    <w:rsid w:val="00BF03AB"/>
    <w:rsid w:val="00BF2684"/>
    <w:rsid w:val="00BF3896"/>
    <w:rsid w:val="00BF5056"/>
    <w:rsid w:val="00C106D6"/>
    <w:rsid w:val="00C119AE"/>
    <w:rsid w:val="00C60F0C"/>
    <w:rsid w:val="00C73D92"/>
    <w:rsid w:val="00C805C9"/>
    <w:rsid w:val="00C92939"/>
    <w:rsid w:val="00CA1679"/>
    <w:rsid w:val="00CB151C"/>
    <w:rsid w:val="00CD2153"/>
    <w:rsid w:val="00CE41BE"/>
    <w:rsid w:val="00CE5A1A"/>
    <w:rsid w:val="00CF55F6"/>
    <w:rsid w:val="00D11D08"/>
    <w:rsid w:val="00D21B10"/>
    <w:rsid w:val="00D33D63"/>
    <w:rsid w:val="00D42204"/>
    <w:rsid w:val="00D5253A"/>
    <w:rsid w:val="00D90028"/>
    <w:rsid w:val="00D90138"/>
    <w:rsid w:val="00DB5770"/>
    <w:rsid w:val="00DD78D1"/>
    <w:rsid w:val="00DE32CD"/>
    <w:rsid w:val="00DF5767"/>
    <w:rsid w:val="00DF71B9"/>
    <w:rsid w:val="00E0485B"/>
    <w:rsid w:val="00E12C5F"/>
    <w:rsid w:val="00E51021"/>
    <w:rsid w:val="00E73F76"/>
    <w:rsid w:val="00EA2C9F"/>
    <w:rsid w:val="00EA420E"/>
    <w:rsid w:val="00EB5EA8"/>
    <w:rsid w:val="00EC4A8C"/>
    <w:rsid w:val="00ED0BDA"/>
    <w:rsid w:val="00EE142A"/>
    <w:rsid w:val="00EF1360"/>
    <w:rsid w:val="00EF3220"/>
    <w:rsid w:val="00F02761"/>
    <w:rsid w:val="00F2523A"/>
    <w:rsid w:val="00F43903"/>
    <w:rsid w:val="00F5541B"/>
    <w:rsid w:val="00F70154"/>
    <w:rsid w:val="00F7068C"/>
    <w:rsid w:val="00F94155"/>
    <w:rsid w:val="00F9783F"/>
    <w:rsid w:val="00FD2EF7"/>
    <w:rsid w:val="00FD5DCA"/>
    <w:rsid w:val="00FE1EBB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,3_G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,3_G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,5_G,PP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,5_G Char,PP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,3_G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,3_G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,5_G,PP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,5_G Char,PP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51398B-154D-4960-82E0-45A5302AE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9623</Words>
  <Characters>54855</Characters>
  <Application>Microsoft Office Word</Application>
  <DocSecurity>4</DocSecurity>
  <Lines>457</Lines>
  <Paragraphs>128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ECE/TRANS/WP.29/GRE/77</vt:lpstr>
      <vt:lpstr>ECE/TRANS/WP.29/GRE/77</vt:lpstr>
      <vt:lpstr>A/</vt:lpstr>
    </vt:vector>
  </TitlesOfParts>
  <Company>DCM</Company>
  <LinksUpToDate>false</LinksUpToDate>
  <CharactersWithSpaces>64350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ECE/TRANS/WP.29/GRE/77</dc:title>
  <dc:creator>SHUVALOVA Natalia</dc:creator>
  <cp:lastModifiedBy>Benedicte Boudol</cp:lastModifiedBy>
  <cp:revision>2</cp:revision>
  <cp:lastPrinted>2017-06-09T06:25:00Z</cp:lastPrinted>
  <dcterms:created xsi:type="dcterms:W3CDTF">2017-06-09T12:22:00Z</dcterms:created>
  <dcterms:modified xsi:type="dcterms:W3CDTF">2017-06-09T12:22:00Z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