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050E4" w14:textId="1B8DC006" w:rsidR="00585059" w:rsidRPr="009E5F77" w:rsidRDefault="00585059" w:rsidP="00585059">
      <w:pPr>
        <w:pStyle w:val="HChG"/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 w:rsidRPr="009E5F77">
        <w:rPr>
          <w:lang w:val="en-US"/>
        </w:rPr>
        <w:t>I.</w:t>
      </w:r>
      <w:r w:rsidRPr="009E5F77">
        <w:rPr>
          <w:b w:val="0"/>
          <w:lang w:val="en-US"/>
        </w:rPr>
        <w:tab/>
      </w:r>
      <w:r w:rsidRPr="009E5F77">
        <w:rPr>
          <w:lang w:val="en-US"/>
        </w:rPr>
        <w:t>Proposal</w:t>
      </w:r>
    </w:p>
    <w:p w14:paraId="7E7C0A06" w14:textId="58BF6F16" w:rsidR="00A504A1" w:rsidRPr="004F2217" w:rsidRDefault="00CB5299" w:rsidP="0026345C">
      <w:pPr>
        <w:pStyle w:val="HChG"/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Supplement </w:t>
      </w:r>
      <w:r w:rsidR="00C9771B" w:rsidRPr="00C9771B">
        <w:rPr>
          <w:sz w:val="24"/>
          <w:szCs w:val="24"/>
          <w:highlight w:val="yellow"/>
        </w:rPr>
        <w:t>xx</w:t>
      </w:r>
      <w:r w:rsidR="00A504A1" w:rsidRPr="004F2217">
        <w:rPr>
          <w:sz w:val="24"/>
          <w:szCs w:val="24"/>
        </w:rPr>
        <w:t xml:space="preserve"> to the </w:t>
      </w:r>
      <w:r w:rsidR="00A504A1" w:rsidRPr="00A942E5">
        <w:rPr>
          <w:sz w:val="24"/>
          <w:szCs w:val="24"/>
          <w:highlight w:val="yellow"/>
        </w:rPr>
        <w:t>0</w:t>
      </w:r>
      <w:r w:rsidR="007D5B04">
        <w:rPr>
          <w:sz w:val="24"/>
          <w:szCs w:val="24"/>
          <w:highlight w:val="yellow"/>
        </w:rPr>
        <w:t>1</w:t>
      </w:r>
      <w:r w:rsidR="00A504A1" w:rsidRPr="004F2217">
        <w:rPr>
          <w:sz w:val="24"/>
          <w:szCs w:val="24"/>
        </w:rPr>
        <w:t xml:space="preserve"> series of amendments to Regulation No. </w:t>
      </w:r>
      <w:r w:rsidR="009C35C4">
        <w:rPr>
          <w:sz w:val="24"/>
          <w:szCs w:val="24"/>
        </w:rPr>
        <w:t>86</w:t>
      </w:r>
      <w:r w:rsidR="00A504A1" w:rsidRPr="004F2217">
        <w:rPr>
          <w:sz w:val="24"/>
          <w:szCs w:val="24"/>
        </w:rPr>
        <w:t xml:space="preserve"> (</w:t>
      </w:r>
      <w:r w:rsidR="009C35C4">
        <w:rPr>
          <w:sz w:val="24"/>
          <w:szCs w:val="24"/>
        </w:rPr>
        <w:t>A</w:t>
      </w:r>
      <w:r w:rsidR="009C35C4" w:rsidRPr="009C35C4">
        <w:rPr>
          <w:sz w:val="24"/>
          <w:szCs w:val="24"/>
        </w:rPr>
        <w:t>pproval of agricultural or forestry</w:t>
      </w:r>
      <w:r w:rsidR="009C35C4">
        <w:rPr>
          <w:sz w:val="24"/>
          <w:szCs w:val="24"/>
        </w:rPr>
        <w:t xml:space="preserve"> </w:t>
      </w:r>
      <w:r w:rsidR="009C35C4" w:rsidRPr="009C35C4">
        <w:rPr>
          <w:sz w:val="24"/>
          <w:szCs w:val="24"/>
        </w:rPr>
        <w:t xml:space="preserve">vehicles with regard to the </w:t>
      </w:r>
      <w:r w:rsidR="009C35C4">
        <w:rPr>
          <w:sz w:val="24"/>
          <w:szCs w:val="24"/>
        </w:rPr>
        <w:t>i</w:t>
      </w:r>
      <w:r w:rsidR="009C35C4" w:rsidRPr="009C35C4">
        <w:rPr>
          <w:sz w:val="24"/>
          <w:szCs w:val="24"/>
        </w:rPr>
        <w:t>nstallation of lighting and light-signalling</w:t>
      </w:r>
      <w:r w:rsidR="009C35C4">
        <w:rPr>
          <w:sz w:val="24"/>
          <w:szCs w:val="24"/>
        </w:rPr>
        <w:t xml:space="preserve"> </w:t>
      </w:r>
      <w:r w:rsidR="009C35C4" w:rsidRPr="009C35C4">
        <w:rPr>
          <w:sz w:val="24"/>
          <w:szCs w:val="24"/>
        </w:rPr>
        <w:t>devices</w:t>
      </w:r>
      <w:r w:rsidR="009C35C4">
        <w:rPr>
          <w:sz w:val="24"/>
          <w:szCs w:val="24"/>
        </w:rPr>
        <w:t>)</w:t>
      </w:r>
    </w:p>
    <w:p w14:paraId="77998827" w14:textId="77777777" w:rsidR="009308F7" w:rsidRDefault="009308F7" w:rsidP="00A504A1">
      <w:pPr>
        <w:spacing w:after="120"/>
        <w:ind w:left="1134" w:right="1134"/>
        <w:jc w:val="both"/>
        <w:rPr>
          <w:i/>
        </w:rPr>
      </w:pPr>
    </w:p>
    <w:p w14:paraId="37FDF78F" w14:textId="7DF62206" w:rsidR="00A504A1" w:rsidRPr="004F2217" w:rsidRDefault="00CB5299" w:rsidP="00A504A1">
      <w:pPr>
        <w:spacing w:after="120"/>
        <w:ind w:left="1134" w:right="1134"/>
        <w:jc w:val="both"/>
      </w:pPr>
      <w:r>
        <w:rPr>
          <w:i/>
        </w:rPr>
        <w:t xml:space="preserve">Paragraph </w:t>
      </w:r>
      <w:r w:rsidR="009C35C4">
        <w:rPr>
          <w:i/>
        </w:rPr>
        <w:t>2</w:t>
      </w:r>
      <w:r w:rsidR="00015B17">
        <w:rPr>
          <w:i/>
        </w:rPr>
        <w:t>.</w:t>
      </w:r>
      <w:r w:rsidR="009C35C4">
        <w:rPr>
          <w:i/>
        </w:rPr>
        <w:t>20</w:t>
      </w:r>
      <w:r w:rsidR="00015B17">
        <w:rPr>
          <w:i/>
        </w:rPr>
        <w:t>.1.</w:t>
      </w:r>
      <w:r w:rsidR="00A504A1" w:rsidRPr="004F2217">
        <w:rPr>
          <w:i/>
        </w:rPr>
        <w:t xml:space="preserve">, </w:t>
      </w:r>
      <w:r w:rsidR="00A504A1" w:rsidRPr="004F2217">
        <w:t>amend to read:</w:t>
      </w:r>
    </w:p>
    <w:p w14:paraId="66373E03" w14:textId="04F253E0" w:rsidR="00AA4270" w:rsidRPr="009C35C4" w:rsidRDefault="00A504A1" w:rsidP="009C35C4">
      <w:pPr>
        <w:pStyle w:val="SingleTxtG"/>
        <w:ind w:left="2268" w:hanging="1134"/>
      </w:pPr>
      <w:r w:rsidRPr="00015B17">
        <w:t>“</w:t>
      </w:r>
      <w:r w:rsidR="009C35C4">
        <w:t>2.20</w:t>
      </w:r>
      <w:r w:rsidR="00015B17" w:rsidRPr="00015B17">
        <w:t>.1</w:t>
      </w:r>
      <w:r w:rsidR="00CB5299" w:rsidRPr="00015B17">
        <w:t xml:space="preserve">. </w:t>
      </w:r>
      <w:r w:rsidR="00AA4270" w:rsidRPr="00015B17">
        <w:tab/>
      </w:r>
      <w:r w:rsidR="009C35C4" w:rsidRPr="009C35C4">
        <w:t>"</w:t>
      </w:r>
      <w:r w:rsidR="009C35C4" w:rsidRPr="009C35C4">
        <w:rPr>
          <w:i/>
        </w:rPr>
        <w:t>Slow-Moving Vehicles (SMV) rear marking plate</w:t>
      </w:r>
      <w:r w:rsidR="009C35C4" w:rsidRPr="009C35C4">
        <w:t>", a triangular plate with</w:t>
      </w:r>
      <w:r w:rsidR="009C35C4">
        <w:t xml:space="preserve"> </w:t>
      </w:r>
      <w:r w:rsidR="009C35C4" w:rsidRPr="009C35C4">
        <w:t>truncated corners with a characteristic pattern faced with retro-reflective and</w:t>
      </w:r>
      <w:r w:rsidR="009C35C4">
        <w:t xml:space="preserve"> </w:t>
      </w:r>
      <w:r w:rsidR="009C35C4" w:rsidRPr="009C35C4">
        <w:t>fluorescent material or devices (class 1); or with retro-reflective materials or</w:t>
      </w:r>
      <w:r w:rsidR="009C35C4">
        <w:t xml:space="preserve"> </w:t>
      </w:r>
      <w:r w:rsidR="009C35C4" w:rsidRPr="009C35C4">
        <w:t>devices only (class 2) (see Regulation No. 69</w:t>
      </w:r>
      <w:r w:rsidR="009C35C4" w:rsidRPr="009C35C4">
        <w:rPr>
          <w:b/>
        </w:rPr>
        <w:t xml:space="preserve"> or [RRD]</w:t>
      </w:r>
      <w:r w:rsidR="009C35C4" w:rsidRPr="009C35C4">
        <w:t>).</w:t>
      </w:r>
      <w:r w:rsidR="00AA4270" w:rsidRPr="009C35C4">
        <w:t>”</w:t>
      </w:r>
    </w:p>
    <w:p w14:paraId="0A4D6822" w14:textId="4E1D7547" w:rsidR="009C35C4" w:rsidRPr="004F2217" w:rsidRDefault="009C35C4" w:rsidP="009C35C4">
      <w:pPr>
        <w:spacing w:after="120"/>
        <w:ind w:left="1134" w:right="1134"/>
        <w:jc w:val="both"/>
      </w:pPr>
      <w:r>
        <w:rPr>
          <w:i/>
        </w:rPr>
        <w:t>Paragraph 6.1.</w:t>
      </w:r>
      <w:r w:rsidRPr="004F2217">
        <w:rPr>
          <w:i/>
        </w:rPr>
        <w:t xml:space="preserve">, </w:t>
      </w:r>
      <w:r w:rsidRPr="004F2217">
        <w:t>amend to read:</w:t>
      </w:r>
    </w:p>
    <w:p w14:paraId="56A0854A" w14:textId="5F8864BB" w:rsidR="009C35C4" w:rsidRDefault="009C35C4" w:rsidP="009C35C4">
      <w:pPr>
        <w:pStyle w:val="SingleTxtG"/>
        <w:ind w:left="2268" w:hanging="1134"/>
      </w:pPr>
      <w:r w:rsidRPr="00015B17">
        <w:t>“</w:t>
      </w:r>
      <w:r>
        <w:t>6.</w:t>
      </w:r>
      <w:r w:rsidRPr="00015B17">
        <w:t xml:space="preserve">1. </w:t>
      </w:r>
      <w:r w:rsidRPr="00015B17">
        <w:tab/>
      </w:r>
      <w:r w:rsidRPr="009C35C4">
        <w:t>Main-beam headlamps (Regulations Nos. 98, 112</w:t>
      </w:r>
      <w:r w:rsidRPr="007D5B04">
        <w:t xml:space="preserve"> and</w:t>
      </w:r>
      <w:r w:rsidRPr="009C35C4">
        <w:rPr>
          <w:b/>
        </w:rPr>
        <w:t xml:space="preserve"> </w:t>
      </w:r>
      <w:r w:rsidRPr="009C35C4">
        <w:t>113</w:t>
      </w:r>
      <w:r w:rsidRPr="009C35C4">
        <w:rPr>
          <w:b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[RID]</w:t>
      </w:r>
      <w:r w:rsidRPr="009C35C4">
        <w:t>)”</w:t>
      </w:r>
    </w:p>
    <w:p w14:paraId="622B3BA2" w14:textId="04D85F43" w:rsidR="009C35C4" w:rsidRPr="004F2217" w:rsidRDefault="009C35C4" w:rsidP="009C35C4">
      <w:pPr>
        <w:spacing w:after="120"/>
        <w:ind w:left="1134" w:right="1134"/>
        <w:jc w:val="both"/>
      </w:pPr>
      <w:r>
        <w:rPr>
          <w:i/>
        </w:rPr>
        <w:t>Paragraph 6.2.</w:t>
      </w:r>
      <w:r w:rsidRPr="004F2217">
        <w:rPr>
          <w:i/>
        </w:rPr>
        <w:t xml:space="preserve">, </w:t>
      </w:r>
      <w:r w:rsidRPr="004F2217">
        <w:t>amend to read:</w:t>
      </w:r>
    </w:p>
    <w:p w14:paraId="2F9B95FC" w14:textId="0E8D4828" w:rsidR="009C35C4" w:rsidRDefault="009C35C4" w:rsidP="009C35C4">
      <w:pPr>
        <w:pStyle w:val="SingleTxtG"/>
        <w:ind w:left="2268" w:hanging="1134"/>
      </w:pPr>
      <w:r w:rsidRPr="00015B17">
        <w:t>“</w:t>
      </w:r>
      <w:r>
        <w:t>6.2</w:t>
      </w:r>
      <w:r w:rsidRPr="00015B17">
        <w:t xml:space="preserve">. </w:t>
      </w:r>
      <w:r w:rsidRPr="00015B17">
        <w:tab/>
      </w:r>
      <w:r w:rsidRPr="009C35C4">
        <w:rPr>
          <w:lang w:val="en-US" w:eastAsia="fi-FI"/>
        </w:rPr>
        <w:t>Dipped-beam headlamps (R</w:t>
      </w:r>
      <w:r>
        <w:rPr>
          <w:lang w:val="en-US" w:eastAsia="fi-FI"/>
        </w:rPr>
        <w:t>egulations Nos. 98, 112</w:t>
      </w:r>
      <w:r w:rsidRPr="007D5B04">
        <w:t xml:space="preserve"> and</w:t>
      </w:r>
      <w:r w:rsidRPr="009C35C4">
        <w:rPr>
          <w:b/>
        </w:rPr>
        <w:t xml:space="preserve"> </w:t>
      </w:r>
      <w:r w:rsidRPr="009C35C4">
        <w:t>113</w:t>
      </w:r>
      <w:r w:rsidR="007D5B04">
        <w:rPr>
          <w:b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[RID]</w:t>
      </w:r>
      <w:r w:rsidRPr="009C35C4">
        <w:t>)”</w:t>
      </w:r>
    </w:p>
    <w:p w14:paraId="2E621E73" w14:textId="2159B930" w:rsidR="009C35C4" w:rsidRPr="004F2217" w:rsidRDefault="009C35C4" w:rsidP="009C35C4">
      <w:pPr>
        <w:spacing w:after="120"/>
        <w:ind w:left="1134" w:right="1134"/>
        <w:jc w:val="both"/>
      </w:pPr>
      <w:r>
        <w:rPr>
          <w:i/>
        </w:rPr>
        <w:t>Paragraph 6.3.</w:t>
      </w:r>
      <w:r w:rsidRPr="004F2217">
        <w:rPr>
          <w:i/>
        </w:rPr>
        <w:t xml:space="preserve">, </w:t>
      </w:r>
      <w:r w:rsidRPr="004F2217">
        <w:t>amend to read:</w:t>
      </w:r>
    </w:p>
    <w:p w14:paraId="0536DBDA" w14:textId="5D15E16C" w:rsidR="009C35C4" w:rsidRDefault="009C35C4" w:rsidP="009C35C4">
      <w:pPr>
        <w:pStyle w:val="SingleTxtG"/>
        <w:ind w:left="2268" w:hanging="1134"/>
      </w:pPr>
      <w:r w:rsidRPr="00015B17">
        <w:t>“</w:t>
      </w:r>
      <w:r>
        <w:t>6.3</w:t>
      </w:r>
      <w:r w:rsidRPr="00015B17">
        <w:t xml:space="preserve">. </w:t>
      </w:r>
      <w:r w:rsidRPr="00015B17">
        <w:tab/>
      </w:r>
      <w:r w:rsidRPr="009C35C4">
        <w:rPr>
          <w:lang w:val="en-US" w:eastAsia="fi-FI"/>
        </w:rPr>
        <w:t>Fro</w:t>
      </w:r>
      <w:r>
        <w:rPr>
          <w:lang w:val="en-US" w:eastAsia="fi-FI"/>
        </w:rPr>
        <w:t xml:space="preserve">nt fog lamps (Regulation No. 19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[RID]</w:t>
      </w:r>
      <w:r w:rsidRPr="009C35C4">
        <w:t>)”</w:t>
      </w:r>
    </w:p>
    <w:p w14:paraId="1648EE1C" w14:textId="64865259" w:rsidR="009C35C4" w:rsidRPr="004F2217" w:rsidRDefault="009C35C4" w:rsidP="009C35C4">
      <w:pPr>
        <w:spacing w:after="120"/>
        <w:ind w:left="1134" w:right="1134"/>
        <w:jc w:val="both"/>
      </w:pPr>
      <w:r>
        <w:rPr>
          <w:i/>
        </w:rPr>
        <w:t>Paragraph 6.4.</w:t>
      </w:r>
      <w:r w:rsidRPr="004F2217">
        <w:rPr>
          <w:i/>
        </w:rPr>
        <w:t xml:space="preserve">, </w:t>
      </w:r>
      <w:r w:rsidRPr="004F2217">
        <w:t>amend to read:</w:t>
      </w:r>
    </w:p>
    <w:p w14:paraId="06E36E89" w14:textId="2B75E399" w:rsidR="009C35C4" w:rsidRDefault="009C35C4" w:rsidP="009C35C4">
      <w:pPr>
        <w:pStyle w:val="SingleTxtG"/>
        <w:ind w:left="2268" w:hanging="1134"/>
      </w:pPr>
      <w:r w:rsidRPr="00015B17">
        <w:t>“</w:t>
      </w:r>
      <w:r>
        <w:t>6.4</w:t>
      </w:r>
      <w:r w:rsidRPr="00015B17">
        <w:t xml:space="preserve">. </w:t>
      </w:r>
      <w:r w:rsidRPr="00015B17">
        <w:tab/>
      </w:r>
      <w:r w:rsidRPr="009C35C4">
        <w:rPr>
          <w:lang w:val="en-US" w:eastAsia="fi-FI"/>
        </w:rPr>
        <w:t>Reversing lamp(s) (Regulation No. 23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7A7A1ECE" w14:textId="00CC1A04" w:rsidR="00A40103" w:rsidRPr="004F2217" w:rsidRDefault="00A40103" w:rsidP="00A40103">
      <w:pPr>
        <w:spacing w:after="120"/>
        <w:ind w:left="1134" w:right="1134"/>
        <w:jc w:val="both"/>
      </w:pPr>
      <w:r>
        <w:rPr>
          <w:i/>
        </w:rPr>
        <w:t>Paragraph 6.5.</w:t>
      </w:r>
      <w:r w:rsidRPr="004F2217">
        <w:rPr>
          <w:i/>
        </w:rPr>
        <w:t xml:space="preserve">, </w:t>
      </w:r>
      <w:r w:rsidRPr="004F2217">
        <w:t>amend to read:</w:t>
      </w:r>
    </w:p>
    <w:p w14:paraId="39FCCC28" w14:textId="64A9259E" w:rsidR="00A40103" w:rsidRDefault="00A40103" w:rsidP="00A40103">
      <w:pPr>
        <w:pStyle w:val="SingleTxtG"/>
        <w:ind w:left="2268" w:hanging="1134"/>
      </w:pPr>
      <w:r w:rsidRPr="00015B17">
        <w:t>“</w:t>
      </w:r>
      <w:r>
        <w:t>6.5</w:t>
      </w:r>
      <w:r w:rsidRPr="00015B17">
        <w:t xml:space="preserve">. </w:t>
      </w:r>
      <w:r w:rsidRPr="00015B17">
        <w:tab/>
      </w:r>
      <w:r w:rsidR="00CF7FB1" w:rsidRPr="00CF7FB1">
        <w:rPr>
          <w:lang w:val="en-US" w:eastAsia="fi-FI"/>
        </w:rPr>
        <w:t>Direction-indicator lamps (Regulation No. 6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3D80BE53" w14:textId="2D56A1CD" w:rsidR="00A40103" w:rsidRPr="004F2217" w:rsidRDefault="00A40103" w:rsidP="00A40103">
      <w:pPr>
        <w:spacing w:after="120"/>
        <w:ind w:left="1134" w:right="1134"/>
        <w:jc w:val="both"/>
      </w:pPr>
      <w:proofErr w:type="gramStart"/>
      <w:r>
        <w:rPr>
          <w:i/>
        </w:rPr>
        <w:t>Paragraph 6.</w:t>
      </w:r>
      <w:r w:rsidR="00CF7FB1">
        <w:rPr>
          <w:i/>
        </w:rPr>
        <w:t>7</w:t>
      </w:r>
      <w:r>
        <w:rPr>
          <w:i/>
        </w:rPr>
        <w:t>.</w:t>
      </w:r>
      <w:proofErr w:type="gramEnd"/>
      <w:r w:rsidR="00CF7FB1">
        <w:rPr>
          <w:i/>
        </w:rPr>
        <w:t xml:space="preserve"> </w:t>
      </w:r>
      <w:proofErr w:type="gramStart"/>
      <w:r w:rsidR="00CF7FB1">
        <w:rPr>
          <w:i/>
        </w:rPr>
        <w:t>and</w:t>
      </w:r>
      <w:proofErr w:type="gramEnd"/>
      <w:r w:rsidR="00CF7FB1">
        <w:rPr>
          <w:i/>
        </w:rPr>
        <w:t xml:space="preserve"> 6.7.1.</w:t>
      </w:r>
      <w:r w:rsidRPr="004F2217">
        <w:rPr>
          <w:i/>
        </w:rPr>
        <w:t xml:space="preserve">, </w:t>
      </w:r>
      <w:r w:rsidRPr="004F2217">
        <w:t>amend to read:</w:t>
      </w:r>
    </w:p>
    <w:p w14:paraId="0F123A1E" w14:textId="481511B7" w:rsidR="00A40103" w:rsidRDefault="00A40103" w:rsidP="00A40103">
      <w:pPr>
        <w:pStyle w:val="SingleTxtG"/>
        <w:ind w:left="2268" w:hanging="1134"/>
      </w:pPr>
      <w:r w:rsidRPr="00015B17">
        <w:t>“</w:t>
      </w:r>
      <w:r>
        <w:t>6.</w:t>
      </w:r>
      <w:r w:rsidR="00CF7FB1">
        <w:t>7</w:t>
      </w:r>
      <w:r w:rsidRPr="00015B17">
        <w:t xml:space="preserve">. </w:t>
      </w:r>
      <w:r w:rsidRPr="00015B17">
        <w:tab/>
      </w:r>
      <w:r w:rsidR="00CF7FB1" w:rsidRPr="00CF7FB1">
        <w:rPr>
          <w:lang w:val="en-US" w:eastAsia="fi-FI"/>
        </w:rPr>
        <w:t>Stop lamps (Regulation No. 7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</w:t>
      </w:r>
    </w:p>
    <w:p w14:paraId="1C474415" w14:textId="6B5561DC" w:rsidR="00CF7FB1" w:rsidRPr="00CF7FB1" w:rsidRDefault="00CF7FB1" w:rsidP="00CF7FB1">
      <w:pPr>
        <w:spacing w:after="120"/>
        <w:ind w:left="2268" w:right="1134" w:hanging="1134"/>
        <w:jc w:val="both"/>
        <w:rPr>
          <w:lang w:val="en-US" w:eastAsia="fi-FI"/>
        </w:rPr>
      </w:pPr>
      <w:r w:rsidRPr="00CF7FB1">
        <w:rPr>
          <w:lang w:val="en-US" w:eastAsia="fi-FI"/>
        </w:rPr>
        <w:t xml:space="preserve">6.7.1. </w:t>
      </w:r>
      <w:r>
        <w:rPr>
          <w:lang w:val="en-US" w:eastAsia="fi-FI"/>
        </w:rPr>
        <w:tab/>
      </w:r>
      <w:r w:rsidRPr="00CF7FB1">
        <w:rPr>
          <w:lang w:val="en-US" w:eastAsia="fi-FI"/>
        </w:rPr>
        <w:t>Presence: S1 or S2 of devices as described in</w:t>
      </w:r>
      <w:r>
        <w:rPr>
          <w:lang w:val="en-US" w:eastAsia="fi-FI"/>
        </w:rPr>
        <w:t xml:space="preserve"> </w:t>
      </w:r>
      <w:r w:rsidRPr="00CF7FB1">
        <w:rPr>
          <w:lang w:val="en-US" w:eastAsia="fi-FI"/>
        </w:rPr>
        <w:t>Regulation No. 7</w:t>
      </w:r>
      <w:r w:rsidRPr="00CF7FB1">
        <w:rPr>
          <w:b/>
          <w:lang w:val="en-US" w:eastAsia="fi-FI"/>
        </w:rPr>
        <w:t xml:space="preserve"> or [LSD]</w:t>
      </w:r>
      <w:r w:rsidRPr="00CF7FB1">
        <w:rPr>
          <w:lang w:val="en-US" w:eastAsia="fi-FI"/>
        </w:rPr>
        <w:t>: Mandatory on all vehicles.</w:t>
      </w:r>
    </w:p>
    <w:p w14:paraId="1469DA20" w14:textId="4B9FD78F" w:rsidR="00CF7FB1" w:rsidRPr="00CF7FB1" w:rsidRDefault="00CF7FB1" w:rsidP="00CF7FB1">
      <w:pPr>
        <w:spacing w:after="120"/>
        <w:ind w:left="2268" w:right="1134"/>
        <w:jc w:val="both"/>
        <w:rPr>
          <w:lang w:val="en-US" w:eastAsia="fi-FI"/>
        </w:rPr>
      </w:pPr>
      <w:r w:rsidRPr="00CF7FB1">
        <w:rPr>
          <w:lang w:val="en-US" w:eastAsia="fi-FI"/>
        </w:rPr>
        <w:t>S3 or S4 of devices as described in</w:t>
      </w:r>
      <w:r>
        <w:rPr>
          <w:lang w:val="en-US" w:eastAsia="fi-FI"/>
        </w:rPr>
        <w:t xml:space="preserve"> </w:t>
      </w:r>
      <w:r w:rsidRPr="00CF7FB1">
        <w:rPr>
          <w:lang w:val="en-US" w:eastAsia="fi-FI"/>
        </w:rPr>
        <w:t>Regulation No. 7</w:t>
      </w:r>
      <w:r>
        <w:rPr>
          <w:lang w:val="en-US" w:eastAsia="fi-FI"/>
        </w:rPr>
        <w:t xml:space="preserve"> </w:t>
      </w:r>
      <w:r w:rsidRPr="00CF7FB1">
        <w:rPr>
          <w:b/>
          <w:lang w:val="en-US" w:eastAsia="fi-FI"/>
        </w:rPr>
        <w:t>or</w:t>
      </w:r>
      <w:r w:rsidR="00C9771B">
        <w:rPr>
          <w:b/>
          <w:lang w:val="en-US" w:eastAsia="fi-FI"/>
        </w:rPr>
        <w:t xml:space="preserve"> </w:t>
      </w:r>
      <w:r w:rsidRPr="00CF7FB1">
        <w:rPr>
          <w:b/>
          <w:lang w:val="en-US" w:eastAsia="fi-FI"/>
        </w:rPr>
        <w:t>[LSD]</w:t>
      </w:r>
      <w:r w:rsidRPr="00CF7FB1">
        <w:rPr>
          <w:lang w:val="en-US" w:eastAsia="fi-FI"/>
        </w:rPr>
        <w:t>: Optional on all vehicles.</w:t>
      </w:r>
      <w:r w:rsidRPr="009C35C4">
        <w:t>”</w:t>
      </w:r>
    </w:p>
    <w:p w14:paraId="0BC12752" w14:textId="03D5B62E" w:rsidR="00A40103" w:rsidRPr="004F2217" w:rsidRDefault="00A40103" w:rsidP="00A40103">
      <w:pPr>
        <w:spacing w:after="120"/>
        <w:ind w:left="1134" w:right="1134"/>
        <w:jc w:val="both"/>
      </w:pPr>
      <w:r>
        <w:rPr>
          <w:i/>
        </w:rPr>
        <w:t>Paragraph 6.</w:t>
      </w:r>
      <w:r w:rsidR="00CF7FB1">
        <w:rPr>
          <w:i/>
        </w:rPr>
        <w:t>8</w:t>
      </w:r>
      <w:r>
        <w:rPr>
          <w:i/>
        </w:rPr>
        <w:t>.</w:t>
      </w:r>
      <w:r w:rsidRPr="004F2217">
        <w:rPr>
          <w:i/>
        </w:rPr>
        <w:t xml:space="preserve">, </w:t>
      </w:r>
      <w:r w:rsidRPr="004F2217">
        <w:t>amend to read:</w:t>
      </w:r>
    </w:p>
    <w:p w14:paraId="0C0E3A7A" w14:textId="4E1D5AEC" w:rsidR="00A40103" w:rsidRDefault="00A40103" w:rsidP="00A40103">
      <w:pPr>
        <w:pStyle w:val="SingleTxtG"/>
        <w:ind w:left="2268" w:hanging="1134"/>
      </w:pPr>
      <w:r w:rsidRPr="00015B17">
        <w:t>“</w:t>
      </w:r>
      <w:r>
        <w:t>6.</w:t>
      </w:r>
      <w:r w:rsidR="00CF7FB1">
        <w:t>8</w:t>
      </w:r>
      <w:r w:rsidRPr="00015B17">
        <w:t xml:space="preserve">. </w:t>
      </w:r>
      <w:r w:rsidRPr="00015B17">
        <w:tab/>
      </w:r>
      <w:r w:rsidR="00CF7FB1" w:rsidRPr="00CF7FB1">
        <w:rPr>
          <w:lang w:val="en-US" w:eastAsia="fi-FI"/>
        </w:rPr>
        <w:t>Front position lamps (Regulation No. 7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47496FC4" w14:textId="0CB86BE1" w:rsidR="00AF4A18" w:rsidRPr="004F2217" w:rsidRDefault="00AF4A18" w:rsidP="00AF4A18">
      <w:pPr>
        <w:spacing w:after="120"/>
        <w:ind w:left="1134" w:right="1134"/>
        <w:jc w:val="both"/>
      </w:pPr>
      <w:r>
        <w:rPr>
          <w:i/>
        </w:rPr>
        <w:t>Paragraph 6.</w:t>
      </w:r>
      <w:r w:rsidR="00DD37F2">
        <w:rPr>
          <w:i/>
        </w:rPr>
        <w:t>9</w:t>
      </w:r>
      <w:r>
        <w:rPr>
          <w:i/>
        </w:rPr>
        <w:t>.</w:t>
      </w:r>
      <w:r w:rsidRPr="004F2217">
        <w:rPr>
          <w:i/>
        </w:rPr>
        <w:t xml:space="preserve">, </w:t>
      </w:r>
      <w:r w:rsidRPr="004F2217">
        <w:t>amend to read:</w:t>
      </w:r>
    </w:p>
    <w:p w14:paraId="67518D8A" w14:textId="5735DEA2" w:rsidR="00AF4A18" w:rsidRDefault="00AF4A18" w:rsidP="00AF4A18">
      <w:pPr>
        <w:pStyle w:val="SingleTxtG"/>
        <w:ind w:left="2268" w:hanging="1134"/>
      </w:pPr>
      <w:r w:rsidRPr="00015B17">
        <w:t>“</w:t>
      </w:r>
      <w:r>
        <w:t>6.</w:t>
      </w:r>
      <w:r w:rsidR="00DD37F2">
        <w:t>9</w:t>
      </w:r>
      <w:r w:rsidRPr="00015B17">
        <w:t xml:space="preserve">. </w:t>
      </w:r>
      <w:r w:rsidRPr="00015B17">
        <w:tab/>
      </w:r>
      <w:r w:rsidR="00DD37F2" w:rsidRPr="00DD37F2">
        <w:rPr>
          <w:lang w:val="en-US" w:eastAsia="fi-FI"/>
        </w:rPr>
        <w:t>Rear position lamps (Regulation No. 7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58FB378E" w14:textId="7AEFFF8E" w:rsidR="00AF4A18" w:rsidRPr="004F2217" w:rsidRDefault="00AF4A18" w:rsidP="00AF4A18">
      <w:pPr>
        <w:spacing w:after="120"/>
        <w:ind w:left="1134" w:right="1134"/>
        <w:jc w:val="both"/>
      </w:pPr>
      <w:r>
        <w:rPr>
          <w:i/>
        </w:rPr>
        <w:t>Paragraph 6.</w:t>
      </w:r>
      <w:r w:rsidR="00DD37F2">
        <w:rPr>
          <w:i/>
        </w:rPr>
        <w:t>10</w:t>
      </w:r>
      <w:r>
        <w:rPr>
          <w:i/>
        </w:rPr>
        <w:t>.</w:t>
      </w:r>
      <w:r w:rsidRPr="004F2217">
        <w:rPr>
          <w:i/>
        </w:rPr>
        <w:t xml:space="preserve">, </w:t>
      </w:r>
      <w:r w:rsidRPr="004F2217">
        <w:t>amend to read:</w:t>
      </w:r>
    </w:p>
    <w:p w14:paraId="388F2079" w14:textId="48AAD0F5" w:rsidR="00AF4A18" w:rsidRDefault="00AF4A18" w:rsidP="00AF4A18">
      <w:pPr>
        <w:pStyle w:val="SingleTxtG"/>
        <w:ind w:left="2268" w:hanging="1134"/>
      </w:pPr>
      <w:r w:rsidRPr="00015B17">
        <w:t>“</w:t>
      </w:r>
      <w:r>
        <w:t>6.</w:t>
      </w:r>
      <w:r w:rsidR="00DD37F2">
        <w:t>10</w:t>
      </w:r>
      <w:r w:rsidRPr="00015B17">
        <w:t xml:space="preserve">. </w:t>
      </w:r>
      <w:r w:rsidRPr="00015B17">
        <w:tab/>
      </w:r>
      <w:r w:rsidR="00DD37F2" w:rsidRPr="00DD37F2">
        <w:rPr>
          <w:lang w:val="en-US" w:eastAsia="fi-FI"/>
        </w:rPr>
        <w:t>Rear fog-lamps (Regulation No. 38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3C1C4CA0" w14:textId="43E63622" w:rsidR="00AF4A18" w:rsidRPr="004F2217" w:rsidRDefault="00AF4A18" w:rsidP="00AF4A18">
      <w:pPr>
        <w:spacing w:after="120"/>
        <w:ind w:left="1134" w:right="1134"/>
        <w:jc w:val="both"/>
      </w:pPr>
      <w:r>
        <w:rPr>
          <w:i/>
        </w:rPr>
        <w:t>Paragraph 6.</w:t>
      </w:r>
      <w:r w:rsidR="00DD37F2">
        <w:rPr>
          <w:i/>
        </w:rPr>
        <w:t>11.</w:t>
      </w:r>
      <w:r w:rsidRPr="004F2217">
        <w:rPr>
          <w:i/>
        </w:rPr>
        <w:t xml:space="preserve">, </w:t>
      </w:r>
      <w:r w:rsidRPr="004F2217">
        <w:t>amend to read:</w:t>
      </w:r>
    </w:p>
    <w:p w14:paraId="24B45DFC" w14:textId="5C1F1441" w:rsidR="00AF4A18" w:rsidRDefault="00AF4A18" w:rsidP="00AF4A18">
      <w:pPr>
        <w:pStyle w:val="SingleTxtG"/>
        <w:ind w:left="2268" w:hanging="1134"/>
      </w:pPr>
      <w:r w:rsidRPr="00015B17">
        <w:t>“</w:t>
      </w:r>
      <w:r>
        <w:t>6.</w:t>
      </w:r>
      <w:r w:rsidR="00DD37F2">
        <w:t>11</w:t>
      </w:r>
      <w:r w:rsidRPr="00015B17">
        <w:t xml:space="preserve">. </w:t>
      </w:r>
      <w:r w:rsidRPr="00015B17">
        <w:tab/>
      </w:r>
      <w:r w:rsidR="00DD37F2" w:rsidRPr="00DD37F2">
        <w:rPr>
          <w:lang w:val="en-US" w:eastAsia="fi-FI"/>
        </w:rPr>
        <w:t>Parking lamps (Regulations Nos. 77 or 7</w:t>
      </w:r>
      <w:r w:rsidRPr="00DD37F2">
        <w:rPr>
          <w:b/>
          <w:lang w:val="en-US" w:eastAsia="fi-FI"/>
        </w:rPr>
        <w:t xml:space="preserve"> </w:t>
      </w:r>
      <w:r w:rsidR="00DD37F2" w:rsidRPr="00DD37F2">
        <w:rPr>
          <w:b/>
          <w:lang w:val="en-US" w:eastAsia="fi-FI"/>
        </w:rPr>
        <w:t>or</w:t>
      </w:r>
      <w:r w:rsidRPr="009C35C4">
        <w:rPr>
          <w:b/>
        </w:rPr>
        <w:t xml:space="preserve"> 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6680F62E" w14:textId="1BADBB8B" w:rsidR="00AF4A18" w:rsidRPr="004F2217" w:rsidRDefault="00AF4A18" w:rsidP="00AF4A18">
      <w:pPr>
        <w:spacing w:after="120"/>
        <w:ind w:left="1134" w:right="1134"/>
        <w:jc w:val="both"/>
      </w:pPr>
      <w:r>
        <w:rPr>
          <w:i/>
        </w:rPr>
        <w:lastRenderedPageBreak/>
        <w:t>Paragraph 6.</w:t>
      </w:r>
      <w:r w:rsidR="00DD37F2">
        <w:rPr>
          <w:i/>
        </w:rPr>
        <w:t>12</w:t>
      </w:r>
      <w:r>
        <w:rPr>
          <w:i/>
        </w:rPr>
        <w:t>.</w:t>
      </w:r>
      <w:r w:rsidRPr="004F2217">
        <w:rPr>
          <w:i/>
        </w:rPr>
        <w:t xml:space="preserve">, </w:t>
      </w:r>
      <w:r w:rsidRPr="004F2217">
        <w:t>amend to read:</w:t>
      </w:r>
    </w:p>
    <w:p w14:paraId="7C713AAB" w14:textId="2F58E5DE" w:rsidR="00AF4A18" w:rsidRDefault="00AF4A18" w:rsidP="00AF4A18">
      <w:pPr>
        <w:pStyle w:val="SingleTxtG"/>
        <w:ind w:left="2268" w:hanging="1134"/>
      </w:pPr>
      <w:r w:rsidRPr="00015B17">
        <w:t>“</w:t>
      </w:r>
      <w:r>
        <w:t>6.</w:t>
      </w:r>
      <w:r w:rsidR="00DD37F2">
        <w:t>12</w:t>
      </w:r>
      <w:r w:rsidRPr="00015B17">
        <w:t xml:space="preserve">. </w:t>
      </w:r>
      <w:r w:rsidRPr="00015B17">
        <w:tab/>
      </w:r>
      <w:r w:rsidR="00DD37F2" w:rsidRPr="00DD37F2">
        <w:rPr>
          <w:lang w:val="en-US" w:eastAsia="fi-FI"/>
        </w:rPr>
        <w:t>End-outline marker lamps (Regulation No. 7</w:t>
      </w:r>
      <w:r w:rsidR="00DD37F2"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78E3EC01" w14:textId="3F58BAE6" w:rsidR="00AF4A18" w:rsidRPr="004F2217" w:rsidRDefault="00AF4A18" w:rsidP="00AF4A18">
      <w:pPr>
        <w:spacing w:after="120"/>
        <w:ind w:left="1134" w:right="1134"/>
        <w:jc w:val="both"/>
      </w:pPr>
      <w:r>
        <w:rPr>
          <w:i/>
        </w:rPr>
        <w:t>Paragraph 6.</w:t>
      </w:r>
      <w:r w:rsidR="00DD37F2">
        <w:rPr>
          <w:i/>
        </w:rPr>
        <w:t>14</w:t>
      </w:r>
      <w:r>
        <w:rPr>
          <w:i/>
        </w:rPr>
        <w:t>.</w:t>
      </w:r>
      <w:r w:rsidRPr="004F2217">
        <w:rPr>
          <w:i/>
        </w:rPr>
        <w:t xml:space="preserve">, </w:t>
      </w:r>
      <w:r w:rsidRPr="004F2217">
        <w:t>amend to read:</w:t>
      </w:r>
    </w:p>
    <w:p w14:paraId="5AE1DF0B" w14:textId="007750D7" w:rsidR="00AF4A18" w:rsidRDefault="00AF4A18" w:rsidP="00AF4A18">
      <w:pPr>
        <w:pStyle w:val="SingleTxtG"/>
        <w:ind w:left="2268" w:hanging="1134"/>
      </w:pPr>
      <w:r w:rsidRPr="00015B17">
        <w:t>“</w:t>
      </w:r>
      <w:r>
        <w:t>6.</w:t>
      </w:r>
      <w:r w:rsidR="00DD37F2">
        <w:t>14</w:t>
      </w:r>
      <w:r w:rsidRPr="00015B17">
        <w:t xml:space="preserve">. </w:t>
      </w:r>
      <w:r w:rsidRPr="00015B17">
        <w:tab/>
      </w:r>
      <w:r w:rsidR="00DD37F2" w:rsidRPr="00DD37F2">
        <w:rPr>
          <w:lang w:val="en-US" w:eastAsia="fi-FI"/>
        </w:rPr>
        <w:t>Rear retro-reflectors, non-triangular (Regulation No. 3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 w:rsidR="00DD37F2">
        <w:rPr>
          <w:b/>
        </w:rPr>
        <w:t>RRD</w:t>
      </w:r>
      <w:r w:rsidRPr="009C35C4">
        <w:rPr>
          <w:b/>
        </w:rPr>
        <w:t>]</w:t>
      </w:r>
      <w:r w:rsidRPr="009C35C4">
        <w:t>)”</w:t>
      </w:r>
    </w:p>
    <w:p w14:paraId="4BB5228A" w14:textId="559BFE8A" w:rsidR="007D5B04" w:rsidRPr="004F2217" w:rsidRDefault="007D5B04" w:rsidP="007D5B04">
      <w:pPr>
        <w:spacing w:after="120"/>
        <w:ind w:left="1134" w:right="1134"/>
        <w:jc w:val="both"/>
      </w:pPr>
      <w:r>
        <w:rPr>
          <w:i/>
        </w:rPr>
        <w:t>Paragraph 6.14.2.</w:t>
      </w:r>
      <w:r w:rsidRPr="004F2217">
        <w:rPr>
          <w:i/>
        </w:rPr>
        <w:t xml:space="preserve">, </w:t>
      </w:r>
      <w:r w:rsidRPr="004F2217">
        <w:t>amend to read:</w:t>
      </w:r>
    </w:p>
    <w:p w14:paraId="1C3637A4" w14:textId="3D914BE9" w:rsidR="007D5B04" w:rsidRPr="007D5B04" w:rsidRDefault="007D5B04" w:rsidP="007D5B04">
      <w:pPr>
        <w:pStyle w:val="SingleTxtG"/>
        <w:ind w:left="2268" w:hanging="1134"/>
        <w:rPr>
          <w:lang w:val="en-US" w:eastAsia="fi-FI"/>
        </w:rPr>
      </w:pPr>
      <w:r w:rsidRPr="00015B17">
        <w:t>“</w:t>
      </w:r>
      <w:r>
        <w:t>6.14</w:t>
      </w:r>
      <w:r w:rsidRPr="00015B17">
        <w:t>.</w:t>
      </w:r>
      <w:r>
        <w:t>2.</w:t>
      </w:r>
      <w:r w:rsidRPr="00015B17">
        <w:t xml:space="preserve"> </w:t>
      </w:r>
      <w:r w:rsidRPr="00015B17">
        <w:tab/>
      </w:r>
      <w:r w:rsidRPr="007D5B04">
        <w:rPr>
          <w:lang w:val="en-US" w:eastAsia="fi-FI"/>
        </w:rPr>
        <w:t>Number: Two or four (see paragraph 6.14.5.1.).</w:t>
      </w:r>
    </w:p>
    <w:p w14:paraId="7EFAEA5C" w14:textId="4967B10D" w:rsidR="007D5B04" w:rsidRDefault="007D5B04" w:rsidP="007D5B04">
      <w:pPr>
        <w:pStyle w:val="SingleTxtG"/>
        <w:ind w:left="2268"/>
      </w:pPr>
      <w:r w:rsidRPr="007D5B04">
        <w:rPr>
          <w:lang w:val="en-US" w:eastAsia="fi-FI"/>
        </w:rPr>
        <w:t>The performances of these devices shall conform to the requirements concerning Class IA or IB retro-reflectors in Regulation No. 3</w:t>
      </w:r>
      <w:r w:rsidRPr="007D5B04">
        <w:rPr>
          <w:b/>
          <w:lang w:val="en-US" w:eastAsia="fi-FI"/>
        </w:rPr>
        <w:t xml:space="preserve"> or [RRD]</w:t>
      </w:r>
      <w:r w:rsidRPr="007D5B04">
        <w:rPr>
          <w:lang w:val="en-US" w:eastAsia="fi-FI"/>
        </w:rPr>
        <w:t>. Additional retro-reflecting devices and materials (including two retro-reflectors not complying with paragraph 6.14.4. below), are</w:t>
      </w:r>
      <w:r w:rsidRPr="007D5B04">
        <w:t xml:space="preserve"> </w:t>
      </w:r>
      <w:r w:rsidRPr="007D5B04">
        <w:rPr>
          <w:lang w:val="en-US" w:eastAsia="fi-FI"/>
        </w:rPr>
        <w:t>permitted provided they do not impair the effectiveness of the mandatory lighting and light-</w:t>
      </w:r>
      <w:proofErr w:type="spellStart"/>
      <w:r w:rsidRPr="007D5B04">
        <w:rPr>
          <w:lang w:val="en-US" w:eastAsia="fi-FI"/>
        </w:rPr>
        <w:t>signalling</w:t>
      </w:r>
      <w:proofErr w:type="spellEnd"/>
      <w:r w:rsidRPr="007D5B04">
        <w:rPr>
          <w:lang w:val="en-US" w:eastAsia="fi-FI"/>
        </w:rPr>
        <w:t xml:space="preserve"> devices.</w:t>
      </w:r>
      <w:r w:rsidRPr="009C35C4">
        <w:t>”</w:t>
      </w:r>
    </w:p>
    <w:p w14:paraId="2398BD74" w14:textId="084788EA" w:rsidR="00DD37F2" w:rsidRPr="004F2217" w:rsidRDefault="00DD37F2" w:rsidP="00DD37F2">
      <w:pPr>
        <w:spacing w:after="120"/>
        <w:ind w:left="1134" w:right="1134"/>
        <w:jc w:val="both"/>
      </w:pPr>
      <w:r>
        <w:rPr>
          <w:i/>
        </w:rPr>
        <w:t>Paragraph 6.</w:t>
      </w:r>
      <w:r w:rsidR="00941862">
        <w:rPr>
          <w:i/>
        </w:rPr>
        <w:t>15</w:t>
      </w:r>
      <w:r>
        <w:rPr>
          <w:i/>
        </w:rPr>
        <w:t>.</w:t>
      </w:r>
      <w:r w:rsidRPr="004F2217">
        <w:rPr>
          <w:i/>
        </w:rPr>
        <w:t xml:space="preserve">, </w:t>
      </w:r>
      <w:r w:rsidRPr="004F2217">
        <w:t>amend to read:</w:t>
      </w:r>
    </w:p>
    <w:p w14:paraId="35A8BE3E" w14:textId="61E42F58" w:rsidR="00DD37F2" w:rsidRDefault="00DD37F2" w:rsidP="00DD37F2">
      <w:pPr>
        <w:pStyle w:val="SingleTxtG"/>
        <w:ind w:left="2268" w:hanging="1134"/>
      </w:pPr>
      <w:r w:rsidRPr="00015B17">
        <w:t>“</w:t>
      </w:r>
      <w:r>
        <w:t>6.15</w:t>
      </w:r>
      <w:r w:rsidRPr="00015B17">
        <w:t xml:space="preserve">. </w:t>
      </w:r>
      <w:r w:rsidRPr="00015B17">
        <w:tab/>
      </w:r>
      <w:r w:rsidRPr="00DD37F2">
        <w:rPr>
          <w:lang w:val="en-US" w:eastAsia="fi-FI"/>
        </w:rPr>
        <w:t>Side retro-reflectors, non-triangular (Regulation No. 3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C9771B">
        <w:rPr>
          <w:b/>
        </w:rPr>
        <w:t>[</w:t>
      </w:r>
      <w:r w:rsidR="007B505C" w:rsidRPr="00C9771B">
        <w:rPr>
          <w:b/>
        </w:rPr>
        <w:t>RRD</w:t>
      </w:r>
      <w:r w:rsidRPr="00C9771B">
        <w:rPr>
          <w:b/>
        </w:rPr>
        <w:t>]</w:t>
      </w:r>
      <w:r w:rsidRPr="00C9771B">
        <w:t>)”</w:t>
      </w:r>
    </w:p>
    <w:p w14:paraId="2B20D3AD" w14:textId="2E577160" w:rsidR="00DD37F2" w:rsidRPr="004F2217" w:rsidRDefault="00DD37F2" w:rsidP="00DD37F2">
      <w:pPr>
        <w:spacing w:after="120"/>
        <w:ind w:left="1134" w:right="1134"/>
        <w:jc w:val="both"/>
      </w:pPr>
      <w:r>
        <w:rPr>
          <w:i/>
        </w:rPr>
        <w:t>Paragraph 6.15.2.</w:t>
      </w:r>
      <w:r w:rsidRPr="004F2217">
        <w:rPr>
          <w:i/>
        </w:rPr>
        <w:t xml:space="preserve">, </w:t>
      </w:r>
      <w:r w:rsidRPr="004F2217">
        <w:t>amend to read:</w:t>
      </w:r>
    </w:p>
    <w:p w14:paraId="4846F97D" w14:textId="77777777" w:rsidR="00DD37F2" w:rsidRDefault="00DD37F2" w:rsidP="00DD37F2">
      <w:pPr>
        <w:pStyle w:val="SingleTxtG"/>
        <w:tabs>
          <w:tab w:val="left" w:pos="3686"/>
        </w:tabs>
        <w:ind w:left="2268" w:hanging="1134"/>
        <w:rPr>
          <w:lang w:val="en-US" w:eastAsia="fi-FI"/>
        </w:rPr>
      </w:pPr>
      <w:r w:rsidRPr="00015B17">
        <w:t>“</w:t>
      </w:r>
      <w:r>
        <w:t>6.15.2</w:t>
      </w:r>
      <w:r w:rsidRPr="00015B17">
        <w:t xml:space="preserve">. </w:t>
      </w:r>
      <w:r w:rsidRPr="00015B17">
        <w:tab/>
      </w:r>
      <w:r w:rsidRPr="00DD37F2">
        <w:rPr>
          <w:lang w:val="en-US" w:eastAsia="fi-FI"/>
        </w:rPr>
        <w:t xml:space="preserve">Number: </w:t>
      </w:r>
    </w:p>
    <w:p w14:paraId="1A4F9341" w14:textId="09F9291A" w:rsidR="00DD37F2" w:rsidRDefault="00DD37F2" w:rsidP="00DD37F2">
      <w:pPr>
        <w:pStyle w:val="SingleTxtG"/>
        <w:tabs>
          <w:tab w:val="left" w:pos="3686"/>
        </w:tabs>
        <w:ind w:left="2268" w:hanging="1134"/>
        <w:rPr>
          <w:lang w:val="en-US" w:eastAsia="fi-FI"/>
        </w:rPr>
      </w:pPr>
      <w:r>
        <w:rPr>
          <w:lang w:val="en-US" w:eastAsia="fi-FI"/>
        </w:rPr>
        <w:tab/>
      </w:r>
      <w:proofErr w:type="gramStart"/>
      <w:r w:rsidRPr="00DD37F2">
        <w:rPr>
          <w:lang w:val="en-US" w:eastAsia="fi-FI"/>
        </w:rPr>
        <w:t>Such that the requirements for longitudinal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positioning are complied with.</w:t>
      </w:r>
      <w:proofErr w:type="gramEnd"/>
      <w:r w:rsidRPr="00DD37F2">
        <w:rPr>
          <w:lang w:val="en-US" w:eastAsia="fi-FI"/>
        </w:rPr>
        <w:t xml:space="preserve"> The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performances of these devices shall conform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to the requirements concerning Class IA or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IB retro-reflectors in Regulation No. 3</w:t>
      </w:r>
      <w:r w:rsidRPr="00DD37F2">
        <w:rPr>
          <w:b/>
          <w:lang w:val="en-US" w:eastAsia="fi-FI"/>
        </w:rPr>
        <w:t xml:space="preserve"> or [RRD]</w:t>
      </w:r>
      <w:r w:rsidRPr="00DD37F2">
        <w:rPr>
          <w:lang w:val="en-US" w:eastAsia="fi-FI"/>
        </w:rPr>
        <w:t>.</w:t>
      </w:r>
    </w:p>
    <w:p w14:paraId="25654AD9" w14:textId="61627B9A" w:rsidR="00DD37F2" w:rsidRDefault="00DD37F2" w:rsidP="00DD37F2">
      <w:pPr>
        <w:pStyle w:val="SingleTxtG"/>
        <w:ind w:left="2268"/>
      </w:pPr>
      <w:r w:rsidRPr="00DD37F2">
        <w:rPr>
          <w:lang w:val="en-US" w:eastAsia="fi-FI"/>
        </w:rPr>
        <w:t>Additional retro-reflecting devices and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materials (including two retro-reflectors not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complying with paragraph 6.15.4. below), are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permitted provided they do not impair the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effectiveness of the mandatory lighting and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light-</w:t>
      </w:r>
      <w:proofErr w:type="spellStart"/>
      <w:r w:rsidRPr="00DD37F2">
        <w:rPr>
          <w:lang w:val="en-US" w:eastAsia="fi-FI"/>
        </w:rPr>
        <w:t>signalling</w:t>
      </w:r>
      <w:proofErr w:type="spellEnd"/>
      <w:r w:rsidRPr="00DD37F2">
        <w:rPr>
          <w:lang w:val="en-US" w:eastAsia="fi-FI"/>
        </w:rPr>
        <w:t xml:space="preserve"> devices.</w:t>
      </w:r>
      <w:r w:rsidRPr="009C35C4">
        <w:t>”</w:t>
      </w:r>
    </w:p>
    <w:p w14:paraId="6E51CEA9" w14:textId="51D1CA7B" w:rsidR="00941862" w:rsidRPr="004F2217" w:rsidRDefault="00941862" w:rsidP="00941862">
      <w:pPr>
        <w:spacing w:after="120"/>
        <w:ind w:left="1134" w:right="1134"/>
        <w:jc w:val="both"/>
      </w:pPr>
      <w:r>
        <w:rPr>
          <w:i/>
        </w:rPr>
        <w:t>Paragraph 6.16.</w:t>
      </w:r>
      <w:r w:rsidRPr="004F2217">
        <w:rPr>
          <w:i/>
        </w:rPr>
        <w:t xml:space="preserve">, </w:t>
      </w:r>
      <w:r w:rsidRPr="004F2217">
        <w:t>amend to read:</w:t>
      </w:r>
    </w:p>
    <w:p w14:paraId="53721BA9" w14:textId="36AA6DAA" w:rsidR="00941862" w:rsidRDefault="00941862" w:rsidP="00941862">
      <w:pPr>
        <w:pStyle w:val="SingleTxtG"/>
        <w:ind w:left="2268" w:hanging="1134"/>
      </w:pPr>
      <w:r w:rsidRPr="00015B17">
        <w:t>“</w:t>
      </w:r>
      <w:r>
        <w:t>6.16</w:t>
      </w:r>
      <w:r w:rsidRPr="00015B17">
        <w:t xml:space="preserve">. </w:t>
      </w:r>
      <w:r w:rsidRPr="00015B17">
        <w:tab/>
      </w:r>
      <w:r w:rsidRPr="00941862">
        <w:rPr>
          <w:lang w:val="en-US" w:eastAsia="fi-FI"/>
        </w:rPr>
        <w:t>Rear registration plate illuminating device (Regulation No. 4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25D6B7C4" w14:textId="6542D4BD" w:rsidR="00941862" w:rsidRPr="004F2217" w:rsidRDefault="00941862" w:rsidP="00941862">
      <w:pPr>
        <w:spacing w:after="120"/>
        <w:ind w:left="1134" w:right="1134"/>
        <w:jc w:val="both"/>
      </w:pPr>
      <w:r>
        <w:rPr>
          <w:i/>
        </w:rPr>
        <w:t>Paragraph 6.17.</w:t>
      </w:r>
      <w:r w:rsidRPr="004F2217">
        <w:rPr>
          <w:i/>
        </w:rPr>
        <w:t xml:space="preserve">, </w:t>
      </w:r>
      <w:r w:rsidRPr="004F2217">
        <w:t>amend to read:</w:t>
      </w:r>
    </w:p>
    <w:p w14:paraId="3954A92E" w14:textId="433DD478" w:rsidR="00941862" w:rsidRDefault="00941862" w:rsidP="00941862">
      <w:pPr>
        <w:pStyle w:val="SingleTxtG"/>
        <w:ind w:left="2268" w:hanging="1134"/>
      </w:pPr>
      <w:r w:rsidRPr="00015B17">
        <w:t>“</w:t>
      </w:r>
      <w:r>
        <w:t>6.17</w:t>
      </w:r>
      <w:r w:rsidRPr="00015B17">
        <w:t xml:space="preserve">. </w:t>
      </w:r>
      <w:r w:rsidRPr="00015B17">
        <w:tab/>
      </w:r>
      <w:r w:rsidRPr="00941862">
        <w:rPr>
          <w:lang w:val="en-US" w:eastAsia="fi-FI"/>
        </w:rPr>
        <w:t>Front retro-reflectors, non-triangular (Regulation No. 3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RRD</w:t>
      </w:r>
      <w:r w:rsidRPr="009C35C4">
        <w:rPr>
          <w:b/>
        </w:rPr>
        <w:t>]</w:t>
      </w:r>
      <w:r w:rsidRPr="009C35C4">
        <w:t>)”</w:t>
      </w:r>
    </w:p>
    <w:p w14:paraId="2C54EA6A" w14:textId="1F72F99D" w:rsidR="00941862" w:rsidRPr="004F2217" w:rsidRDefault="00941862" w:rsidP="00941862">
      <w:pPr>
        <w:spacing w:after="120"/>
        <w:ind w:left="1134" w:right="1134"/>
        <w:jc w:val="both"/>
      </w:pPr>
      <w:r>
        <w:rPr>
          <w:i/>
        </w:rPr>
        <w:t>Paragraph 6.18.</w:t>
      </w:r>
      <w:r w:rsidRPr="004F2217">
        <w:rPr>
          <w:i/>
        </w:rPr>
        <w:t xml:space="preserve">, </w:t>
      </w:r>
      <w:r w:rsidRPr="004F2217">
        <w:t>amend to read:</w:t>
      </w:r>
    </w:p>
    <w:p w14:paraId="50B1BC40" w14:textId="360CE4E6" w:rsidR="00941862" w:rsidRDefault="00941862" w:rsidP="00941862">
      <w:pPr>
        <w:pStyle w:val="SingleTxtG"/>
        <w:ind w:left="2268" w:hanging="1134"/>
      </w:pPr>
      <w:r w:rsidRPr="00015B17">
        <w:t>“</w:t>
      </w:r>
      <w:r>
        <w:t>6.18</w:t>
      </w:r>
      <w:r w:rsidRPr="00015B17">
        <w:t xml:space="preserve">. </w:t>
      </w:r>
      <w:r w:rsidRPr="00015B17">
        <w:tab/>
      </w:r>
      <w:r w:rsidRPr="00941862">
        <w:rPr>
          <w:lang w:val="en-US" w:eastAsia="fi-FI"/>
        </w:rPr>
        <w:t>Side-marker lamps (Regulation No. 91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4307FA0B" w14:textId="18ABFB08" w:rsidR="00941862" w:rsidRPr="004F2217" w:rsidRDefault="00941862" w:rsidP="00941862">
      <w:pPr>
        <w:spacing w:after="120"/>
        <w:ind w:left="1134" w:right="1134"/>
        <w:jc w:val="both"/>
      </w:pPr>
      <w:r>
        <w:rPr>
          <w:i/>
        </w:rPr>
        <w:t>Paragraph 6.19.</w:t>
      </w:r>
      <w:r w:rsidRPr="004F2217">
        <w:rPr>
          <w:i/>
        </w:rPr>
        <w:t xml:space="preserve">, </w:t>
      </w:r>
      <w:r w:rsidRPr="004F2217">
        <w:t>amend to read:</w:t>
      </w:r>
    </w:p>
    <w:p w14:paraId="24103E6E" w14:textId="27B61536" w:rsidR="00941862" w:rsidRDefault="00941862" w:rsidP="00941862">
      <w:pPr>
        <w:pStyle w:val="SingleTxtG"/>
        <w:ind w:left="2268" w:hanging="1134"/>
      </w:pPr>
      <w:r w:rsidRPr="00015B17">
        <w:t>“</w:t>
      </w:r>
      <w:r>
        <w:t>6.19</w:t>
      </w:r>
      <w:r w:rsidRPr="00015B17">
        <w:t xml:space="preserve">. </w:t>
      </w:r>
      <w:r w:rsidRPr="00015B17">
        <w:tab/>
      </w:r>
      <w:r w:rsidRPr="00941862">
        <w:rPr>
          <w:lang w:val="en-US" w:eastAsia="fi-FI"/>
        </w:rPr>
        <w:t>Daytime running lamp (Regulation No. 87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391CB019" w14:textId="6963EE6A" w:rsidR="00941862" w:rsidRPr="004F2217" w:rsidRDefault="00941862" w:rsidP="00941862">
      <w:pPr>
        <w:spacing w:after="120"/>
        <w:ind w:left="1134" w:right="1134"/>
        <w:jc w:val="both"/>
      </w:pPr>
      <w:r>
        <w:rPr>
          <w:i/>
        </w:rPr>
        <w:t>Paragraph 6.20.</w:t>
      </w:r>
      <w:r w:rsidRPr="004F2217">
        <w:rPr>
          <w:i/>
        </w:rPr>
        <w:t xml:space="preserve">, </w:t>
      </w:r>
      <w:r w:rsidRPr="004F2217">
        <w:t>amend to read:</w:t>
      </w:r>
    </w:p>
    <w:p w14:paraId="1C9C760B" w14:textId="0F58814D" w:rsidR="00941862" w:rsidRDefault="00941862" w:rsidP="00941862">
      <w:pPr>
        <w:pStyle w:val="SingleTxtG"/>
        <w:ind w:left="2268" w:hanging="1134"/>
      </w:pPr>
      <w:r w:rsidRPr="00015B17">
        <w:t>“</w:t>
      </w:r>
      <w:r>
        <w:t>6.20</w:t>
      </w:r>
      <w:r w:rsidRPr="00015B17">
        <w:t xml:space="preserve">. </w:t>
      </w:r>
      <w:r w:rsidRPr="00015B17">
        <w:tab/>
      </w:r>
      <w:r w:rsidRPr="00941862">
        <w:rPr>
          <w:lang w:val="en-US" w:eastAsia="fi-FI"/>
        </w:rPr>
        <w:t>Cornering lamp (Regulation No. 119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720E61C1" w14:textId="6B8D86EE" w:rsidR="00941862" w:rsidRPr="004F2217" w:rsidRDefault="00941862" w:rsidP="00941862">
      <w:pPr>
        <w:spacing w:after="120"/>
        <w:ind w:left="1134" w:right="1134"/>
        <w:jc w:val="both"/>
      </w:pPr>
      <w:r>
        <w:rPr>
          <w:i/>
        </w:rPr>
        <w:t>Paragraph 6.21.</w:t>
      </w:r>
      <w:r w:rsidRPr="004F2217">
        <w:rPr>
          <w:i/>
        </w:rPr>
        <w:t xml:space="preserve">, </w:t>
      </w:r>
      <w:r w:rsidRPr="004F2217">
        <w:t>amend to read:</w:t>
      </w:r>
    </w:p>
    <w:p w14:paraId="2CC91F80" w14:textId="516521CA" w:rsidR="00941862" w:rsidRDefault="00941862" w:rsidP="00941862">
      <w:pPr>
        <w:pStyle w:val="SingleTxtG"/>
        <w:ind w:left="2268" w:hanging="1134"/>
      </w:pPr>
      <w:r w:rsidRPr="00015B17">
        <w:t>“</w:t>
      </w:r>
      <w:r>
        <w:t>6.21</w:t>
      </w:r>
      <w:r w:rsidRPr="00015B17">
        <w:t xml:space="preserve">. </w:t>
      </w:r>
      <w:r w:rsidRPr="00015B17">
        <w:tab/>
      </w:r>
      <w:r w:rsidRPr="00941862">
        <w:rPr>
          <w:lang w:val="en-US" w:eastAsia="fi-FI"/>
        </w:rPr>
        <w:t>Conspicuity markings (Regulation No. 104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RRD</w:t>
      </w:r>
      <w:r w:rsidRPr="009C35C4">
        <w:rPr>
          <w:b/>
        </w:rPr>
        <w:t>]</w:t>
      </w:r>
      <w:r w:rsidRPr="009C35C4">
        <w:t>)”</w:t>
      </w:r>
    </w:p>
    <w:p w14:paraId="0C4F7CBA" w14:textId="68E799CD" w:rsidR="00941862" w:rsidRPr="004F2217" w:rsidRDefault="00941862" w:rsidP="00941862">
      <w:pPr>
        <w:spacing w:after="120"/>
        <w:ind w:left="1134" w:right="1134"/>
        <w:jc w:val="both"/>
      </w:pPr>
      <w:r>
        <w:rPr>
          <w:i/>
        </w:rPr>
        <w:t>Paragraph 6.22.</w:t>
      </w:r>
      <w:r w:rsidRPr="004F2217">
        <w:rPr>
          <w:i/>
        </w:rPr>
        <w:t xml:space="preserve">, </w:t>
      </w:r>
      <w:r w:rsidRPr="004F2217">
        <w:t>amend to read:</w:t>
      </w:r>
    </w:p>
    <w:p w14:paraId="60709E85" w14:textId="1AF59DC0" w:rsidR="00941862" w:rsidRPr="001C585F" w:rsidRDefault="00941862" w:rsidP="001464B2">
      <w:pPr>
        <w:pStyle w:val="SingleTxtG"/>
        <w:ind w:left="2268" w:hanging="1134"/>
      </w:pPr>
      <w:r w:rsidRPr="001C585F">
        <w:t xml:space="preserve">“6.22. </w:t>
      </w:r>
      <w:r w:rsidRPr="001C585F">
        <w:tab/>
      </w:r>
      <w:r w:rsidRPr="001C585F">
        <w:rPr>
          <w:lang w:val="en-US" w:eastAsia="fi-FI"/>
        </w:rPr>
        <w:t xml:space="preserve">SMV rear marking plate (Regulation No. 69 </w:t>
      </w:r>
      <w:r w:rsidR="007D5B04" w:rsidRPr="001C585F">
        <w:rPr>
          <w:b/>
          <w:lang w:val="en-US" w:eastAsia="fi-FI"/>
        </w:rPr>
        <w:t>or</w:t>
      </w:r>
      <w:r w:rsidR="00C9771B">
        <w:rPr>
          <w:b/>
          <w:lang w:val="en-US" w:eastAsia="fi-FI"/>
        </w:rPr>
        <w:t xml:space="preserve"> </w:t>
      </w:r>
      <w:r w:rsidRPr="001C585F">
        <w:rPr>
          <w:b/>
        </w:rPr>
        <w:t>[RRD]</w:t>
      </w:r>
      <w:r w:rsidRPr="001C585F">
        <w:t>)</w:t>
      </w:r>
    </w:p>
    <w:p w14:paraId="0A8517B5" w14:textId="0BD22BA8" w:rsidR="00EA43C2" w:rsidRPr="001C585F" w:rsidRDefault="00EA43C2" w:rsidP="001464B2">
      <w:pPr>
        <w:suppressAutoHyphens w:val="0"/>
        <w:autoSpaceDE w:val="0"/>
        <w:autoSpaceDN w:val="0"/>
        <w:adjustRightInd w:val="0"/>
        <w:spacing w:line="240" w:lineRule="auto"/>
        <w:ind w:left="2268" w:right="1134" w:hanging="1134"/>
        <w:rPr>
          <w:lang w:val="en-US" w:eastAsia="fi-FI"/>
        </w:rPr>
      </w:pPr>
      <w:r w:rsidRPr="001C585F">
        <w:rPr>
          <w:lang w:val="en-US" w:eastAsia="fi-FI"/>
        </w:rPr>
        <w:t xml:space="preserve">6.22.1. </w:t>
      </w:r>
      <w:r w:rsidRPr="001C585F">
        <w:rPr>
          <w:lang w:val="en-US" w:eastAsia="fi-FI"/>
        </w:rPr>
        <w:tab/>
        <w:t>Presence: Optional on vehicles with a maximum design speed of not more than 40 km/h. Prohibited on all other vehicles.</w:t>
      </w:r>
    </w:p>
    <w:p w14:paraId="2EEB3520" w14:textId="790699FD" w:rsidR="00EA43C2" w:rsidRPr="001C585F" w:rsidRDefault="00EA43C2" w:rsidP="001464B2">
      <w:pPr>
        <w:tabs>
          <w:tab w:val="left" w:pos="2268"/>
        </w:tabs>
        <w:suppressAutoHyphens w:val="0"/>
        <w:autoSpaceDE w:val="0"/>
        <w:autoSpaceDN w:val="0"/>
        <w:adjustRightInd w:val="0"/>
        <w:spacing w:line="240" w:lineRule="auto"/>
        <w:ind w:left="3969" w:right="1134" w:hanging="2835"/>
        <w:rPr>
          <w:lang w:val="en-US" w:eastAsia="fi-FI"/>
        </w:rPr>
      </w:pPr>
      <w:r w:rsidRPr="001C585F">
        <w:rPr>
          <w:lang w:val="en-US" w:eastAsia="fi-FI"/>
        </w:rPr>
        <w:lastRenderedPageBreak/>
        <w:t xml:space="preserve">6.22.2. </w:t>
      </w:r>
      <w:r w:rsidR="001C585F" w:rsidRPr="001C585F">
        <w:rPr>
          <w:lang w:val="en-US" w:eastAsia="fi-FI"/>
        </w:rPr>
        <w:tab/>
      </w:r>
      <w:r w:rsidRPr="001C585F">
        <w:rPr>
          <w:lang w:val="en-US" w:eastAsia="fi-FI"/>
        </w:rPr>
        <w:t xml:space="preserve">Number: </w:t>
      </w:r>
      <w:r w:rsidRPr="001C585F">
        <w:rPr>
          <w:lang w:val="en-US" w:eastAsia="fi-FI"/>
        </w:rPr>
        <w:tab/>
      </w:r>
      <w:r w:rsidRPr="001C585F">
        <w:rPr>
          <w:lang w:val="en-US" w:eastAsia="fi-FI"/>
        </w:rPr>
        <w:tab/>
        <w:t>According to Annex 15 of Regulation No. 69</w:t>
      </w:r>
      <w:r w:rsidR="001C585F" w:rsidRPr="001C585F">
        <w:rPr>
          <w:lang w:val="en-US" w:eastAsia="fi-FI"/>
        </w:rPr>
        <w:t xml:space="preserve"> </w:t>
      </w:r>
      <w:r w:rsidR="001C585F" w:rsidRPr="001C585F">
        <w:rPr>
          <w:b/>
          <w:lang w:val="en-US" w:eastAsia="fi-FI"/>
        </w:rPr>
        <w:t>or Annex 24 Part B of Regulation No.</w:t>
      </w:r>
      <w:r w:rsidR="001C585F" w:rsidRPr="001C585F">
        <w:rPr>
          <w:b/>
        </w:rPr>
        <w:t xml:space="preserve"> </w:t>
      </w:r>
      <w:proofErr w:type="gramStart"/>
      <w:r w:rsidR="001C585F" w:rsidRPr="001C585F">
        <w:rPr>
          <w:b/>
        </w:rPr>
        <w:t>[RRD]</w:t>
      </w:r>
      <w:r w:rsidRPr="001C585F">
        <w:rPr>
          <w:lang w:val="en-US" w:eastAsia="fi-FI"/>
        </w:rPr>
        <w:t>.</w:t>
      </w:r>
      <w:proofErr w:type="gramEnd"/>
    </w:p>
    <w:p w14:paraId="1061D336" w14:textId="691E1AB2" w:rsidR="00EA43C2" w:rsidRPr="001C585F" w:rsidRDefault="00EA43C2" w:rsidP="001464B2">
      <w:pPr>
        <w:tabs>
          <w:tab w:val="left" w:pos="2268"/>
        </w:tabs>
        <w:suppressAutoHyphens w:val="0"/>
        <w:autoSpaceDE w:val="0"/>
        <w:autoSpaceDN w:val="0"/>
        <w:adjustRightInd w:val="0"/>
        <w:spacing w:line="240" w:lineRule="auto"/>
        <w:ind w:left="3969" w:right="1134" w:hanging="2835"/>
        <w:rPr>
          <w:lang w:val="en-US" w:eastAsia="fi-FI"/>
        </w:rPr>
      </w:pPr>
      <w:r w:rsidRPr="001C585F">
        <w:rPr>
          <w:lang w:val="en-US" w:eastAsia="fi-FI"/>
        </w:rPr>
        <w:t xml:space="preserve">6.22.3. </w:t>
      </w:r>
      <w:r w:rsidRPr="001C585F">
        <w:rPr>
          <w:lang w:val="en-US" w:eastAsia="fi-FI"/>
        </w:rPr>
        <w:tab/>
        <w:t xml:space="preserve">Arrangement: </w:t>
      </w:r>
      <w:r w:rsidRPr="001C585F">
        <w:rPr>
          <w:lang w:val="en-US" w:eastAsia="fi-FI"/>
        </w:rPr>
        <w:tab/>
        <w:t>According to Annex 15 of Regulation No. 69</w:t>
      </w:r>
      <w:r w:rsidR="001C585F" w:rsidRPr="001C585F">
        <w:rPr>
          <w:lang w:val="en-US" w:eastAsia="fi-FI"/>
        </w:rPr>
        <w:t xml:space="preserve"> </w:t>
      </w:r>
      <w:r w:rsidR="001C585F" w:rsidRPr="001C585F">
        <w:rPr>
          <w:b/>
          <w:lang w:val="en-US" w:eastAsia="fi-FI"/>
        </w:rPr>
        <w:t>or Annex 24 Part B of Regulation No.</w:t>
      </w:r>
      <w:r w:rsidR="001C585F" w:rsidRPr="001C585F">
        <w:rPr>
          <w:b/>
        </w:rPr>
        <w:t xml:space="preserve"> </w:t>
      </w:r>
      <w:proofErr w:type="gramStart"/>
      <w:r w:rsidR="001C585F" w:rsidRPr="001C585F">
        <w:rPr>
          <w:b/>
        </w:rPr>
        <w:t>[RRD]</w:t>
      </w:r>
      <w:r w:rsidRPr="001C585F">
        <w:rPr>
          <w:lang w:val="en-US" w:eastAsia="fi-FI"/>
        </w:rPr>
        <w:t>.</w:t>
      </w:r>
      <w:proofErr w:type="gramEnd"/>
    </w:p>
    <w:p w14:paraId="13F07624" w14:textId="16D5A842" w:rsidR="00EA43C2" w:rsidRPr="001C585F" w:rsidRDefault="00EA43C2" w:rsidP="001464B2">
      <w:pPr>
        <w:tabs>
          <w:tab w:val="left" w:pos="2268"/>
        </w:tabs>
        <w:suppressAutoHyphens w:val="0"/>
        <w:autoSpaceDE w:val="0"/>
        <w:autoSpaceDN w:val="0"/>
        <w:adjustRightInd w:val="0"/>
        <w:spacing w:line="240" w:lineRule="auto"/>
        <w:ind w:left="3969" w:right="1134" w:hanging="2835"/>
        <w:rPr>
          <w:lang w:val="en-US" w:eastAsia="fi-FI"/>
        </w:rPr>
      </w:pPr>
      <w:r w:rsidRPr="001C585F">
        <w:rPr>
          <w:lang w:val="en-US" w:eastAsia="fi-FI"/>
        </w:rPr>
        <w:t xml:space="preserve">6.22.4. </w:t>
      </w:r>
      <w:r w:rsidRPr="001C585F">
        <w:rPr>
          <w:lang w:val="en-US" w:eastAsia="fi-FI"/>
        </w:rPr>
        <w:tab/>
        <w:t>Position</w:t>
      </w:r>
    </w:p>
    <w:p w14:paraId="0AF10D69" w14:textId="7FACCD97" w:rsidR="00EA43C2" w:rsidRPr="001C585F" w:rsidRDefault="00EA43C2" w:rsidP="001464B2">
      <w:pPr>
        <w:tabs>
          <w:tab w:val="left" w:pos="2268"/>
        </w:tabs>
        <w:suppressAutoHyphens w:val="0"/>
        <w:autoSpaceDE w:val="0"/>
        <w:autoSpaceDN w:val="0"/>
        <w:adjustRightInd w:val="0"/>
        <w:spacing w:line="240" w:lineRule="auto"/>
        <w:ind w:left="3969" w:right="1134" w:hanging="1701"/>
        <w:rPr>
          <w:lang w:val="en-US" w:eastAsia="fi-FI"/>
        </w:rPr>
      </w:pPr>
      <w:r w:rsidRPr="001C585F">
        <w:rPr>
          <w:lang w:val="en-US" w:eastAsia="fi-FI"/>
        </w:rPr>
        <w:t xml:space="preserve">Width: </w:t>
      </w:r>
      <w:r w:rsidRPr="001C585F">
        <w:rPr>
          <w:lang w:val="en-US" w:eastAsia="fi-FI"/>
        </w:rPr>
        <w:tab/>
      </w:r>
      <w:r w:rsidRPr="001C585F">
        <w:rPr>
          <w:lang w:val="en-US" w:eastAsia="fi-FI"/>
        </w:rPr>
        <w:tab/>
        <w:t>According to Annex 15 of Regulation No. 69</w:t>
      </w:r>
      <w:r w:rsidR="001C585F" w:rsidRPr="001C585F">
        <w:rPr>
          <w:lang w:val="en-US" w:eastAsia="fi-FI"/>
        </w:rPr>
        <w:t xml:space="preserve"> </w:t>
      </w:r>
      <w:r w:rsidR="001C585F" w:rsidRPr="001C585F">
        <w:rPr>
          <w:b/>
          <w:lang w:val="en-US" w:eastAsia="fi-FI"/>
        </w:rPr>
        <w:t>or Annex 24 Part B of Regulation No.</w:t>
      </w:r>
      <w:r w:rsidR="001C585F" w:rsidRPr="001C585F">
        <w:rPr>
          <w:b/>
        </w:rPr>
        <w:t xml:space="preserve"> </w:t>
      </w:r>
      <w:proofErr w:type="gramStart"/>
      <w:r w:rsidR="001C585F" w:rsidRPr="001C585F">
        <w:rPr>
          <w:b/>
        </w:rPr>
        <w:t>[RRD]</w:t>
      </w:r>
      <w:r w:rsidRPr="001C585F">
        <w:rPr>
          <w:lang w:val="en-US" w:eastAsia="fi-FI"/>
        </w:rPr>
        <w:t>.</w:t>
      </w:r>
      <w:proofErr w:type="gramEnd"/>
    </w:p>
    <w:p w14:paraId="5C9C2FD0" w14:textId="4A2B5642" w:rsidR="00EA43C2" w:rsidRPr="001C585F" w:rsidRDefault="00EA43C2" w:rsidP="001464B2">
      <w:pPr>
        <w:suppressAutoHyphens w:val="0"/>
        <w:autoSpaceDE w:val="0"/>
        <w:autoSpaceDN w:val="0"/>
        <w:adjustRightInd w:val="0"/>
        <w:spacing w:line="240" w:lineRule="auto"/>
        <w:ind w:left="2268" w:right="1134"/>
        <w:rPr>
          <w:lang w:val="en-US" w:eastAsia="fi-FI"/>
        </w:rPr>
      </w:pPr>
      <w:r w:rsidRPr="001C585F">
        <w:rPr>
          <w:lang w:val="en-US" w:eastAsia="fi-FI"/>
        </w:rPr>
        <w:t xml:space="preserve">Height: </w:t>
      </w:r>
      <w:r w:rsidRPr="001C585F">
        <w:rPr>
          <w:lang w:val="en-US" w:eastAsia="fi-FI"/>
        </w:rPr>
        <w:tab/>
      </w:r>
      <w:r w:rsidRPr="001C585F">
        <w:rPr>
          <w:lang w:val="en-US" w:eastAsia="fi-FI"/>
        </w:rPr>
        <w:tab/>
        <w:t>No individual specifications.</w:t>
      </w:r>
    </w:p>
    <w:p w14:paraId="6EE32104" w14:textId="0570E8B0" w:rsidR="00EA43C2" w:rsidRPr="001C585F" w:rsidRDefault="00EA43C2" w:rsidP="001464B2">
      <w:pPr>
        <w:tabs>
          <w:tab w:val="left" w:pos="2268"/>
        </w:tabs>
        <w:suppressAutoHyphens w:val="0"/>
        <w:autoSpaceDE w:val="0"/>
        <w:autoSpaceDN w:val="0"/>
        <w:adjustRightInd w:val="0"/>
        <w:spacing w:line="240" w:lineRule="auto"/>
        <w:ind w:left="3969" w:right="1134" w:hanging="1701"/>
        <w:rPr>
          <w:lang w:val="en-US" w:eastAsia="fi-FI"/>
        </w:rPr>
      </w:pPr>
      <w:r w:rsidRPr="001C585F">
        <w:rPr>
          <w:lang w:val="en-US" w:eastAsia="fi-FI"/>
        </w:rPr>
        <w:t xml:space="preserve">Length: </w:t>
      </w:r>
      <w:r w:rsidRPr="001C585F">
        <w:rPr>
          <w:lang w:val="en-US" w:eastAsia="fi-FI"/>
        </w:rPr>
        <w:tab/>
      </w:r>
      <w:r w:rsidRPr="001C585F">
        <w:rPr>
          <w:lang w:val="en-US" w:eastAsia="fi-FI"/>
        </w:rPr>
        <w:tab/>
        <w:t>According to Annex 15 of Regulation No. 69</w:t>
      </w:r>
      <w:r w:rsidR="001C585F" w:rsidRPr="001C585F">
        <w:rPr>
          <w:lang w:val="en-US" w:eastAsia="fi-FI"/>
        </w:rPr>
        <w:t xml:space="preserve"> </w:t>
      </w:r>
      <w:r w:rsidR="001C585F" w:rsidRPr="001C585F">
        <w:rPr>
          <w:b/>
          <w:lang w:val="en-US" w:eastAsia="fi-FI"/>
        </w:rPr>
        <w:t>or Annex 24 Part B of Regulation No.</w:t>
      </w:r>
      <w:r w:rsidR="001C585F" w:rsidRPr="001C585F">
        <w:rPr>
          <w:b/>
        </w:rPr>
        <w:t xml:space="preserve"> </w:t>
      </w:r>
      <w:proofErr w:type="gramStart"/>
      <w:r w:rsidR="001C585F" w:rsidRPr="001C585F">
        <w:rPr>
          <w:b/>
        </w:rPr>
        <w:t>[RRD]</w:t>
      </w:r>
      <w:r w:rsidRPr="001C585F">
        <w:rPr>
          <w:lang w:val="en-US" w:eastAsia="fi-FI"/>
        </w:rPr>
        <w:t>.</w:t>
      </w:r>
      <w:proofErr w:type="gramEnd"/>
    </w:p>
    <w:p w14:paraId="1A768A38" w14:textId="7BCCFD2C" w:rsidR="00EA43C2" w:rsidRPr="001C585F" w:rsidRDefault="00EA43C2" w:rsidP="001464B2">
      <w:pPr>
        <w:tabs>
          <w:tab w:val="left" w:pos="2268"/>
        </w:tabs>
        <w:suppressAutoHyphens w:val="0"/>
        <w:autoSpaceDE w:val="0"/>
        <w:autoSpaceDN w:val="0"/>
        <w:adjustRightInd w:val="0"/>
        <w:spacing w:line="240" w:lineRule="auto"/>
        <w:ind w:left="3969" w:right="1134" w:hanging="2835"/>
        <w:rPr>
          <w:lang w:val="en-US" w:eastAsia="fi-FI"/>
        </w:rPr>
      </w:pPr>
      <w:r w:rsidRPr="001C585F">
        <w:rPr>
          <w:lang w:val="en-US" w:eastAsia="fi-FI"/>
        </w:rPr>
        <w:t xml:space="preserve">6.22.5. </w:t>
      </w:r>
      <w:r w:rsidRPr="001C585F">
        <w:rPr>
          <w:lang w:val="en-US" w:eastAsia="fi-FI"/>
        </w:rPr>
        <w:tab/>
        <w:t>Geometric visibility:</w:t>
      </w:r>
      <w:r w:rsidRPr="001C585F">
        <w:rPr>
          <w:lang w:val="en-US" w:eastAsia="fi-FI"/>
        </w:rPr>
        <w:tab/>
        <w:t>According to Annex 15 of Regulation No. 69</w:t>
      </w:r>
      <w:r w:rsidR="001C585F" w:rsidRPr="001C585F">
        <w:rPr>
          <w:lang w:val="en-US" w:eastAsia="fi-FI"/>
        </w:rPr>
        <w:t xml:space="preserve"> </w:t>
      </w:r>
      <w:r w:rsidR="001C585F" w:rsidRPr="001C585F">
        <w:rPr>
          <w:b/>
          <w:lang w:val="en-US" w:eastAsia="fi-FI"/>
        </w:rPr>
        <w:t>or Annex 24 Part B of Regulation No.</w:t>
      </w:r>
      <w:r w:rsidR="001C585F" w:rsidRPr="001C585F">
        <w:rPr>
          <w:b/>
        </w:rPr>
        <w:t xml:space="preserve"> </w:t>
      </w:r>
      <w:proofErr w:type="gramStart"/>
      <w:r w:rsidR="001C585F" w:rsidRPr="001C585F">
        <w:rPr>
          <w:b/>
        </w:rPr>
        <w:t>[RRD]</w:t>
      </w:r>
      <w:r w:rsidRPr="001C585F">
        <w:rPr>
          <w:lang w:val="en-US" w:eastAsia="fi-FI"/>
        </w:rPr>
        <w:t>.</w:t>
      </w:r>
      <w:proofErr w:type="gramEnd"/>
    </w:p>
    <w:p w14:paraId="08A94AF3" w14:textId="2513DBEB" w:rsidR="00EA43C2" w:rsidRPr="00EA43C2" w:rsidRDefault="00EA43C2" w:rsidP="001464B2">
      <w:pPr>
        <w:tabs>
          <w:tab w:val="left" w:pos="2268"/>
        </w:tabs>
        <w:suppressAutoHyphens w:val="0"/>
        <w:autoSpaceDE w:val="0"/>
        <w:autoSpaceDN w:val="0"/>
        <w:adjustRightInd w:val="0"/>
        <w:spacing w:line="240" w:lineRule="auto"/>
        <w:ind w:left="3969" w:right="1134" w:hanging="2835"/>
        <w:rPr>
          <w:lang w:val="en-US"/>
        </w:rPr>
      </w:pPr>
      <w:r w:rsidRPr="001C585F">
        <w:rPr>
          <w:lang w:val="en-US" w:eastAsia="fi-FI"/>
        </w:rPr>
        <w:t xml:space="preserve">6.22.6. </w:t>
      </w:r>
      <w:r w:rsidRPr="001C585F">
        <w:rPr>
          <w:lang w:val="en-US" w:eastAsia="fi-FI"/>
        </w:rPr>
        <w:tab/>
        <w:t xml:space="preserve">Orientation: </w:t>
      </w:r>
      <w:r w:rsidRPr="001C585F">
        <w:rPr>
          <w:lang w:val="en-US" w:eastAsia="fi-FI"/>
        </w:rPr>
        <w:tab/>
      </w:r>
      <w:r w:rsidRPr="001C585F">
        <w:rPr>
          <w:lang w:val="en-US" w:eastAsia="fi-FI"/>
        </w:rPr>
        <w:tab/>
        <w:t>According to Annex 15 of Regulation No. 69</w:t>
      </w:r>
      <w:r w:rsidR="001C585F" w:rsidRPr="001C585F">
        <w:rPr>
          <w:lang w:val="en-US" w:eastAsia="fi-FI"/>
        </w:rPr>
        <w:t xml:space="preserve"> </w:t>
      </w:r>
      <w:r w:rsidR="001C585F" w:rsidRPr="001C585F">
        <w:rPr>
          <w:b/>
          <w:lang w:val="en-US" w:eastAsia="fi-FI"/>
        </w:rPr>
        <w:t>or Annex 24 Part B of Regulation No.</w:t>
      </w:r>
      <w:r w:rsidR="001C585F" w:rsidRPr="001C585F">
        <w:rPr>
          <w:b/>
        </w:rPr>
        <w:t xml:space="preserve"> </w:t>
      </w:r>
      <w:proofErr w:type="gramStart"/>
      <w:r w:rsidR="001C585F" w:rsidRPr="001C585F">
        <w:rPr>
          <w:b/>
        </w:rPr>
        <w:t>[RRD]</w:t>
      </w:r>
      <w:r w:rsidRPr="001C585F">
        <w:rPr>
          <w:lang w:val="en-US" w:eastAsia="fi-FI"/>
        </w:rPr>
        <w:t>.</w:t>
      </w:r>
      <w:r w:rsidRPr="001C585F">
        <w:t>”</w:t>
      </w:r>
      <w:proofErr w:type="gramEnd"/>
    </w:p>
    <w:p w14:paraId="0337F7CF" w14:textId="64DA790A" w:rsidR="00941862" w:rsidRPr="004F2217" w:rsidRDefault="00941862" w:rsidP="00941862">
      <w:pPr>
        <w:spacing w:after="120"/>
        <w:ind w:left="1134" w:right="1134"/>
        <w:jc w:val="both"/>
      </w:pPr>
      <w:r>
        <w:rPr>
          <w:i/>
        </w:rPr>
        <w:t>Paragraph 6.24.</w:t>
      </w:r>
      <w:r w:rsidRPr="004F2217">
        <w:rPr>
          <w:i/>
        </w:rPr>
        <w:t xml:space="preserve">, </w:t>
      </w:r>
      <w:r w:rsidRPr="004F2217">
        <w:t>amend to read:</w:t>
      </w:r>
    </w:p>
    <w:p w14:paraId="152A7BD8" w14:textId="5BB1824D" w:rsidR="00941862" w:rsidRDefault="00941862" w:rsidP="00941862">
      <w:pPr>
        <w:pStyle w:val="SingleTxtG"/>
        <w:ind w:left="2268" w:hanging="1134"/>
      </w:pPr>
      <w:r w:rsidRPr="00015B17">
        <w:t>“</w:t>
      </w:r>
      <w:r>
        <w:t>6.24</w:t>
      </w:r>
      <w:r w:rsidRPr="00015B17">
        <w:t xml:space="preserve">. </w:t>
      </w:r>
      <w:r w:rsidRPr="00015B17">
        <w:tab/>
      </w:r>
      <w:r w:rsidRPr="001C585F">
        <w:rPr>
          <w:lang w:eastAsia="fi-FI"/>
        </w:rPr>
        <w:t>Manoeuvring</w:t>
      </w:r>
      <w:r w:rsidRPr="00941862">
        <w:rPr>
          <w:lang w:val="en-US" w:eastAsia="fi-FI"/>
        </w:rPr>
        <w:t xml:space="preserve"> lamps (Regulation No. 23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 w:rsidR="00690D7D"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36930AAF" w14:textId="77A05D90" w:rsidR="00941862" w:rsidRPr="004F2217" w:rsidRDefault="00941862" w:rsidP="00941862">
      <w:pPr>
        <w:spacing w:after="120"/>
        <w:ind w:left="1134" w:right="1134"/>
        <w:jc w:val="both"/>
      </w:pPr>
      <w:r>
        <w:rPr>
          <w:i/>
        </w:rPr>
        <w:t>Paragraph 6.24.9.2.</w:t>
      </w:r>
      <w:r w:rsidRPr="004F2217">
        <w:rPr>
          <w:i/>
        </w:rPr>
        <w:t xml:space="preserve">, </w:t>
      </w:r>
      <w:r w:rsidRPr="004F2217">
        <w:t>amend to read:</w:t>
      </w:r>
    </w:p>
    <w:p w14:paraId="420DA454" w14:textId="69F6C314" w:rsidR="00941862" w:rsidRDefault="00941862" w:rsidP="004946AB">
      <w:pPr>
        <w:pStyle w:val="SingleTxtG"/>
        <w:ind w:left="2268" w:hanging="1134"/>
      </w:pPr>
      <w:proofErr w:type="gramStart"/>
      <w:r w:rsidRPr="00015B17">
        <w:t>“</w:t>
      </w:r>
      <w:r>
        <w:t>6.24</w:t>
      </w:r>
      <w:r w:rsidRPr="00015B17">
        <w:t>.</w:t>
      </w:r>
      <w:r>
        <w:t>9.2.</w:t>
      </w:r>
      <w:r w:rsidRPr="00015B17">
        <w:t xml:space="preserve"> </w:t>
      </w:r>
      <w:r w:rsidRPr="00015B17">
        <w:tab/>
      </w:r>
      <w:r>
        <w:tab/>
      </w:r>
      <w:r w:rsidRPr="00941862">
        <w:rPr>
          <w:lang w:val="en-US" w:eastAsia="fi-FI"/>
        </w:rPr>
        <w:t>The requirement of 6.24.9.1</w:t>
      </w:r>
      <w:r w:rsidR="0049243F">
        <w:rPr>
          <w:lang w:val="en-US" w:eastAsia="fi-FI"/>
        </w:rPr>
        <w:t>.</w:t>
      </w:r>
      <w:proofErr w:type="gramEnd"/>
      <w:r w:rsidRPr="00941862">
        <w:rPr>
          <w:lang w:val="en-US" w:eastAsia="fi-FI"/>
        </w:rPr>
        <w:t xml:space="preserve"> </w:t>
      </w:r>
      <w:proofErr w:type="gramStart"/>
      <w:r w:rsidRPr="00941862">
        <w:rPr>
          <w:lang w:val="en-US" w:eastAsia="fi-FI"/>
        </w:rPr>
        <w:t>shall</w:t>
      </w:r>
      <w:proofErr w:type="gramEnd"/>
      <w:r w:rsidRPr="00941862">
        <w:rPr>
          <w:lang w:val="en-US" w:eastAsia="fi-FI"/>
        </w:rPr>
        <w:t xml:space="preserve"> be verified</w:t>
      </w:r>
      <w:r>
        <w:rPr>
          <w:lang w:val="en-US" w:eastAsia="fi-FI"/>
        </w:rPr>
        <w:t xml:space="preserve"> </w:t>
      </w:r>
      <w:r w:rsidRPr="00941862">
        <w:rPr>
          <w:lang w:val="en-US" w:eastAsia="fi-FI"/>
        </w:rPr>
        <w:t>by a drawing or simulation or deemed be</w:t>
      </w:r>
      <w:r>
        <w:rPr>
          <w:lang w:val="en-US" w:eastAsia="fi-FI"/>
        </w:rPr>
        <w:t xml:space="preserve"> </w:t>
      </w:r>
      <w:r w:rsidRPr="00941862">
        <w:rPr>
          <w:lang w:val="en-US" w:eastAsia="fi-FI"/>
        </w:rPr>
        <w:t>satisfied if the installation conditions comply</w:t>
      </w:r>
      <w:r>
        <w:rPr>
          <w:lang w:val="en-US" w:eastAsia="fi-FI"/>
        </w:rPr>
        <w:t xml:space="preserve"> </w:t>
      </w:r>
      <w:r w:rsidRPr="00941862">
        <w:rPr>
          <w:lang w:val="en-US" w:eastAsia="fi-FI"/>
        </w:rPr>
        <w:t>with paragraph 6.2.</w:t>
      </w:r>
      <w:r w:rsidR="00B40F69" w:rsidRPr="00B40F69">
        <w:rPr>
          <w:b/>
          <w:lang w:val="en-US" w:eastAsia="fi-FI"/>
        </w:rPr>
        <w:t>2</w:t>
      </w:r>
      <w:r w:rsidRPr="00B40F69">
        <w:rPr>
          <w:b/>
          <w:strike/>
          <w:lang w:val="en-US" w:eastAsia="fi-FI"/>
        </w:rPr>
        <w:t>3</w:t>
      </w:r>
      <w:r w:rsidRPr="00941862">
        <w:rPr>
          <w:lang w:val="en-US" w:eastAsia="fi-FI"/>
        </w:rPr>
        <w:t xml:space="preserve">. </w:t>
      </w:r>
      <w:proofErr w:type="gramStart"/>
      <w:r w:rsidRPr="00941862">
        <w:rPr>
          <w:lang w:val="en-US" w:eastAsia="fi-FI"/>
        </w:rPr>
        <w:t>of</w:t>
      </w:r>
      <w:proofErr w:type="gramEnd"/>
      <w:r w:rsidRPr="00941862">
        <w:rPr>
          <w:lang w:val="en-US" w:eastAsia="fi-FI"/>
        </w:rPr>
        <w:t xml:space="preserve"> Regulation No. 23</w:t>
      </w:r>
      <w:r>
        <w:rPr>
          <w:lang w:val="en-US" w:eastAsia="fi-FI"/>
        </w:rPr>
        <w:t xml:space="preserve"> </w:t>
      </w:r>
      <w:r w:rsidRPr="0049243F">
        <w:rPr>
          <w:b/>
          <w:lang w:val="en-US" w:eastAsia="fi-FI"/>
        </w:rPr>
        <w:t xml:space="preserve">or paragraph </w:t>
      </w:r>
      <w:r w:rsidR="00B40F69" w:rsidRPr="0049243F">
        <w:rPr>
          <w:b/>
          <w:lang w:val="en-US" w:eastAsia="fi-FI"/>
        </w:rPr>
        <w:t>5</w:t>
      </w:r>
      <w:r w:rsidRPr="0049243F">
        <w:rPr>
          <w:b/>
          <w:lang w:val="en-US" w:eastAsia="fi-FI"/>
        </w:rPr>
        <w:t>.</w:t>
      </w:r>
      <w:r w:rsidR="00B40F69" w:rsidRPr="0049243F">
        <w:rPr>
          <w:b/>
          <w:lang w:val="en-US" w:eastAsia="fi-FI"/>
        </w:rPr>
        <w:t>10.2</w:t>
      </w:r>
      <w:r w:rsidRPr="0049243F">
        <w:rPr>
          <w:b/>
          <w:lang w:val="en-US" w:eastAsia="fi-FI"/>
        </w:rPr>
        <w:t xml:space="preserve"> of</w:t>
      </w:r>
      <w:r w:rsidRPr="00941862">
        <w:rPr>
          <w:b/>
          <w:lang w:val="en-US" w:eastAsia="fi-FI"/>
        </w:rPr>
        <w:t xml:space="preserve"> Regulation No. [LSD]</w:t>
      </w:r>
      <w:r w:rsidRPr="00941862">
        <w:rPr>
          <w:lang w:val="en-US" w:eastAsia="fi-FI"/>
        </w:rPr>
        <w:t>,</w:t>
      </w:r>
      <w:r>
        <w:rPr>
          <w:lang w:val="en-US" w:eastAsia="fi-FI"/>
        </w:rPr>
        <w:t xml:space="preserve"> </w:t>
      </w:r>
      <w:r w:rsidRPr="00941862">
        <w:rPr>
          <w:lang w:val="en-US" w:eastAsia="fi-FI"/>
        </w:rPr>
        <w:t>as noticed in the communication document in</w:t>
      </w:r>
      <w:r>
        <w:rPr>
          <w:lang w:val="en-US" w:eastAsia="fi-FI"/>
        </w:rPr>
        <w:t xml:space="preserve"> </w:t>
      </w:r>
      <w:r w:rsidRPr="00941862">
        <w:rPr>
          <w:lang w:val="en-US" w:eastAsia="fi-FI"/>
        </w:rPr>
        <w:t>Annex 1, paragraph 9.</w:t>
      </w:r>
      <w:r w:rsidRPr="009C35C4">
        <w:t>”</w:t>
      </w:r>
    </w:p>
    <w:p w14:paraId="033BAD74" w14:textId="61751E64" w:rsidR="007D5B04" w:rsidRPr="004F2217" w:rsidRDefault="007D5B04" w:rsidP="007D5B04">
      <w:pPr>
        <w:spacing w:after="120"/>
        <w:ind w:left="1134" w:right="1134"/>
        <w:jc w:val="both"/>
      </w:pPr>
      <w:r>
        <w:rPr>
          <w:i/>
        </w:rPr>
        <w:t>Paragraph 6.25.</w:t>
      </w:r>
      <w:r w:rsidRPr="004F2217">
        <w:rPr>
          <w:i/>
        </w:rPr>
        <w:t xml:space="preserve">, </w:t>
      </w:r>
      <w:r w:rsidRPr="004F2217">
        <w:t>amend to read:</w:t>
      </w:r>
    </w:p>
    <w:p w14:paraId="2379FD28" w14:textId="1AE5084E" w:rsidR="007D5B04" w:rsidRDefault="007D5B04" w:rsidP="007D5B04">
      <w:pPr>
        <w:pStyle w:val="SingleTxtG"/>
        <w:ind w:left="2268" w:hanging="1134"/>
      </w:pPr>
      <w:r w:rsidRPr="00015B17">
        <w:t>“</w:t>
      </w:r>
      <w:r>
        <w:t>6.25</w:t>
      </w:r>
      <w:r w:rsidRPr="00015B17">
        <w:t xml:space="preserve">. </w:t>
      </w:r>
      <w:r w:rsidRPr="00015B17">
        <w:tab/>
      </w:r>
      <w:r w:rsidRPr="007D5B04">
        <w:rPr>
          <w:lang w:val="en-US" w:eastAsia="fi-FI"/>
        </w:rPr>
        <w:t>Rear retro-reflectors, triangular (Regulation No. 3</w:t>
      </w:r>
      <w:r w:rsidRPr="007D5B04">
        <w:rPr>
          <w:b/>
          <w:lang w:val="en-US" w:eastAsia="fi-FI"/>
        </w:rPr>
        <w:t xml:space="preserve"> or </w:t>
      </w:r>
      <w:r w:rsidRPr="009C35C4">
        <w:rPr>
          <w:b/>
        </w:rPr>
        <w:t>[</w:t>
      </w:r>
      <w:r w:rsidR="007B505C" w:rsidRPr="00C9771B">
        <w:rPr>
          <w:b/>
        </w:rPr>
        <w:t>RRD</w:t>
      </w:r>
      <w:r w:rsidRPr="00C9771B">
        <w:rPr>
          <w:b/>
        </w:rPr>
        <w:t>]</w:t>
      </w:r>
      <w:r w:rsidRPr="009C35C4">
        <w:t>)”</w:t>
      </w:r>
    </w:p>
    <w:p w14:paraId="617B9451" w14:textId="63AF203D" w:rsidR="007D5B04" w:rsidRPr="004F2217" w:rsidRDefault="007D5B04" w:rsidP="007D5B04">
      <w:pPr>
        <w:spacing w:after="120"/>
        <w:ind w:left="1134" w:right="1134"/>
        <w:jc w:val="both"/>
      </w:pPr>
      <w:r>
        <w:rPr>
          <w:i/>
        </w:rPr>
        <w:t>Paragraph 6.26.</w:t>
      </w:r>
      <w:r w:rsidRPr="004F2217">
        <w:rPr>
          <w:i/>
        </w:rPr>
        <w:t xml:space="preserve">, </w:t>
      </w:r>
      <w:r w:rsidRPr="004F2217">
        <w:t>amend to read:</w:t>
      </w:r>
    </w:p>
    <w:p w14:paraId="5CF5E1B5" w14:textId="22265F9C" w:rsidR="007D5B04" w:rsidRDefault="007D5B04" w:rsidP="007D5B04">
      <w:pPr>
        <w:pStyle w:val="SingleTxtG"/>
        <w:ind w:left="2268" w:hanging="1134"/>
      </w:pPr>
      <w:r w:rsidRPr="00015B17">
        <w:t>“</w:t>
      </w:r>
      <w:r>
        <w:t>6.26</w:t>
      </w:r>
      <w:r w:rsidRPr="00015B17">
        <w:t xml:space="preserve">. </w:t>
      </w:r>
      <w:r w:rsidRPr="00015B17">
        <w:tab/>
      </w:r>
      <w:r w:rsidRPr="0049243F">
        <w:rPr>
          <w:lang w:eastAsia="fi-FI"/>
        </w:rPr>
        <w:t>Signalling panel and signalling</w:t>
      </w:r>
      <w:r w:rsidRPr="007D5B04">
        <w:rPr>
          <w:lang w:val="en-US" w:eastAsia="fi-FI"/>
        </w:rPr>
        <w:t xml:space="preserve"> foil (Regulations Nos. 70 and 104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>or</w:t>
      </w:r>
      <w:r w:rsidRPr="009C35C4">
        <w:rPr>
          <w:b/>
        </w:rPr>
        <w:t xml:space="preserve"> [</w:t>
      </w:r>
      <w:r w:rsidR="007B505C" w:rsidRPr="00C9771B">
        <w:rPr>
          <w:b/>
        </w:rPr>
        <w:t>RRD</w:t>
      </w:r>
      <w:r w:rsidRPr="009C35C4">
        <w:rPr>
          <w:b/>
        </w:rPr>
        <w:t>]</w:t>
      </w:r>
      <w:r w:rsidRPr="009C35C4">
        <w:t>)”</w:t>
      </w:r>
    </w:p>
    <w:p w14:paraId="23D97520" w14:textId="0FF905AC" w:rsidR="007D5B04" w:rsidRPr="004F2217" w:rsidRDefault="007D5B04" w:rsidP="007D5B04">
      <w:pPr>
        <w:spacing w:after="120"/>
        <w:ind w:left="1134" w:right="1134"/>
        <w:jc w:val="both"/>
      </w:pPr>
      <w:r>
        <w:rPr>
          <w:i/>
        </w:rPr>
        <w:t xml:space="preserve">Annex 6, Paragraph </w:t>
      </w:r>
      <w:proofErr w:type="gramStart"/>
      <w:r>
        <w:rPr>
          <w:i/>
        </w:rPr>
        <w:t>2.</w:t>
      </w:r>
      <w:r w:rsidRPr="004F2217">
        <w:rPr>
          <w:i/>
        </w:rPr>
        <w:t>,</w:t>
      </w:r>
      <w:proofErr w:type="gramEnd"/>
      <w:r w:rsidRPr="004F2217">
        <w:rPr>
          <w:i/>
        </w:rPr>
        <w:t xml:space="preserve"> </w:t>
      </w:r>
      <w:r w:rsidRPr="004F2217">
        <w:t>amend to read:</w:t>
      </w:r>
    </w:p>
    <w:p w14:paraId="686F0664" w14:textId="5FE6DD29" w:rsidR="007D5B04" w:rsidRDefault="007D5B04" w:rsidP="007D5B04">
      <w:pPr>
        <w:pStyle w:val="SingleTxtG"/>
        <w:ind w:left="2268" w:hanging="1134"/>
      </w:pPr>
      <w:r w:rsidRPr="00015B17">
        <w:t>“</w:t>
      </w:r>
      <w:r>
        <w:t>2</w:t>
      </w:r>
      <w:r w:rsidRPr="00015B17">
        <w:t xml:space="preserve">. </w:t>
      </w:r>
      <w:r w:rsidRPr="00015B17">
        <w:tab/>
      </w:r>
      <w:r w:rsidRPr="007D5B04">
        <w:rPr>
          <w:lang w:val="en-US" w:eastAsia="fi-FI"/>
        </w:rPr>
        <w:t>Each panel or foil shall be according to the specifications of Regulation No. 70, class 5 or Regulation No. 104, class F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49243F">
        <w:rPr>
          <w:b/>
          <w:lang w:val="en-US" w:eastAsia="fi-FI"/>
        </w:rPr>
        <w:t>Regulation No.</w:t>
      </w:r>
      <w:r w:rsidRPr="0049243F">
        <w:rPr>
          <w:b/>
        </w:rPr>
        <w:t xml:space="preserve"> [RRD]</w:t>
      </w:r>
      <w:r w:rsidR="00070351" w:rsidRPr="0049243F">
        <w:rPr>
          <w:b/>
        </w:rPr>
        <w:t xml:space="preserve">, </w:t>
      </w:r>
      <w:r w:rsidR="00070351" w:rsidRPr="0049243F">
        <w:rPr>
          <w:b/>
          <w:lang w:val="en-US" w:eastAsia="fi-FI"/>
        </w:rPr>
        <w:t>class 5 or class F</w:t>
      </w:r>
      <w:r w:rsidR="00070351" w:rsidRPr="0049243F">
        <w:t>.</w:t>
      </w:r>
      <w:r w:rsidRPr="0049243F">
        <w:t>”</w:t>
      </w:r>
    </w:p>
    <w:p w14:paraId="3230F62B" w14:textId="77777777" w:rsidR="00A40103" w:rsidRPr="009C35C4" w:rsidRDefault="00A40103" w:rsidP="00A40103">
      <w:pPr>
        <w:pStyle w:val="SingleTxtG"/>
        <w:ind w:left="2268" w:hanging="1134"/>
      </w:pPr>
    </w:p>
    <w:p w14:paraId="2E4CA412" w14:textId="77777777" w:rsidR="00A5414C" w:rsidRPr="00FA7728" w:rsidRDefault="00A5414C" w:rsidP="00A5414C">
      <w:pPr>
        <w:pStyle w:val="HChG"/>
        <w:rPr>
          <w:lang w:val="en-US"/>
        </w:rPr>
      </w:pPr>
      <w:r w:rsidRPr="00FA7728">
        <w:rPr>
          <w:lang w:val="en-US"/>
        </w:rPr>
        <w:tab/>
        <w:t>II.</w:t>
      </w:r>
      <w:r w:rsidRPr="00FA7728">
        <w:rPr>
          <w:lang w:val="en-US"/>
        </w:rPr>
        <w:tab/>
        <w:t>Justification</w:t>
      </w:r>
    </w:p>
    <w:p w14:paraId="4D3F14D7" w14:textId="0B46EC50" w:rsidR="00A504A1" w:rsidRDefault="00EA43C2" w:rsidP="00A9711E">
      <w:pPr>
        <w:pStyle w:val="ListParagraph"/>
        <w:numPr>
          <w:ilvl w:val="0"/>
          <w:numId w:val="30"/>
        </w:numPr>
        <w:spacing w:after="120"/>
        <w:ind w:right="1134"/>
        <w:jc w:val="both"/>
      </w:pPr>
      <w:r w:rsidRPr="00EA43C2">
        <w:t>With Supplement 06 to the original</w:t>
      </w:r>
      <w:r w:rsidR="00690D7D" w:rsidRPr="00EA43C2">
        <w:t xml:space="preserve"> series of amendments, </w:t>
      </w:r>
      <w:r w:rsidR="00B40F69">
        <w:t>references to the d</w:t>
      </w:r>
      <w:r w:rsidR="00B563CD" w:rsidRPr="00EA43C2">
        <w:t>evice Regulations were</w:t>
      </w:r>
      <w:r w:rsidR="009C35C4" w:rsidRPr="00EA43C2">
        <w:t xml:space="preserve"> introduced to</w:t>
      </w:r>
      <w:r w:rsidR="009C35C4">
        <w:t xml:space="preserve"> Regulation No. 86</w:t>
      </w:r>
      <w:r w:rsidR="00B563CD">
        <w:t xml:space="preserve"> for clarification</w:t>
      </w:r>
      <w:r w:rsidR="00A9711E">
        <w:t>.</w:t>
      </w:r>
    </w:p>
    <w:p w14:paraId="080F4ED4" w14:textId="77777777" w:rsidR="00A9711E" w:rsidRPr="00A9711E" w:rsidRDefault="00A9711E" w:rsidP="00A9711E">
      <w:pPr>
        <w:pStyle w:val="ListParagraph"/>
        <w:spacing w:after="120"/>
        <w:ind w:left="1689" w:right="1134"/>
        <w:jc w:val="both"/>
      </w:pPr>
    </w:p>
    <w:p w14:paraId="4E4FE2DF" w14:textId="6DC6759C" w:rsidR="00A504A1" w:rsidRPr="00691909" w:rsidRDefault="00A9711E" w:rsidP="00A9711E">
      <w:pPr>
        <w:pStyle w:val="ListParagraph"/>
        <w:numPr>
          <w:ilvl w:val="0"/>
          <w:numId w:val="30"/>
        </w:numPr>
        <w:spacing w:after="120"/>
        <w:ind w:right="1134"/>
        <w:jc w:val="both"/>
        <w:rPr>
          <w:lang w:val="en-US"/>
        </w:rPr>
      </w:pPr>
      <w:r>
        <w:t xml:space="preserve">With the new simplified Regulations on Lighting and Light-Signalling </w:t>
      </w:r>
      <w:r w:rsidR="00EA43C2">
        <w:t xml:space="preserve">developed by </w:t>
      </w:r>
      <w:r>
        <w:t xml:space="preserve">the GRE Informal Working Group “SLR”, the need of additional references in Regulation No. </w:t>
      </w:r>
      <w:r w:rsidR="009C35C4">
        <w:t>86</w:t>
      </w:r>
      <w:r>
        <w:t xml:space="preserve"> occurred. This amendment deals with the additional references to the new Regulations.</w:t>
      </w:r>
    </w:p>
    <w:p w14:paraId="6EC33610" w14:textId="77777777" w:rsidR="00450145" w:rsidRDefault="00450145" w:rsidP="00450145">
      <w:pPr>
        <w:suppressAutoHyphens w:val="0"/>
        <w:spacing w:line="240" w:lineRule="auto"/>
        <w:jc w:val="center"/>
      </w:pPr>
      <w:r>
        <w:t>_________________</w:t>
      </w:r>
    </w:p>
    <w:sectPr w:rsidR="00450145" w:rsidSect="006D66AF">
      <w:headerReference w:type="first" r:id="rId9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F86BB1" w15:done="0"/>
  <w15:commentEx w15:paraId="331DDDDD" w15:done="0"/>
  <w15:commentEx w15:paraId="3BD0F1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60A98" w14:textId="77777777" w:rsidR="009124B0" w:rsidRDefault="009124B0"/>
  </w:endnote>
  <w:endnote w:type="continuationSeparator" w:id="0">
    <w:p w14:paraId="3919EFE2" w14:textId="77777777" w:rsidR="009124B0" w:rsidRDefault="009124B0"/>
  </w:endnote>
  <w:endnote w:type="continuationNotice" w:id="1">
    <w:p w14:paraId="32E176BA" w14:textId="77777777" w:rsidR="009124B0" w:rsidRDefault="00912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4B544" w14:textId="77777777" w:rsidR="009124B0" w:rsidRPr="000B175B" w:rsidRDefault="009124B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A6BB28" w14:textId="77777777" w:rsidR="009124B0" w:rsidRPr="00FC68B7" w:rsidRDefault="009124B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AB8AD8" w14:textId="77777777" w:rsidR="009124B0" w:rsidRDefault="009124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ook w:val="04A0" w:firstRow="1" w:lastRow="0" w:firstColumn="1" w:lastColumn="0" w:noHBand="0" w:noVBand="1"/>
    </w:tblPr>
    <w:tblGrid>
      <w:gridCol w:w="4536"/>
      <w:gridCol w:w="5103"/>
    </w:tblGrid>
    <w:tr w:rsidR="0026345C" w:rsidRPr="00E02E7F" w14:paraId="34F3C528" w14:textId="77777777" w:rsidTr="003C4C19">
      <w:tc>
        <w:tcPr>
          <w:tcW w:w="4536" w:type="dxa"/>
          <w:vAlign w:val="center"/>
          <w:hideMark/>
        </w:tcPr>
        <w:p w14:paraId="725658FE" w14:textId="2BCF0787" w:rsidR="0026345C" w:rsidRPr="00E02E7F" w:rsidRDefault="0026345C" w:rsidP="00A362E2">
          <w:pPr>
            <w:spacing w:line="240" w:lineRule="auto"/>
            <w:rPr>
              <w:sz w:val="24"/>
              <w:szCs w:val="24"/>
              <w:lang w:eastAsia="it-IT"/>
            </w:rPr>
          </w:pPr>
          <w:r w:rsidRPr="00E02E7F">
            <w:rPr>
              <w:sz w:val="24"/>
              <w:szCs w:val="24"/>
              <w:lang w:eastAsia="it-IT"/>
            </w:rPr>
            <w:t xml:space="preserve">Transmitted by the </w:t>
          </w:r>
          <w:r>
            <w:rPr>
              <w:sz w:val="24"/>
              <w:szCs w:val="24"/>
              <w:lang w:eastAsia="it-IT"/>
            </w:rPr>
            <w:t>IWG SLR</w:t>
          </w:r>
        </w:p>
      </w:tc>
      <w:tc>
        <w:tcPr>
          <w:tcW w:w="5103" w:type="dxa"/>
          <w:hideMark/>
        </w:tcPr>
        <w:p w14:paraId="75A100E8" w14:textId="2ECFD6F3" w:rsidR="0026345C" w:rsidRPr="00E02E7F" w:rsidRDefault="0026345C" w:rsidP="003C4C19">
          <w:pPr>
            <w:spacing w:line="240" w:lineRule="auto"/>
            <w:ind w:left="1418"/>
            <w:rPr>
              <w:sz w:val="24"/>
              <w:szCs w:val="24"/>
              <w:lang w:eastAsia="it-IT"/>
            </w:rPr>
          </w:pPr>
          <w:r w:rsidRPr="00E02E7F">
            <w:rPr>
              <w:sz w:val="24"/>
              <w:szCs w:val="24"/>
              <w:lang w:eastAsia="it-IT"/>
            </w:rPr>
            <w:t xml:space="preserve">Informal document </w:t>
          </w:r>
          <w:r w:rsidRPr="00E02E7F">
            <w:rPr>
              <w:b/>
              <w:sz w:val="24"/>
              <w:szCs w:val="24"/>
              <w:lang w:eastAsia="it-IT"/>
            </w:rPr>
            <w:t>GRE-78-</w:t>
          </w:r>
          <w:r w:rsidR="00A362E2">
            <w:rPr>
              <w:b/>
              <w:sz w:val="24"/>
              <w:szCs w:val="24"/>
              <w:lang w:eastAsia="it-IT"/>
            </w:rPr>
            <w:t>13</w:t>
          </w:r>
        </w:p>
        <w:p w14:paraId="3CACAF34" w14:textId="77777777" w:rsidR="0026345C" w:rsidRPr="00E02E7F" w:rsidRDefault="0026345C" w:rsidP="003C4C19">
          <w:pPr>
            <w:spacing w:line="240" w:lineRule="auto"/>
            <w:ind w:left="1418"/>
            <w:rPr>
              <w:sz w:val="24"/>
              <w:szCs w:val="24"/>
              <w:lang w:eastAsia="it-IT"/>
            </w:rPr>
          </w:pPr>
          <w:r w:rsidRPr="00E02E7F">
            <w:rPr>
              <w:sz w:val="24"/>
              <w:szCs w:val="24"/>
              <w:lang w:eastAsia="it-IT"/>
            </w:rPr>
            <w:t>(78th GRE, 24-27 October 2017</w:t>
          </w:r>
        </w:p>
        <w:p w14:paraId="47CA3F86" w14:textId="76760410" w:rsidR="0026345C" w:rsidRPr="00E02E7F" w:rsidRDefault="0026345C" w:rsidP="00A362E2">
          <w:pPr>
            <w:spacing w:line="240" w:lineRule="auto"/>
            <w:ind w:left="1418"/>
            <w:rPr>
              <w:sz w:val="24"/>
              <w:szCs w:val="24"/>
              <w:lang w:eastAsia="it-IT"/>
            </w:rPr>
          </w:pPr>
          <w:r w:rsidRPr="00E02E7F">
            <w:rPr>
              <w:sz w:val="24"/>
              <w:szCs w:val="24"/>
              <w:lang w:eastAsia="it-IT"/>
            </w:rPr>
            <w:t xml:space="preserve">agenda item </w:t>
          </w:r>
          <w:r w:rsidRPr="00A362E2">
            <w:rPr>
              <w:sz w:val="24"/>
              <w:szCs w:val="24"/>
              <w:lang w:eastAsia="it-IT"/>
            </w:rPr>
            <w:t>4)</w:t>
          </w:r>
        </w:p>
      </w:tc>
    </w:tr>
  </w:tbl>
  <w:p w14:paraId="7FFA4F9E" w14:textId="77777777" w:rsidR="0026345C" w:rsidRDefault="0026345C" w:rsidP="00A362E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44909D6"/>
    <w:multiLevelType w:val="hybridMultilevel"/>
    <w:tmpl w:val="EDC43BB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DB7EC5"/>
    <w:multiLevelType w:val="hybridMultilevel"/>
    <w:tmpl w:val="6610E2E4"/>
    <w:lvl w:ilvl="0" w:tplc="DC14A7A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187E5989"/>
    <w:multiLevelType w:val="hybridMultilevel"/>
    <w:tmpl w:val="B7B631E0"/>
    <w:lvl w:ilvl="0" w:tplc="EC4E233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7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3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4">
    <w:nsid w:val="4AB670EF"/>
    <w:multiLevelType w:val="hybridMultilevel"/>
    <w:tmpl w:val="95681D2E"/>
    <w:lvl w:ilvl="0" w:tplc="D0C847C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4"/>
  </w:num>
  <w:num w:numId="13">
    <w:abstractNumId w:val="13"/>
  </w:num>
  <w:num w:numId="14">
    <w:abstractNumId w:val="27"/>
  </w:num>
  <w:num w:numId="15">
    <w:abstractNumId w:val="28"/>
  </w:num>
  <w:num w:numId="16">
    <w:abstractNumId w:val="10"/>
  </w:num>
  <w:num w:numId="17">
    <w:abstractNumId w:val="18"/>
  </w:num>
  <w:num w:numId="18">
    <w:abstractNumId w:val="21"/>
  </w:num>
  <w:num w:numId="19">
    <w:abstractNumId w:val="11"/>
  </w:num>
  <w:num w:numId="20">
    <w:abstractNumId w:val="19"/>
  </w:num>
  <w:num w:numId="21">
    <w:abstractNumId w:val="29"/>
  </w:num>
  <w:num w:numId="22">
    <w:abstractNumId w:val="17"/>
  </w:num>
  <w:num w:numId="23">
    <w:abstractNumId w:val="25"/>
  </w:num>
  <w:num w:numId="24">
    <w:abstractNumId w:val="20"/>
  </w:num>
  <w:num w:numId="25">
    <w:abstractNumId w:val="15"/>
  </w:num>
  <w:num w:numId="26">
    <w:abstractNumId w:val="16"/>
  </w:num>
  <w:num w:numId="27">
    <w:abstractNumId w:val="22"/>
  </w:num>
  <w:num w:numId="28">
    <w:abstractNumId w:val="23"/>
  </w:num>
  <w:num w:numId="29">
    <w:abstractNumId w:val="12"/>
  </w:num>
  <w:num w:numId="30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uckhage, Thomas">
    <w15:presenceInfo w15:providerId="AD" w15:userId="S-1-5-21-292317689-1451366367-1575050150-2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0366D"/>
    <w:rsid w:val="00003702"/>
    <w:rsid w:val="00013D2C"/>
    <w:rsid w:val="00013D99"/>
    <w:rsid w:val="00015B17"/>
    <w:rsid w:val="0002092A"/>
    <w:rsid w:val="00021214"/>
    <w:rsid w:val="00023F66"/>
    <w:rsid w:val="0003056C"/>
    <w:rsid w:val="000305B4"/>
    <w:rsid w:val="000348D3"/>
    <w:rsid w:val="0003791F"/>
    <w:rsid w:val="000444B6"/>
    <w:rsid w:val="00046B1F"/>
    <w:rsid w:val="00050F6B"/>
    <w:rsid w:val="00052635"/>
    <w:rsid w:val="00057E97"/>
    <w:rsid w:val="000610F9"/>
    <w:rsid w:val="000646F4"/>
    <w:rsid w:val="00070351"/>
    <w:rsid w:val="00072C8C"/>
    <w:rsid w:val="000733B5"/>
    <w:rsid w:val="00076B28"/>
    <w:rsid w:val="00081815"/>
    <w:rsid w:val="0008590F"/>
    <w:rsid w:val="00092169"/>
    <w:rsid w:val="000931C0"/>
    <w:rsid w:val="00096FFF"/>
    <w:rsid w:val="000B0595"/>
    <w:rsid w:val="000B144E"/>
    <w:rsid w:val="000B175B"/>
    <w:rsid w:val="000B2F02"/>
    <w:rsid w:val="000B3A0F"/>
    <w:rsid w:val="000B4EF7"/>
    <w:rsid w:val="000C2138"/>
    <w:rsid w:val="000C2C03"/>
    <w:rsid w:val="000C2D2E"/>
    <w:rsid w:val="000C3C58"/>
    <w:rsid w:val="000C5845"/>
    <w:rsid w:val="000E0415"/>
    <w:rsid w:val="000F431B"/>
    <w:rsid w:val="001078D2"/>
    <w:rsid w:val="001103AA"/>
    <w:rsid w:val="0011666B"/>
    <w:rsid w:val="00124000"/>
    <w:rsid w:val="0013722F"/>
    <w:rsid w:val="00143274"/>
    <w:rsid w:val="0014380B"/>
    <w:rsid w:val="001464B2"/>
    <w:rsid w:val="00146F22"/>
    <w:rsid w:val="00150388"/>
    <w:rsid w:val="00157FE9"/>
    <w:rsid w:val="0016538B"/>
    <w:rsid w:val="00165F3A"/>
    <w:rsid w:val="00181198"/>
    <w:rsid w:val="00182290"/>
    <w:rsid w:val="00187A6E"/>
    <w:rsid w:val="00187F06"/>
    <w:rsid w:val="001932B7"/>
    <w:rsid w:val="001938F4"/>
    <w:rsid w:val="001A3955"/>
    <w:rsid w:val="001B1444"/>
    <w:rsid w:val="001B4B04"/>
    <w:rsid w:val="001B4DD1"/>
    <w:rsid w:val="001C585F"/>
    <w:rsid w:val="001C6326"/>
    <w:rsid w:val="001C6663"/>
    <w:rsid w:val="001C7895"/>
    <w:rsid w:val="001D0C8C"/>
    <w:rsid w:val="001D10DE"/>
    <w:rsid w:val="001D1419"/>
    <w:rsid w:val="001D26DF"/>
    <w:rsid w:val="001D3038"/>
    <w:rsid w:val="001D3A03"/>
    <w:rsid w:val="001D60A6"/>
    <w:rsid w:val="001E7B67"/>
    <w:rsid w:val="001F211B"/>
    <w:rsid w:val="001F652B"/>
    <w:rsid w:val="00202DA8"/>
    <w:rsid w:val="00204AD6"/>
    <w:rsid w:val="00210A69"/>
    <w:rsid w:val="00211E0B"/>
    <w:rsid w:val="00224DCE"/>
    <w:rsid w:val="0023625B"/>
    <w:rsid w:val="0024772E"/>
    <w:rsid w:val="00253714"/>
    <w:rsid w:val="002546AE"/>
    <w:rsid w:val="00255158"/>
    <w:rsid w:val="002608F3"/>
    <w:rsid w:val="0026345C"/>
    <w:rsid w:val="00267F5F"/>
    <w:rsid w:val="00271060"/>
    <w:rsid w:val="002715C4"/>
    <w:rsid w:val="002740A0"/>
    <w:rsid w:val="00275800"/>
    <w:rsid w:val="00283697"/>
    <w:rsid w:val="00286B4D"/>
    <w:rsid w:val="0029109B"/>
    <w:rsid w:val="002A6754"/>
    <w:rsid w:val="002B1DCA"/>
    <w:rsid w:val="002C1A9F"/>
    <w:rsid w:val="002D4643"/>
    <w:rsid w:val="002E4D76"/>
    <w:rsid w:val="002F094E"/>
    <w:rsid w:val="002F175C"/>
    <w:rsid w:val="002F6994"/>
    <w:rsid w:val="002F7DE0"/>
    <w:rsid w:val="00302E18"/>
    <w:rsid w:val="003125E1"/>
    <w:rsid w:val="003146C2"/>
    <w:rsid w:val="003229D8"/>
    <w:rsid w:val="00325093"/>
    <w:rsid w:val="0033790B"/>
    <w:rsid w:val="00340057"/>
    <w:rsid w:val="0034310D"/>
    <w:rsid w:val="00346D03"/>
    <w:rsid w:val="00352709"/>
    <w:rsid w:val="00354371"/>
    <w:rsid w:val="003619B5"/>
    <w:rsid w:val="00361AC3"/>
    <w:rsid w:val="00365763"/>
    <w:rsid w:val="0036599E"/>
    <w:rsid w:val="00366907"/>
    <w:rsid w:val="00370AD8"/>
    <w:rsid w:val="00371178"/>
    <w:rsid w:val="00371CD4"/>
    <w:rsid w:val="00392E47"/>
    <w:rsid w:val="003936BC"/>
    <w:rsid w:val="003940C7"/>
    <w:rsid w:val="003A3EE9"/>
    <w:rsid w:val="003A6810"/>
    <w:rsid w:val="003B7411"/>
    <w:rsid w:val="003C2CC4"/>
    <w:rsid w:val="003C534D"/>
    <w:rsid w:val="003D4B23"/>
    <w:rsid w:val="003D723C"/>
    <w:rsid w:val="003E130E"/>
    <w:rsid w:val="003E1EC6"/>
    <w:rsid w:val="003E2D44"/>
    <w:rsid w:val="003F5103"/>
    <w:rsid w:val="003F63E2"/>
    <w:rsid w:val="00410C89"/>
    <w:rsid w:val="00411E00"/>
    <w:rsid w:val="00412937"/>
    <w:rsid w:val="00414589"/>
    <w:rsid w:val="00422699"/>
    <w:rsid w:val="00422E03"/>
    <w:rsid w:val="00423094"/>
    <w:rsid w:val="00426B9B"/>
    <w:rsid w:val="00431D57"/>
    <w:rsid w:val="004325CB"/>
    <w:rsid w:val="004348AD"/>
    <w:rsid w:val="00442A83"/>
    <w:rsid w:val="00444A24"/>
    <w:rsid w:val="00445682"/>
    <w:rsid w:val="00450145"/>
    <w:rsid w:val="00453556"/>
    <w:rsid w:val="00453B9C"/>
    <w:rsid w:val="0045495B"/>
    <w:rsid w:val="004561E5"/>
    <w:rsid w:val="00462DC9"/>
    <w:rsid w:val="00463A54"/>
    <w:rsid w:val="00467628"/>
    <w:rsid w:val="004833EE"/>
    <w:rsid w:val="0048397A"/>
    <w:rsid w:val="00485CBB"/>
    <w:rsid w:val="004866B7"/>
    <w:rsid w:val="0049243F"/>
    <w:rsid w:val="004946AB"/>
    <w:rsid w:val="004A1587"/>
    <w:rsid w:val="004A53AC"/>
    <w:rsid w:val="004C0081"/>
    <w:rsid w:val="004C2461"/>
    <w:rsid w:val="004C7462"/>
    <w:rsid w:val="004D0696"/>
    <w:rsid w:val="004D127C"/>
    <w:rsid w:val="004E1FAD"/>
    <w:rsid w:val="004E77B2"/>
    <w:rsid w:val="004F2217"/>
    <w:rsid w:val="005000A9"/>
    <w:rsid w:val="00501DC3"/>
    <w:rsid w:val="0050237E"/>
    <w:rsid w:val="00504B2D"/>
    <w:rsid w:val="0052136D"/>
    <w:rsid w:val="0052775E"/>
    <w:rsid w:val="005337E0"/>
    <w:rsid w:val="005369ED"/>
    <w:rsid w:val="00537565"/>
    <w:rsid w:val="005420F2"/>
    <w:rsid w:val="0056209A"/>
    <w:rsid w:val="005628B6"/>
    <w:rsid w:val="00583458"/>
    <w:rsid w:val="00585059"/>
    <w:rsid w:val="00590860"/>
    <w:rsid w:val="005908FB"/>
    <w:rsid w:val="005941EC"/>
    <w:rsid w:val="0059724D"/>
    <w:rsid w:val="005A4616"/>
    <w:rsid w:val="005B320C"/>
    <w:rsid w:val="005B3DB3"/>
    <w:rsid w:val="005B4E13"/>
    <w:rsid w:val="005B79F2"/>
    <w:rsid w:val="005C342F"/>
    <w:rsid w:val="005C7D1E"/>
    <w:rsid w:val="005D0323"/>
    <w:rsid w:val="005D67C8"/>
    <w:rsid w:val="005E1BC9"/>
    <w:rsid w:val="005F1A80"/>
    <w:rsid w:val="005F5FE0"/>
    <w:rsid w:val="005F7B75"/>
    <w:rsid w:val="006001EE"/>
    <w:rsid w:val="00605042"/>
    <w:rsid w:val="00611FC4"/>
    <w:rsid w:val="00613812"/>
    <w:rsid w:val="00613902"/>
    <w:rsid w:val="006176FB"/>
    <w:rsid w:val="0062385B"/>
    <w:rsid w:val="00640B26"/>
    <w:rsid w:val="00641787"/>
    <w:rsid w:val="0065137A"/>
    <w:rsid w:val="00652D0A"/>
    <w:rsid w:val="00662BB6"/>
    <w:rsid w:val="00665DFE"/>
    <w:rsid w:val="00671B51"/>
    <w:rsid w:val="00672A48"/>
    <w:rsid w:val="00672F8A"/>
    <w:rsid w:val="0067362F"/>
    <w:rsid w:val="0067398C"/>
    <w:rsid w:val="00676606"/>
    <w:rsid w:val="00677A28"/>
    <w:rsid w:val="0068000A"/>
    <w:rsid w:val="006810B6"/>
    <w:rsid w:val="00684C21"/>
    <w:rsid w:val="00690D7D"/>
    <w:rsid w:val="00691909"/>
    <w:rsid w:val="00695CEC"/>
    <w:rsid w:val="006A2530"/>
    <w:rsid w:val="006B1C59"/>
    <w:rsid w:val="006B62C0"/>
    <w:rsid w:val="006C3589"/>
    <w:rsid w:val="006C3888"/>
    <w:rsid w:val="006C79BC"/>
    <w:rsid w:val="006D37AF"/>
    <w:rsid w:val="006D51D0"/>
    <w:rsid w:val="006D5FB9"/>
    <w:rsid w:val="006D658E"/>
    <w:rsid w:val="006D66AF"/>
    <w:rsid w:val="006E564B"/>
    <w:rsid w:val="006E7191"/>
    <w:rsid w:val="006F3221"/>
    <w:rsid w:val="00703577"/>
    <w:rsid w:val="00705894"/>
    <w:rsid w:val="007067AC"/>
    <w:rsid w:val="00706ED7"/>
    <w:rsid w:val="00724B93"/>
    <w:rsid w:val="00724F40"/>
    <w:rsid w:val="00725A44"/>
    <w:rsid w:val="0072632A"/>
    <w:rsid w:val="007327D5"/>
    <w:rsid w:val="00733B05"/>
    <w:rsid w:val="00741982"/>
    <w:rsid w:val="0074318A"/>
    <w:rsid w:val="00753AF2"/>
    <w:rsid w:val="00761394"/>
    <w:rsid w:val="007629C8"/>
    <w:rsid w:val="007639E6"/>
    <w:rsid w:val="0077047D"/>
    <w:rsid w:val="0077170D"/>
    <w:rsid w:val="00775F3E"/>
    <w:rsid w:val="007874B5"/>
    <w:rsid w:val="00787EE8"/>
    <w:rsid w:val="0079032E"/>
    <w:rsid w:val="00796214"/>
    <w:rsid w:val="007A1E70"/>
    <w:rsid w:val="007A2CFB"/>
    <w:rsid w:val="007A3977"/>
    <w:rsid w:val="007B4B7B"/>
    <w:rsid w:val="007B505C"/>
    <w:rsid w:val="007B6BA5"/>
    <w:rsid w:val="007C3390"/>
    <w:rsid w:val="007C3745"/>
    <w:rsid w:val="007C4F4B"/>
    <w:rsid w:val="007C5C67"/>
    <w:rsid w:val="007D25AB"/>
    <w:rsid w:val="007D5B04"/>
    <w:rsid w:val="007E01E9"/>
    <w:rsid w:val="007E63F3"/>
    <w:rsid w:val="007F18D7"/>
    <w:rsid w:val="007F3B65"/>
    <w:rsid w:val="007F6611"/>
    <w:rsid w:val="00800656"/>
    <w:rsid w:val="00802922"/>
    <w:rsid w:val="00811920"/>
    <w:rsid w:val="00815AD0"/>
    <w:rsid w:val="00815EDB"/>
    <w:rsid w:val="008242D7"/>
    <w:rsid w:val="008257B1"/>
    <w:rsid w:val="00826138"/>
    <w:rsid w:val="00832334"/>
    <w:rsid w:val="00834D28"/>
    <w:rsid w:val="0084263E"/>
    <w:rsid w:val="00843191"/>
    <w:rsid w:val="00843767"/>
    <w:rsid w:val="00850150"/>
    <w:rsid w:val="0085595A"/>
    <w:rsid w:val="00864245"/>
    <w:rsid w:val="00865AB3"/>
    <w:rsid w:val="008679D9"/>
    <w:rsid w:val="00867C99"/>
    <w:rsid w:val="00872E3B"/>
    <w:rsid w:val="008878DE"/>
    <w:rsid w:val="008928C6"/>
    <w:rsid w:val="00894E11"/>
    <w:rsid w:val="008957C5"/>
    <w:rsid w:val="008979B1"/>
    <w:rsid w:val="008A1ED5"/>
    <w:rsid w:val="008A3055"/>
    <w:rsid w:val="008A6B25"/>
    <w:rsid w:val="008A6C4F"/>
    <w:rsid w:val="008B0563"/>
    <w:rsid w:val="008B2335"/>
    <w:rsid w:val="008B2E36"/>
    <w:rsid w:val="008B31A4"/>
    <w:rsid w:val="008C2428"/>
    <w:rsid w:val="008C3247"/>
    <w:rsid w:val="008C696E"/>
    <w:rsid w:val="008D046F"/>
    <w:rsid w:val="008E0678"/>
    <w:rsid w:val="008E0C5C"/>
    <w:rsid w:val="008E3857"/>
    <w:rsid w:val="008E5532"/>
    <w:rsid w:val="008F31D2"/>
    <w:rsid w:val="008F3206"/>
    <w:rsid w:val="008F4D20"/>
    <w:rsid w:val="009124B0"/>
    <w:rsid w:val="009130D3"/>
    <w:rsid w:val="00915EF6"/>
    <w:rsid w:val="00921D1C"/>
    <w:rsid w:val="009223CA"/>
    <w:rsid w:val="009308F7"/>
    <w:rsid w:val="00930A10"/>
    <w:rsid w:val="00931395"/>
    <w:rsid w:val="00934631"/>
    <w:rsid w:val="00940F93"/>
    <w:rsid w:val="00941862"/>
    <w:rsid w:val="009448C3"/>
    <w:rsid w:val="00960F75"/>
    <w:rsid w:val="00970706"/>
    <w:rsid w:val="009760F3"/>
    <w:rsid w:val="00976CFB"/>
    <w:rsid w:val="00980087"/>
    <w:rsid w:val="009A0830"/>
    <w:rsid w:val="009A0E8D"/>
    <w:rsid w:val="009B26E7"/>
    <w:rsid w:val="009B2F79"/>
    <w:rsid w:val="009B3273"/>
    <w:rsid w:val="009B544C"/>
    <w:rsid w:val="009B6278"/>
    <w:rsid w:val="009B64BB"/>
    <w:rsid w:val="009C2DAF"/>
    <w:rsid w:val="009C35C4"/>
    <w:rsid w:val="009C72CB"/>
    <w:rsid w:val="009E567A"/>
    <w:rsid w:val="009F4D81"/>
    <w:rsid w:val="009F5012"/>
    <w:rsid w:val="00A00697"/>
    <w:rsid w:val="00A00A3F"/>
    <w:rsid w:val="00A01205"/>
    <w:rsid w:val="00A01489"/>
    <w:rsid w:val="00A02FA2"/>
    <w:rsid w:val="00A14E80"/>
    <w:rsid w:val="00A16D8C"/>
    <w:rsid w:val="00A238BB"/>
    <w:rsid w:val="00A3026E"/>
    <w:rsid w:val="00A33778"/>
    <w:rsid w:val="00A338F1"/>
    <w:rsid w:val="00A33E7B"/>
    <w:rsid w:val="00A35BE0"/>
    <w:rsid w:val="00A362E2"/>
    <w:rsid w:val="00A369D1"/>
    <w:rsid w:val="00A40103"/>
    <w:rsid w:val="00A4128B"/>
    <w:rsid w:val="00A504A1"/>
    <w:rsid w:val="00A520BF"/>
    <w:rsid w:val="00A5414C"/>
    <w:rsid w:val="00A542A1"/>
    <w:rsid w:val="00A56580"/>
    <w:rsid w:val="00A6129C"/>
    <w:rsid w:val="00A62166"/>
    <w:rsid w:val="00A71A68"/>
    <w:rsid w:val="00A72F22"/>
    <w:rsid w:val="00A7360F"/>
    <w:rsid w:val="00A7397C"/>
    <w:rsid w:val="00A748A6"/>
    <w:rsid w:val="00A7693C"/>
    <w:rsid w:val="00A769F4"/>
    <w:rsid w:val="00A776B4"/>
    <w:rsid w:val="00A85BCD"/>
    <w:rsid w:val="00A91E4C"/>
    <w:rsid w:val="00A942E5"/>
    <w:rsid w:val="00A94361"/>
    <w:rsid w:val="00A9711E"/>
    <w:rsid w:val="00AA11D6"/>
    <w:rsid w:val="00AA293C"/>
    <w:rsid w:val="00AA4270"/>
    <w:rsid w:val="00AC02C5"/>
    <w:rsid w:val="00AD74C4"/>
    <w:rsid w:val="00AF4A18"/>
    <w:rsid w:val="00B049A8"/>
    <w:rsid w:val="00B1029C"/>
    <w:rsid w:val="00B226AA"/>
    <w:rsid w:val="00B30179"/>
    <w:rsid w:val="00B30622"/>
    <w:rsid w:val="00B357CE"/>
    <w:rsid w:val="00B3689F"/>
    <w:rsid w:val="00B40F69"/>
    <w:rsid w:val="00B421C1"/>
    <w:rsid w:val="00B42C7E"/>
    <w:rsid w:val="00B443C6"/>
    <w:rsid w:val="00B50FA2"/>
    <w:rsid w:val="00B52192"/>
    <w:rsid w:val="00B53C21"/>
    <w:rsid w:val="00B542B6"/>
    <w:rsid w:val="00B55C71"/>
    <w:rsid w:val="00B563CD"/>
    <w:rsid w:val="00B56C21"/>
    <w:rsid w:val="00B56CA0"/>
    <w:rsid w:val="00B56E4A"/>
    <w:rsid w:val="00B56E9C"/>
    <w:rsid w:val="00B619AB"/>
    <w:rsid w:val="00B64B1F"/>
    <w:rsid w:val="00B6553F"/>
    <w:rsid w:val="00B7467C"/>
    <w:rsid w:val="00B757A4"/>
    <w:rsid w:val="00B77D05"/>
    <w:rsid w:val="00B77F80"/>
    <w:rsid w:val="00B81206"/>
    <w:rsid w:val="00B81E12"/>
    <w:rsid w:val="00B82B24"/>
    <w:rsid w:val="00B92D66"/>
    <w:rsid w:val="00BA2555"/>
    <w:rsid w:val="00BB578F"/>
    <w:rsid w:val="00BC257C"/>
    <w:rsid w:val="00BC3F3B"/>
    <w:rsid w:val="00BC3FA0"/>
    <w:rsid w:val="00BC74E9"/>
    <w:rsid w:val="00BD4BE4"/>
    <w:rsid w:val="00BE48EA"/>
    <w:rsid w:val="00BF1E2C"/>
    <w:rsid w:val="00BF30B3"/>
    <w:rsid w:val="00BF43C8"/>
    <w:rsid w:val="00BF68A8"/>
    <w:rsid w:val="00C05074"/>
    <w:rsid w:val="00C11A03"/>
    <w:rsid w:val="00C2292B"/>
    <w:rsid w:val="00C22C0C"/>
    <w:rsid w:val="00C31955"/>
    <w:rsid w:val="00C34D97"/>
    <w:rsid w:val="00C37074"/>
    <w:rsid w:val="00C4527F"/>
    <w:rsid w:val="00C463DD"/>
    <w:rsid w:val="00C4724C"/>
    <w:rsid w:val="00C60646"/>
    <w:rsid w:val="00C629A0"/>
    <w:rsid w:val="00C64629"/>
    <w:rsid w:val="00C70DEE"/>
    <w:rsid w:val="00C71096"/>
    <w:rsid w:val="00C745C3"/>
    <w:rsid w:val="00C91C1C"/>
    <w:rsid w:val="00C94F10"/>
    <w:rsid w:val="00C96DF2"/>
    <w:rsid w:val="00C9771B"/>
    <w:rsid w:val="00CA1B34"/>
    <w:rsid w:val="00CB3E03"/>
    <w:rsid w:val="00CB5299"/>
    <w:rsid w:val="00CB6CC0"/>
    <w:rsid w:val="00CC1BE9"/>
    <w:rsid w:val="00CD4AA6"/>
    <w:rsid w:val="00CE4A8F"/>
    <w:rsid w:val="00CF7FB1"/>
    <w:rsid w:val="00D041DD"/>
    <w:rsid w:val="00D0711A"/>
    <w:rsid w:val="00D149F6"/>
    <w:rsid w:val="00D2031B"/>
    <w:rsid w:val="00D248B6"/>
    <w:rsid w:val="00D25FE2"/>
    <w:rsid w:val="00D26E07"/>
    <w:rsid w:val="00D410E1"/>
    <w:rsid w:val="00D43252"/>
    <w:rsid w:val="00D44783"/>
    <w:rsid w:val="00D452D8"/>
    <w:rsid w:val="00D47EEA"/>
    <w:rsid w:val="00D57C02"/>
    <w:rsid w:val="00D611E6"/>
    <w:rsid w:val="00D70480"/>
    <w:rsid w:val="00D773DF"/>
    <w:rsid w:val="00D82202"/>
    <w:rsid w:val="00D90E39"/>
    <w:rsid w:val="00D95303"/>
    <w:rsid w:val="00D978C6"/>
    <w:rsid w:val="00DA0640"/>
    <w:rsid w:val="00DA3C1C"/>
    <w:rsid w:val="00DB1EDC"/>
    <w:rsid w:val="00DC579C"/>
    <w:rsid w:val="00DC64E9"/>
    <w:rsid w:val="00DC6D39"/>
    <w:rsid w:val="00DD37F2"/>
    <w:rsid w:val="00DE106E"/>
    <w:rsid w:val="00DE1B0C"/>
    <w:rsid w:val="00DF28FB"/>
    <w:rsid w:val="00E00F5C"/>
    <w:rsid w:val="00E046DF"/>
    <w:rsid w:val="00E07F0E"/>
    <w:rsid w:val="00E1086D"/>
    <w:rsid w:val="00E14EAE"/>
    <w:rsid w:val="00E22B0C"/>
    <w:rsid w:val="00E27346"/>
    <w:rsid w:val="00E3469A"/>
    <w:rsid w:val="00E40479"/>
    <w:rsid w:val="00E40A45"/>
    <w:rsid w:val="00E465DB"/>
    <w:rsid w:val="00E560CA"/>
    <w:rsid w:val="00E57CEA"/>
    <w:rsid w:val="00E71BC8"/>
    <w:rsid w:val="00E7260F"/>
    <w:rsid w:val="00E73F5D"/>
    <w:rsid w:val="00E77E4E"/>
    <w:rsid w:val="00E921FA"/>
    <w:rsid w:val="00E96630"/>
    <w:rsid w:val="00EA2A77"/>
    <w:rsid w:val="00EA43C2"/>
    <w:rsid w:val="00EA5A18"/>
    <w:rsid w:val="00ED7A2A"/>
    <w:rsid w:val="00EE16EC"/>
    <w:rsid w:val="00EF1D7F"/>
    <w:rsid w:val="00F0093F"/>
    <w:rsid w:val="00F10ACC"/>
    <w:rsid w:val="00F12AF0"/>
    <w:rsid w:val="00F16068"/>
    <w:rsid w:val="00F31E5F"/>
    <w:rsid w:val="00F36B56"/>
    <w:rsid w:val="00F6100A"/>
    <w:rsid w:val="00F91276"/>
    <w:rsid w:val="00F923C4"/>
    <w:rsid w:val="00F93781"/>
    <w:rsid w:val="00F93C58"/>
    <w:rsid w:val="00FA5EDA"/>
    <w:rsid w:val="00FA7728"/>
    <w:rsid w:val="00FB613B"/>
    <w:rsid w:val="00FC1D99"/>
    <w:rsid w:val="00FC68B7"/>
    <w:rsid w:val="00FD001C"/>
    <w:rsid w:val="00FD3F98"/>
    <w:rsid w:val="00FD6401"/>
    <w:rsid w:val="00FE106A"/>
    <w:rsid w:val="00FE2CB6"/>
    <w:rsid w:val="00FE40F9"/>
    <w:rsid w:val="00FE7450"/>
    <w:rsid w:val="00FF145D"/>
    <w:rsid w:val="00FF2BE9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ED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1D60A6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1D60A6"/>
    <w:rPr>
      <w:lang w:val="en-GB" w:eastAsia="en-US"/>
    </w:rPr>
  </w:style>
  <w:style w:type="paragraph" w:customStyle="1" w:styleId="Regelungneu2-0times">
    <w:name w:val="Regelung neu 2-0 times"/>
    <w:basedOn w:val="Normal"/>
    <w:rsid w:val="001D60A6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1D60A6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1D60A6"/>
    <w:pPr>
      <w:tabs>
        <w:tab w:val="left" w:pos="1134"/>
      </w:tabs>
      <w:ind w:left="851" w:hanging="851"/>
    </w:pPr>
  </w:style>
  <w:style w:type="paragraph" w:styleId="ListParagraph">
    <w:name w:val="List Paragraph"/>
    <w:basedOn w:val="Normal"/>
    <w:uiPriority w:val="34"/>
    <w:qFormat/>
    <w:rsid w:val="00A504A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590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8590F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8590F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1D60A6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1D60A6"/>
    <w:rPr>
      <w:lang w:val="en-GB" w:eastAsia="en-US"/>
    </w:rPr>
  </w:style>
  <w:style w:type="paragraph" w:customStyle="1" w:styleId="Regelungneu2-0times">
    <w:name w:val="Regelung neu 2-0 times"/>
    <w:basedOn w:val="Normal"/>
    <w:rsid w:val="001D60A6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1D60A6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1D60A6"/>
    <w:pPr>
      <w:tabs>
        <w:tab w:val="left" w:pos="1134"/>
      </w:tabs>
      <w:ind w:left="851" w:hanging="851"/>
    </w:pPr>
  </w:style>
  <w:style w:type="paragraph" w:styleId="ListParagraph">
    <w:name w:val="List Paragraph"/>
    <w:basedOn w:val="Normal"/>
    <w:uiPriority w:val="34"/>
    <w:qFormat/>
    <w:rsid w:val="00A504A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590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8590F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8590F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F36D0-D1E1-41EF-8073-38A37941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2</TotalTime>
  <Pages>3</Pages>
  <Words>956</Words>
  <Characters>4790</Characters>
  <Application>Microsoft Office Word</Application>
  <DocSecurity>0</DocSecurity>
  <Lines>165</Lines>
  <Paragraphs>136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1700718</vt:lpstr>
      <vt:lpstr>1700718</vt:lpstr>
      <vt:lpstr>1614019</vt:lpstr>
      <vt:lpstr>United Nations</vt:lpstr>
      <vt:lpstr>United Nations</vt:lpstr>
    </vt:vector>
  </TitlesOfParts>
  <Company>CSD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1700718</dc:title>
  <dc:subject>ECE/TRANS/WP.29/GRE/2017/4</dc:subject>
  <dc:creator>GTB;Francois Guichard</dc:creator>
  <cp:lastModifiedBy>Konstantin Glukhenkiy</cp:lastModifiedBy>
  <cp:revision>3</cp:revision>
  <cp:lastPrinted>2017-01-11T09:18:00Z</cp:lastPrinted>
  <dcterms:created xsi:type="dcterms:W3CDTF">2017-10-11T16:49:00Z</dcterms:created>
  <dcterms:modified xsi:type="dcterms:W3CDTF">2017-10-16T07:45:00Z</dcterms:modified>
</cp:coreProperties>
</file>