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1650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16507" w:rsidP="00816507">
            <w:pPr>
              <w:jc w:val="right"/>
            </w:pPr>
            <w:r w:rsidRPr="00816507">
              <w:rPr>
                <w:sz w:val="40"/>
              </w:rPr>
              <w:t>ECE</w:t>
            </w:r>
            <w:r>
              <w:t>/TRANS/WP.29/GRRF/2017/14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16507" w:rsidP="00C97039">
            <w:pPr>
              <w:spacing w:before="240"/>
            </w:pPr>
            <w:r>
              <w:t>Distr. générale</w:t>
            </w:r>
          </w:p>
          <w:p w:rsidR="00816507" w:rsidRDefault="00816507" w:rsidP="00816507">
            <w:pPr>
              <w:spacing w:line="240" w:lineRule="exact"/>
            </w:pPr>
            <w:r>
              <w:t>5 juillet 2017</w:t>
            </w:r>
          </w:p>
          <w:p w:rsidR="00816507" w:rsidRDefault="00816507" w:rsidP="00816507">
            <w:pPr>
              <w:spacing w:line="240" w:lineRule="exact"/>
            </w:pPr>
            <w:r>
              <w:t>Français</w:t>
            </w:r>
          </w:p>
          <w:p w:rsidR="00816507" w:rsidRPr="00DB58B5" w:rsidRDefault="00816507" w:rsidP="0081650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2080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6105D" w:rsidRDefault="0096105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2080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6105D" w:rsidRDefault="0096105D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96105D" w:rsidRDefault="0096105D" w:rsidP="00257168">
      <w:pPr>
        <w:spacing w:before="120" w:line="240" w:lineRule="exact"/>
        <w:rPr>
          <w:b/>
        </w:rPr>
      </w:pPr>
      <w:r w:rsidRPr="0096105D">
        <w:rPr>
          <w:b/>
          <w:lang w:val="fr-FR"/>
        </w:rPr>
        <w:t>Quatre-vingt-quatrième</w:t>
      </w:r>
      <w:r w:rsidRPr="0096105D">
        <w:rPr>
          <w:b/>
        </w:rPr>
        <w:t xml:space="preserve"> </w:t>
      </w:r>
      <w:r>
        <w:rPr>
          <w:b/>
        </w:rPr>
        <w:t>session</w:t>
      </w:r>
    </w:p>
    <w:p w:rsidR="0096105D" w:rsidRPr="0096105D" w:rsidRDefault="0096105D" w:rsidP="0096105D">
      <w:pPr>
        <w:spacing w:line="240" w:lineRule="exact"/>
      </w:pPr>
      <w:r>
        <w:t xml:space="preserve">Genève, </w:t>
      </w:r>
      <w:r w:rsidRPr="0096105D">
        <w:rPr>
          <w:lang w:val="fr-FR"/>
        </w:rPr>
        <w:t>19-22 septembre 2017</w:t>
      </w:r>
    </w:p>
    <w:p w:rsidR="0096105D" w:rsidRPr="0096105D" w:rsidRDefault="0096105D" w:rsidP="0096105D">
      <w:pPr>
        <w:spacing w:line="240" w:lineRule="exact"/>
      </w:pPr>
      <w:r w:rsidRPr="0096105D">
        <w:rPr>
          <w:lang w:val="fr-FR"/>
        </w:rPr>
        <w:t>Point 5 b) de l</w:t>
      </w:r>
      <w:r w:rsidR="00D20806">
        <w:rPr>
          <w:lang w:val="fr-FR"/>
        </w:rPr>
        <w:t>’</w:t>
      </w:r>
      <w:r w:rsidRPr="0096105D">
        <w:rPr>
          <w:lang w:val="fr-FR"/>
        </w:rPr>
        <w:t>ordre du jour provisoire</w:t>
      </w:r>
    </w:p>
    <w:p w:rsidR="0096105D" w:rsidRDefault="0096105D" w:rsidP="0096105D">
      <w:pPr>
        <w:spacing w:line="240" w:lineRule="exact"/>
      </w:pPr>
      <w:r>
        <w:rPr>
          <w:b/>
          <w:lang w:val="fr-FR"/>
        </w:rPr>
        <w:t>Freinage des motocycles −</w:t>
      </w:r>
      <w:r w:rsidRPr="0096105D">
        <w:rPr>
          <w:b/>
          <w:lang w:val="fr-FR"/>
        </w:rPr>
        <w:t xml:space="preserve"> Règlement </w:t>
      </w:r>
      <w:r w:rsidRPr="0096105D">
        <w:rPr>
          <w:rFonts w:eastAsia="MS Mincho"/>
          <w:b/>
          <w:szCs w:val="22"/>
          <w:lang w:val="fr-FR"/>
        </w:rPr>
        <w:t>n</w:t>
      </w:r>
      <w:r w:rsidRPr="0096105D">
        <w:rPr>
          <w:rFonts w:eastAsia="MS Mincho"/>
          <w:b/>
          <w:szCs w:val="22"/>
          <w:vertAlign w:val="superscript"/>
          <w:lang w:val="fr-FR"/>
        </w:rPr>
        <w:t>o</w:t>
      </w:r>
      <w:r w:rsidRPr="0096105D">
        <w:rPr>
          <w:b/>
          <w:lang w:val="fr-FR"/>
        </w:rPr>
        <w:t> 78</w:t>
      </w:r>
    </w:p>
    <w:p w:rsidR="000D24F0" w:rsidRPr="000D24F0" w:rsidRDefault="000D24F0" w:rsidP="000D24F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0D24F0">
        <w:rPr>
          <w:lang w:val="fr-FR"/>
        </w:rPr>
        <w:t xml:space="preserve">Proposition </w:t>
      </w:r>
      <w:r w:rsidRPr="000D24F0">
        <w:rPr>
          <w:bCs/>
          <w:lang w:val="fr-FR"/>
        </w:rPr>
        <w:t xml:space="preserve">de modifications </w:t>
      </w:r>
      <w:r>
        <w:rPr>
          <w:lang w:val="fr-FR"/>
        </w:rPr>
        <w:t>à la série </w:t>
      </w:r>
      <w:r w:rsidRPr="000D24F0">
        <w:rPr>
          <w:lang w:val="fr-FR"/>
        </w:rPr>
        <w:t>04 d</w:t>
      </w:r>
      <w:r w:rsidR="00D20806">
        <w:rPr>
          <w:lang w:val="fr-FR"/>
        </w:rPr>
        <w:t>’</w:t>
      </w:r>
      <w:r w:rsidRPr="000D24F0">
        <w:rPr>
          <w:lang w:val="fr-FR"/>
        </w:rPr>
        <w:t xml:space="preserve">amendements </w:t>
      </w:r>
      <w:r>
        <w:rPr>
          <w:lang w:val="fr-FR"/>
        </w:rPr>
        <w:br/>
      </w:r>
      <w:r w:rsidRPr="000D24F0">
        <w:rPr>
          <w:lang w:val="fr-FR"/>
        </w:rPr>
        <w:t xml:space="preserve">au Règlement </w:t>
      </w:r>
      <w:r w:rsidRPr="000D24F0">
        <w:rPr>
          <w:rFonts w:eastAsia="MS Mincho"/>
          <w:szCs w:val="22"/>
          <w:lang w:val="fr-FR"/>
        </w:rPr>
        <w:t>n</w:t>
      </w:r>
      <w:r w:rsidRPr="000D24F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0D24F0">
        <w:rPr>
          <w:lang w:val="fr-FR"/>
        </w:rPr>
        <w:t>78 (Freinage des motocycles)</w:t>
      </w:r>
    </w:p>
    <w:p w:rsidR="000D24F0" w:rsidRPr="000D24F0" w:rsidRDefault="000D24F0" w:rsidP="000D24F0">
      <w:pPr>
        <w:pStyle w:val="H1G"/>
      </w:pPr>
      <w:r w:rsidRPr="000D24F0">
        <w:rPr>
          <w:lang w:val="fr-FR"/>
        </w:rPr>
        <w:tab/>
      </w:r>
      <w:r w:rsidRPr="000D24F0">
        <w:rPr>
          <w:lang w:val="fr-FR"/>
        </w:rPr>
        <w:tab/>
        <w:t>Communication de l</w:t>
      </w:r>
      <w:r w:rsidR="00D20806">
        <w:rPr>
          <w:lang w:val="fr-FR"/>
        </w:rPr>
        <w:t>’</w:t>
      </w:r>
      <w:r w:rsidRPr="000D24F0">
        <w:rPr>
          <w:lang w:val="fr-FR"/>
        </w:rPr>
        <w:t>expert de l</w:t>
      </w:r>
      <w:r w:rsidR="00D20806">
        <w:rPr>
          <w:lang w:val="fr-FR"/>
        </w:rPr>
        <w:t>’</w:t>
      </w:r>
      <w:r w:rsidRPr="000D24F0">
        <w:rPr>
          <w:lang w:val="fr-FR"/>
        </w:rPr>
        <w:t xml:space="preserve">Association internationale </w:t>
      </w:r>
      <w:r>
        <w:rPr>
          <w:lang w:val="fr-FR"/>
        </w:rPr>
        <w:br/>
      </w:r>
      <w:proofErr w:type="gramStart"/>
      <w:r w:rsidRPr="000D24F0">
        <w:rPr>
          <w:lang w:val="fr-FR"/>
        </w:rPr>
        <w:t>des</w:t>
      </w:r>
      <w:proofErr w:type="gramEnd"/>
      <w:r w:rsidRPr="000D24F0">
        <w:rPr>
          <w:lang w:val="fr-FR"/>
        </w:rPr>
        <w:t xml:space="preserve"> constructeurs de motocycles</w:t>
      </w:r>
      <w:r w:rsidRPr="000D24F0">
        <w:rPr>
          <w:rStyle w:val="FootnoteReference"/>
          <w:b w:val="0"/>
          <w:vertAlign w:val="baseline"/>
        </w:rPr>
        <w:footnoteReference w:customMarkFollows="1" w:id="2"/>
        <w:t>*</w:t>
      </w:r>
    </w:p>
    <w:p w:rsidR="000D24F0" w:rsidRPr="000D24F0" w:rsidRDefault="000D24F0" w:rsidP="000D24F0">
      <w:pPr>
        <w:pStyle w:val="SingleTxtG"/>
        <w:ind w:firstLine="567"/>
      </w:pPr>
      <w:r w:rsidRPr="000D24F0">
        <w:rPr>
          <w:lang w:val="fr-FR"/>
        </w:rPr>
        <w:t>Le texte ci-après, établi par l</w:t>
      </w:r>
      <w:r w:rsidR="00D20806">
        <w:rPr>
          <w:lang w:val="fr-FR"/>
        </w:rPr>
        <w:t>’</w:t>
      </w:r>
      <w:r w:rsidRPr="000D24F0">
        <w:rPr>
          <w:lang w:val="fr-FR"/>
        </w:rPr>
        <w:t>expert de l</w:t>
      </w:r>
      <w:r w:rsidR="00D20806">
        <w:rPr>
          <w:lang w:val="fr-FR"/>
        </w:rPr>
        <w:t>’</w:t>
      </w:r>
      <w:r w:rsidRPr="000D24F0">
        <w:rPr>
          <w:lang w:val="fr-FR"/>
        </w:rPr>
        <w:t xml:space="preserve">Association internationale des constructeurs de motocycles (AICM), vise à modifier le Règlement </w:t>
      </w:r>
      <w:r w:rsidRPr="000D24F0">
        <w:rPr>
          <w:rFonts w:eastAsia="MS Mincho"/>
          <w:szCs w:val="22"/>
          <w:lang w:val="fr-FR"/>
        </w:rPr>
        <w:t>n</w:t>
      </w:r>
      <w:r w:rsidRPr="000D24F0">
        <w:rPr>
          <w:rFonts w:eastAsia="MS Mincho"/>
          <w:szCs w:val="22"/>
          <w:vertAlign w:val="superscript"/>
          <w:lang w:val="fr-FR"/>
        </w:rPr>
        <w:t>o</w:t>
      </w:r>
      <w:r w:rsidRPr="000D24F0">
        <w:rPr>
          <w:lang w:val="fr-FR"/>
        </w:rPr>
        <w:t> 7</w:t>
      </w:r>
      <w:r w:rsidRPr="000D24F0">
        <w:rPr>
          <w:bCs/>
          <w:lang w:val="fr-FR"/>
        </w:rPr>
        <w:t>8</w:t>
      </w:r>
      <w:r>
        <w:rPr>
          <w:bCs/>
          <w:lang w:val="fr-FR"/>
        </w:rPr>
        <w:t xml:space="preserve"> </w:t>
      </w:r>
      <w:r w:rsidRPr="000D24F0">
        <w:rPr>
          <w:bCs/>
          <w:lang w:val="fr-FR"/>
        </w:rPr>
        <w:t>pour y préciser que l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allumage des feux stop n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 xml:space="preserve">est </w:t>
      </w:r>
      <w:r w:rsidR="00D20806">
        <w:rPr>
          <w:bCs/>
          <w:lang w:val="fr-FR"/>
        </w:rPr>
        <w:t>plus uniquement déclenché par l’</w:t>
      </w:r>
      <w:r w:rsidRPr="000D24F0">
        <w:rPr>
          <w:bCs/>
          <w:lang w:val="fr-FR"/>
        </w:rPr>
        <w:t>activation du frein de service, mais également, par exemple, lors du freinage à récupération.</w:t>
      </w:r>
      <w:r w:rsidRPr="000D24F0">
        <w:rPr>
          <w:lang w:val="fr-FR"/>
        </w:rPr>
        <w:t xml:space="preserve"> Les modifications qu</w:t>
      </w:r>
      <w:r w:rsidR="00D20806">
        <w:rPr>
          <w:lang w:val="fr-FR"/>
        </w:rPr>
        <w:t>’</w:t>
      </w:r>
      <w:r w:rsidRPr="000D24F0">
        <w:rPr>
          <w:lang w:val="fr-FR"/>
        </w:rPr>
        <w:t>il est proposé d</w:t>
      </w:r>
      <w:r w:rsidR="00D20806">
        <w:rPr>
          <w:lang w:val="fr-FR"/>
        </w:rPr>
        <w:t>’</w:t>
      </w:r>
      <w:r w:rsidRPr="000D24F0">
        <w:rPr>
          <w:lang w:val="fr-FR"/>
        </w:rPr>
        <w:t>apporter au texte actuel du Règlement apparaissent en caractères gras pour les ajouts et en caractères biffés pour les suppressions.</w:t>
      </w:r>
    </w:p>
    <w:p w:rsidR="000D24F0" w:rsidRPr="000D24F0" w:rsidRDefault="000D24F0" w:rsidP="00010F0E">
      <w:pPr>
        <w:pStyle w:val="HChG"/>
      </w:pPr>
      <w:r w:rsidRPr="000D24F0">
        <w:br w:type="page"/>
      </w:r>
      <w:r w:rsidR="00010F0E">
        <w:lastRenderedPageBreak/>
        <w:tab/>
      </w:r>
      <w:r w:rsidRPr="000D24F0">
        <w:rPr>
          <w:lang w:val="fr-FR"/>
        </w:rPr>
        <w:t>I.</w:t>
      </w:r>
      <w:r w:rsidRPr="000D24F0">
        <w:rPr>
          <w:lang w:val="fr-FR"/>
        </w:rPr>
        <w:tab/>
        <w:t>Proposition</w:t>
      </w:r>
    </w:p>
    <w:p w:rsidR="000D24F0" w:rsidRPr="000D24F0" w:rsidRDefault="000D24F0" w:rsidP="000D24F0">
      <w:pPr>
        <w:pStyle w:val="SingleTxtG"/>
      </w:pPr>
      <w:r w:rsidRPr="000D24F0">
        <w:rPr>
          <w:i/>
          <w:iCs/>
          <w:lang w:val="fr-FR"/>
        </w:rPr>
        <w:t>Ajouter un nouveau paragraphe</w:t>
      </w:r>
      <w:r w:rsidR="003B384F">
        <w:rPr>
          <w:i/>
          <w:iCs/>
          <w:lang w:val="fr-FR"/>
        </w:rPr>
        <w:t> </w:t>
      </w:r>
      <w:r w:rsidRPr="000D24F0">
        <w:rPr>
          <w:i/>
          <w:iCs/>
          <w:lang w:val="fr-FR"/>
        </w:rPr>
        <w:t>2.31</w:t>
      </w:r>
      <w:r w:rsidRPr="000D24F0">
        <w:rPr>
          <w:lang w:val="fr-FR"/>
        </w:rPr>
        <w:t>, libellé comme suit :</w:t>
      </w:r>
    </w:p>
    <w:p w:rsidR="000D24F0" w:rsidRPr="00010F0E" w:rsidRDefault="00010F0E" w:rsidP="00010F0E">
      <w:pPr>
        <w:pStyle w:val="SingleTxtG"/>
        <w:ind w:left="2268" w:hanging="1134"/>
      </w:pPr>
      <w:r>
        <w:rPr>
          <w:lang w:val="fr-FR"/>
        </w:rPr>
        <w:t>« </w:t>
      </w:r>
      <w:r w:rsidR="000D24F0" w:rsidRPr="000D24F0">
        <w:rPr>
          <w:lang w:val="fr-FR"/>
        </w:rPr>
        <w:t xml:space="preserve">2.31 </w:t>
      </w:r>
      <w:r w:rsidR="000D24F0" w:rsidRPr="000D24F0">
        <w:rPr>
          <w:lang w:val="fr-FR"/>
        </w:rPr>
        <w:tab/>
      </w:r>
      <w:r w:rsidR="000D24F0" w:rsidRPr="000D24F0">
        <w:rPr>
          <w:b/>
          <w:bCs/>
          <w:lang w:val="fr-FR"/>
        </w:rPr>
        <w:t xml:space="preserve">Par </w:t>
      </w:r>
      <w:r w:rsidRPr="00010F0E">
        <w:rPr>
          <w:b/>
          <w:bCs/>
        </w:rPr>
        <w:t>“</w:t>
      </w:r>
      <w:r w:rsidR="000D24F0" w:rsidRPr="000D24F0">
        <w:rPr>
          <w:b/>
          <w:bCs/>
          <w:i/>
          <w:lang w:val="fr-FR"/>
        </w:rPr>
        <w:t>signal de freinage</w:t>
      </w:r>
      <w:r w:rsidRPr="00010F0E">
        <w:rPr>
          <w:b/>
          <w:bCs/>
        </w:rPr>
        <w:t>”</w:t>
      </w:r>
      <w:r w:rsidR="000D24F0" w:rsidRPr="000D24F0">
        <w:rPr>
          <w:b/>
          <w:bCs/>
          <w:lang w:val="fr-FR"/>
        </w:rPr>
        <w:t>, un signal logique indiquant quand</w:t>
      </w:r>
      <w:r w:rsidR="000D24F0">
        <w:rPr>
          <w:b/>
          <w:bCs/>
          <w:lang w:val="fr-FR"/>
        </w:rPr>
        <w:t xml:space="preserve"> </w:t>
      </w:r>
      <w:r w:rsidR="000D24F0" w:rsidRPr="000D24F0">
        <w:rPr>
          <w:b/>
          <w:bCs/>
          <w:lang w:val="fr-FR"/>
        </w:rPr>
        <w:t>l</w:t>
      </w:r>
      <w:r w:rsidR="00D20806">
        <w:rPr>
          <w:b/>
          <w:bCs/>
          <w:lang w:val="fr-FR"/>
        </w:rPr>
        <w:t>’</w:t>
      </w:r>
      <w:r w:rsidR="000D24F0" w:rsidRPr="000D24F0">
        <w:rPr>
          <w:b/>
          <w:bCs/>
          <w:lang w:val="fr-FR"/>
        </w:rPr>
        <w:t>allumage du feu stop est requis</w:t>
      </w:r>
      <w:r>
        <w:rPr>
          <w:lang w:val="fr-FR"/>
        </w:rPr>
        <w:t> </w:t>
      </w:r>
      <w:r w:rsidRPr="00010F0E">
        <w:t>»</w:t>
      </w:r>
      <w:r w:rsidR="000D24F0" w:rsidRPr="00010F0E">
        <w:rPr>
          <w:lang w:val="fr-FR"/>
        </w:rPr>
        <w:t>.</w:t>
      </w:r>
    </w:p>
    <w:p w:rsidR="000D24F0" w:rsidRPr="000D24F0" w:rsidRDefault="000D24F0" w:rsidP="000D24F0">
      <w:pPr>
        <w:pStyle w:val="SingleTxtG"/>
      </w:pPr>
      <w:r w:rsidRPr="000D24F0">
        <w:rPr>
          <w:i/>
          <w:lang w:val="fr-FR"/>
        </w:rPr>
        <w:t>Ajouter un nouveau paragraphe 2.32</w:t>
      </w:r>
      <w:r w:rsidRPr="000D24F0">
        <w:rPr>
          <w:lang w:val="fr-FR"/>
        </w:rPr>
        <w:t>, libellé comme suit :</w:t>
      </w:r>
    </w:p>
    <w:p w:rsidR="000D24F0" w:rsidRPr="00010F0E" w:rsidRDefault="00010F0E" w:rsidP="00010F0E">
      <w:pPr>
        <w:pStyle w:val="SingleTxtG"/>
        <w:ind w:left="2268" w:hanging="1134"/>
      </w:pPr>
      <w:r>
        <w:rPr>
          <w:lang w:val="fr-FR"/>
        </w:rPr>
        <w:t>« </w:t>
      </w:r>
      <w:r w:rsidR="000D24F0" w:rsidRPr="000D24F0">
        <w:rPr>
          <w:lang w:val="fr-FR"/>
        </w:rPr>
        <w:t>2.32</w:t>
      </w:r>
      <w:r w:rsidR="000D24F0" w:rsidRPr="000D24F0">
        <w:rPr>
          <w:lang w:val="fr-FR"/>
        </w:rPr>
        <w:tab/>
      </w:r>
      <w:r w:rsidR="000D24F0" w:rsidRPr="000D24F0">
        <w:rPr>
          <w:b/>
          <w:lang w:val="fr-FR"/>
        </w:rPr>
        <w:t xml:space="preserve">Par </w:t>
      </w:r>
      <w:r w:rsidRPr="00010F0E">
        <w:rPr>
          <w:b/>
          <w:bCs/>
        </w:rPr>
        <w:t>“</w:t>
      </w:r>
      <w:r w:rsidR="000D24F0" w:rsidRPr="000D24F0">
        <w:rPr>
          <w:b/>
          <w:i/>
          <w:lang w:val="fr-FR"/>
        </w:rPr>
        <w:t>système de freinage électrique à récupération</w:t>
      </w:r>
      <w:r w:rsidRPr="00010F0E">
        <w:rPr>
          <w:b/>
          <w:bCs/>
        </w:rPr>
        <w:t>”</w:t>
      </w:r>
      <w:r w:rsidR="000D24F0" w:rsidRPr="000D24F0">
        <w:rPr>
          <w:b/>
          <w:lang w:val="fr-FR"/>
        </w:rPr>
        <w:t>, un système de freinage qui, pendant la décélération, permet de convertir l</w:t>
      </w:r>
      <w:r w:rsidR="00D20806">
        <w:rPr>
          <w:b/>
          <w:lang w:val="fr-FR"/>
        </w:rPr>
        <w:t>’</w:t>
      </w:r>
      <w:r w:rsidR="000D24F0" w:rsidRPr="000D24F0">
        <w:rPr>
          <w:b/>
          <w:lang w:val="fr-FR"/>
        </w:rPr>
        <w:t xml:space="preserve">énergie cinétique du véhicule en énergie électrique et ne fait pas partie du </w:t>
      </w:r>
      <w:r>
        <w:rPr>
          <w:b/>
          <w:lang w:val="fr-FR"/>
        </w:rPr>
        <w:t>système de freinage de service </w:t>
      </w:r>
      <w:r w:rsidRPr="00010F0E">
        <w:t>»</w:t>
      </w:r>
      <w:r w:rsidR="000D24F0" w:rsidRPr="00010F0E">
        <w:rPr>
          <w:lang w:val="fr-FR"/>
        </w:rPr>
        <w:t>.</w:t>
      </w:r>
    </w:p>
    <w:p w:rsidR="000D24F0" w:rsidRPr="000D24F0" w:rsidRDefault="00010F0E" w:rsidP="000D24F0">
      <w:pPr>
        <w:pStyle w:val="SingleTxtG"/>
      </w:pPr>
      <w:r>
        <w:rPr>
          <w:i/>
          <w:iCs/>
          <w:lang w:val="fr-FR"/>
        </w:rPr>
        <w:t>Ajouter un nouveau paragraphe </w:t>
      </w:r>
      <w:r w:rsidR="000D24F0" w:rsidRPr="000D24F0">
        <w:rPr>
          <w:i/>
          <w:iCs/>
          <w:lang w:val="fr-FR"/>
        </w:rPr>
        <w:t>5.1.16 et ses sous-paragraphes</w:t>
      </w:r>
      <w:r w:rsidR="000D24F0" w:rsidRPr="000D24F0">
        <w:rPr>
          <w:lang w:val="fr-FR"/>
        </w:rPr>
        <w:t>, comme suit :</w:t>
      </w:r>
    </w:p>
    <w:p w:rsidR="000D24F0" w:rsidRPr="000D24F0" w:rsidRDefault="00010F0E" w:rsidP="00010F0E">
      <w:pPr>
        <w:pStyle w:val="SingleTxtG"/>
        <w:ind w:left="2268" w:hanging="1134"/>
        <w:rPr>
          <w:b/>
        </w:rPr>
      </w:pPr>
      <w:r w:rsidRPr="00010F0E">
        <w:t>«</w:t>
      </w:r>
      <w:r>
        <w:rPr>
          <w:b/>
          <w:lang w:val="fr-FR"/>
        </w:rPr>
        <w:t> </w:t>
      </w:r>
      <w:r w:rsidR="000D24F0" w:rsidRPr="000D24F0">
        <w:rPr>
          <w:b/>
          <w:lang w:val="fr-FR"/>
        </w:rPr>
        <w:t>5.1.16</w:t>
      </w:r>
      <w:r w:rsidR="000D24F0" w:rsidRPr="000D24F0">
        <w:rPr>
          <w:b/>
          <w:lang w:val="fr-FR"/>
        </w:rPr>
        <w:tab/>
        <w:t>Pou</w:t>
      </w:r>
      <w:r>
        <w:rPr>
          <w:b/>
          <w:lang w:val="fr-FR"/>
        </w:rPr>
        <w:t>r les véhicules de la catégorie </w:t>
      </w:r>
      <w:r w:rsidR="000D24F0" w:rsidRPr="000D24F0">
        <w:rPr>
          <w:b/>
          <w:lang w:val="fr-FR"/>
        </w:rPr>
        <w:t>L, l</w:t>
      </w:r>
      <w:r w:rsidR="00D20806">
        <w:rPr>
          <w:b/>
          <w:lang w:val="fr-FR"/>
        </w:rPr>
        <w:t>’</w:t>
      </w:r>
      <w:r w:rsidR="000D24F0" w:rsidRPr="000D24F0">
        <w:rPr>
          <w:b/>
          <w:lang w:val="fr-FR"/>
        </w:rPr>
        <w:t>émission ou la désactivation du</w:t>
      </w:r>
      <w:r w:rsidR="000D24F0">
        <w:rPr>
          <w:b/>
          <w:lang w:val="fr-FR"/>
        </w:rPr>
        <w:t xml:space="preserve"> </w:t>
      </w:r>
      <w:r w:rsidR="000D24F0" w:rsidRPr="000D24F0">
        <w:rPr>
          <w:b/>
          <w:lang w:val="fr-FR"/>
        </w:rPr>
        <w:t xml:space="preserve">signal de freinage </w:t>
      </w:r>
      <w:r w:rsidR="000D24F0" w:rsidRPr="000D24F0">
        <w:rPr>
          <w:b/>
          <w:bCs/>
          <w:lang w:val="fr-FR"/>
        </w:rPr>
        <w:t>commandant l</w:t>
      </w:r>
      <w:r w:rsidR="00D20806">
        <w:rPr>
          <w:b/>
          <w:bCs/>
          <w:lang w:val="fr-FR"/>
        </w:rPr>
        <w:t>’</w:t>
      </w:r>
      <w:r w:rsidR="000D24F0" w:rsidRPr="000D24F0">
        <w:rPr>
          <w:b/>
          <w:bCs/>
          <w:lang w:val="fr-FR"/>
        </w:rPr>
        <w:t xml:space="preserve">allumage </w:t>
      </w:r>
      <w:r w:rsidR="000D24F0" w:rsidRPr="000D24F0">
        <w:rPr>
          <w:b/>
          <w:lang w:val="fr-FR"/>
        </w:rPr>
        <w:t>du (des) feu(x) stop</w:t>
      </w:r>
      <w:r w:rsidR="000D24F0">
        <w:rPr>
          <w:b/>
          <w:lang w:val="fr-FR"/>
        </w:rPr>
        <w:t xml:space="preserve"> </w:t>
      </w:r>
      <w:r w:rsidR="000D24F0" w:rsidRPr="000D24F0">
        <w:rPr>
          <w:b/>
          <w:bCs/>
          <w:lang w:val="fr-FR"/>
        </w:rPr>
        <w:t>ne doit se faire qu</w:t>
      </w:r>
      <w:r w:rsidR="00D20806">
        <w:rPr>
          <w:b/>
          <w:bCs/>
          <w:lang w:val="fr-FR"/>
        </w:rPr>
        <w:t>’</w:t>
      </w:r>
      <w:r>
        <w:rPr>
          <w:b/>
          <w:bCs/>
          <w:lang w:val="fr-FR"/>
        </w:rPr>
        <w:t>aux conditions suivantes :</w:t>
      </w:r>
    </w:p>
    <w:p w:rsidR="000D24F0" w:rsidRPr="000D24F0" w:rsidRDefault="000D24F0" w:rsidP="00010F0E">
      <w:pPr>
        <w:pStyle w:val="SingleTxtG"/>
        <w:ind w:left="2268" w:hanging="1134"/>
        <w:rPr>
          <w:b/>
        </w:rPr>
      </w:pPr>
      <w:r w:rsidRPr="000D24F0">
        <w:rPr>
          <w:b/>
          <w:lang w:val="fr-FR"/>
        </w:rPr>
        <w:t>5.1.16.1</w:t>
      </w:r>
      <w:r w:rsidRPr="000D24F0">
        <w:rPr>
          <w:b/>
          <w:lang w:val="fr-FR"/>
        </w:rPr>
        <w:tab/>
      </w:r>
      <w:r w:rsidRPr="000D24F0">
        <w:rPr>
          <w:b/>
          <w:bCs/>
          <w:lang w:val="fr-FR"/>
        </w:rPr>
        <w:t>Lorsque le conducteur actionne un frein de service.</w:t>
      </w:r>
    </w:p>
    <w:p w:rsidR="00F9573C" w:rsidRDefault="000D24F0" w:rsidP="00010F0E">
      <w:pPr>
        <w:pStyle w:val="SingleTxtG"/>
        <w:ind w:left="2268" w:hanging="1134"/>
        <w:rPr>
          <w:b/>
          <w:bCs/>
          <w:lang w:val="fr-FR"/>
        </w:rPr>
      </w:pPr>
      <w:r w:rsidRPr="000D24F0">
        <w:rPr>
          <w:b/>
          <w:lang w:val="fr-FR"/>
        </w:rPr>
        <w:t>5.1.16.2</w:t>
      </w:r>
      <w:r w:rsidRPr="000D24F0">
        <w:rPr>
          <w:b/>
          <w:lang w:val="fr-FR"/>
        </w:rPr>
        <w:tab/>
      </w:r>
      <w:r w:rsidRPr="000D24F0">
        <w:rPr>
          <w:b/>
          <w:bCs/>
          <w:lang w:val="fr-FR"/>
        </w:rPr>
        <w:t>Dans le cas d</w:t>
      </w:r>
      <w:r w:rsidR="00D20806">
        <w:rPr>
          <w:b/>
          <w:bCs/>
          <w:lang w:val="fr-FR"/>
        </w:rPr>
        <w:t>’</w:t>
      </w:r>
      <w:r w:rsidRPr="000D24F0">
        <w:rPr>
          <w:b/>
          <w:bCs/>
          <w:lang w:val="fr-FR"/>
        </w:rPr>
        <w:t>un véhicule</w:t>
      </w:r>
      <w:r>
        <w:rPr>
          <w:b/>
          <w:bCs/>
          <w:lang w:val="fr-FR"/>
        </w:rPr>
        <w:t xml:space="preserve"> </w:t>
      </w:r>
      <w:r w:rsidRPr="000D24F0">
        <w:rPr>
          <w:b/>
          <w:bCs/>
          <w:lang w:val="fr-FR"/>
        </w:rPr>
        <w:t>mu seulement par une chaîne de traction électrique</w:t>
      </w:r>
      <w:r>
        <w:rPr>
          <w:b/>
          <w:bCs/>
          <w:lang w:val="fr-FR"/>
        </w:rPr>
        <w:t xml:space="preserve"> </w:t>
      </w:r>
      <w:r w:rsidRPr="000D24F0">
        <w:rPr>
          <w:b/>
          <w:bCs/>
          <w:lang w:val="fr-FR"/>
        </w:rPr>
        <w:t>équipée d</w:t>
      </w:r>
      <w:r w:rsidR="00D20806">
        <w:rPr>
          <w:b/>
          <w:bCs/>
          <w:lang w:val="fr-FR"/>
        </w:rPr>
        <w:t>’</w:t>
      </w:r>
      <w:r w:rsidRPr="000D24F0">
        <w:rPr>
          <w:b/>
          <w:bCs/>
          <w:lang w:val="fr-FR"/>
        </w:rPr>
        <w:t>un système de freinage électrique à récupération tel</w:t>
      </w:r>
      <w:r>
        <w:rPr>
          <w:b/>
          <w:bCs/>
          <w:lang w:val="fr-FR"/>
        </w:rPr>
        <w:t xml:space="preserve"> </w:t>
      </w:r>
      <w:r w:rsidRPr="000D24F0">
        <w:rPr>
          <w:b/>
          <w:bCs/>
          <w:lang w:val="fr-FR"/>
        </w:rPr>
        <w:t>qu</w:t>
      </w:r>
      <w:r w:rsidR="00D20806">
        <w:rPr>
          <w:b/>
          <w:bCs/>
          <w:lang w:val="fr-FR"/>
        </w:rPr>
        <w:t>’</w:t>
      </w:r>
      <w:r w:rsidRPr="000D24F0">
        <w:rPr>
          <w:b/>
          <w:bCs/>
          <w:lang w:val="fr-FR"/>
        </w:rPr>
        <w:t>il est défini au paragraphe 2.32 du présent Règlement, produisant un ralentissement</w:t>
      </w:r>
      <w:r>
        <w:rPr>
          <w:b/>
          <w:bCs/>
          <w:lang w:val="fr-FR"/>
        </w:rPr>
        <w:t xml:space="preserve"> </w:t>
      </w:r>
      <w:r w:rsidRPr="000D24F0">
        <w:rPr>
          <w:b/>
          <w:bCs/>
          <w:lang w:val="fr-FR"/>
        </w:rPr>
        <w:t>lorsque la pédale d</w:t>
      </w:r>
      <w:r w:rsidR="00D20806">
        <w:rPr>
          <w:b/>
          <w:bCs/>
          <w:lang w:val="fr-FR"/>
        </w:rPr>
        <w:t>’</w:t>
      </w:r>
      <w:r w:rsidRPr="000D24F0">
        <w:rPr>
          <w:b/>
          <w:bCs/>
          <w:lang w:val="fr-FR"/>
        </w:rPr>
        <w:t>accélérateur est relâchée. L</w:t>
      </w:r>
      <w:r w:rsidRPr="000D24F0">
        <w:t xml:space="preserve">e </w:t>
      </w:r>
      <w:r w:rsidRPr="000D24F0">
        <w:rPr>
          <w:b/>
          <w:bCs/>
          <w:lang w:val="fr-FR"/>
        </w:rPr>
        <w:t>signal de freinage doit être émis comme suit</w:t>
      </w:r>
      <w:r w:rsidR="00EA5704">
        <w:rPr>
          <w:b/>
          <w:bCs/>
          <w:lang w:val="fr-FR"/>
        </w:rPr>
        <w:t> :</w:t>
      </w:r>
    </w:p>
    <w:tbl>
      <w:tblPr>
        <w:tblW w:w="6298" w:type="dxa"/>
        <w:tblInd w:w="2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3408"/>
      </w:tblGrid>
      <w:tr w:rsidR="000D24F0" w:rsidRPr="00FE0FCF" w:rsidTr="008E4AFE"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4F0" w:rsidRPr="00FE0FCF" w:rsidRDefault="000D24F0" w:rsidP="00010F0E">
            <w:pPr>
              <w:spacing w:before="80" w:after="80" w:line="220" w:lineRule="exact"/>
              <w:ind w:left="57" w:right="57"/>
              <w:rPr>
                <w:b/>
                <w:i/>
                <w:sz w:val="16"/>
                <w:szCs w:val="16"/>
              </w:rPr>
            </w:pPr>
            <w:r w:rsidRPr="00FE0FCF">
              <w:rPr>
                <w:b/>
                <w:i/>
                <w:sz w:val="16"/>
                <w:szCs w:val="16"/>
                <w:lang w:val="fr-FR"/>
              </w:rPr>
              <w:t xml:space="preserve">Décélération du véhicule </w:t>
            </w:r>
          </w:p>
        </w:tc>
        <w:tc>
          <w:tcPr>
            <w:tcW w:w="34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4F0" w:rsidRPr="00FE0FCF" w:rsidRDefault="000D24F0" w:rsidP="00010F0E">
            <w:pPr>
              <w:spacing w:before="80" w:after="80" w:line="220" w:lineRule="exact"/>
              <w:ind w:left="57" w:right="57"/>
              <w:rPr>
                <w:b/>
                <w:i/>
                <w:sz w:val="16"/>
                <w:szCs w:val="16"/>
              </w:rPr>
            </w:pPr>
            <w:r w:rsidRPr="00FE0FCF">
              <w:rPr>
                <w:b/>
                <w:i/>
                <w:sz w:val="16"/>
                <w:szCs w:val="16"/>
                <w:lang w:val="fr-FR"/>
              </w:rPr>
              <w:t>Émission du signal</w:t>
            </w:r>
          </w:p>
        </w:tc>
      </w:tr>
      <w:tr w:rsidR="000D24F0" w:rsidRPr="00F13A4A" w:rsidTr="008E4AFE">
        <w:tc>
          <w:tcPr>
            <w:tcW w:w="2890" w:type="dxa"/>
            <w:tcBorders>
              <w:bottom w:val="single" w:sz="2" w:space="0" w:color="auto"/>
            </w:tcBorders>
            <w:shd w:val="clear" w:color="auto" w:fill="auto"/>
          </w:tcPr>
          <w:p w:rsidR="000D24F0" w:rsidRPr="00F13A4A" w:rsidRDefault="00010F0E" w:rsidP="00010F0E">
            <w:pPr>
              <w:spacing w:before="60" w:after="60" w:line="220" w:lineRule="exact"/>
              <w:ind w:left="57" w:right="57"/>
              <w:rPr>
                <w:b/>
                <w:szCs w:val="24"/>
              </w:rPr>
            </w:pPr>
            <w:r>
              <w:rPr>
                <w:b/>
                <w:szCs w:val="24"/>
                <w:lang w:val="fr-FR"/>
              </w:rPr>
              <w:t>≤ </w:t>
            </w:r>
            <w:r w:rsidR="000D24F0" w:rsidRPr="00F13A4A">
              <w:rPr>
                <w:b/>
                <w:szCs w:val="24"/>
                <w:lang w:val="fr-FR"/>
              </w:rPr>
              <w:t>1,3 m/s</w:t>
            </w:r>
            <w:r w:rsidR="000D24F0" w:rsidRPr="00F13A4A">
              <w:rPr>
                <w:b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3408" w:type="dxa"/>
            <w:tcBorders>
              <w:bottom w:val="single" w:sz="2" w:space="0" w:color="auto"/>
            </w:tcBorders>
            <w:shd w:val="clear" w:color="auto" w:fill="auto"/>
          </w:tcPr>
          <w:p w:rsidR="000D24F0" w:rsidRPr="00F13A4A" w:rsidRDefault="000D24F0" w:rsidP="00010F0E">
            <w:pPr>
              <w:spacing w:before="60" w:after="60" w:line="220" w:lineRule="exact"/>
              <w:ind w:left="57" w:right="57"/>
              <w:rPr>
                <w:b/>
                <w:szCs w:val="24"/>
              </w:rPr>
            </w:pPr>
            <w:r w:rsidRPr="00F13A4A">
              <w:rPr>
                <w:b/>
                <w:szCs w:val="24"/>
                <w:lang w:val="fr-FR"/>
              </w:rPr>
              <w:t>Émission du signal facultative</w:t>
            </w:r>
          </w:p>
        </w:tc>
      </w:tr>
      <w:tr w:rsidR="000D24F0" w:rsidRPr="00F13A4A" w:rsidTr="008E4AFE">
        <w:tc>
          <w:tcPr>
            <w:tcW w:w="2890" w:type="dxa"/>
            <w:tcBorders>
              <w:bottom w:val="single" w:sz="12" w:space="0" w:color="auto"/>
            </w:tcBorders>
            <w:shd w:val="clear" w:color="auto" w:fill="auto"/>
          </w:tcPr>
          <w:p w:rsidR="000D24F0" w:rsidRPr="00F13A4A" w:rsidRDefault="000D24F0" w:rsidP="00010F0E">
            <w:pPr>
              <w:spacing w:before="60" w:after="60" w:line="220" w:lineRule="exact"/>
              <w:ind w:left="57" w:right="57"/>
              <w:rPr>
                <w:b/>
                <w:szCs w:val="24"/>
              </w:rPr>
            </w:pPr>
            <w:r w:rsidRPr="00F13A4A">
              <w:rPr>
                <w:b/>
                <w:szCs w:val="24"/>
                <w:lang w:val="fr-FR"/>
              </w:rPr>
              <w:t>&gt;</w:t>
            </w:r>
            <w:r w:rsidR="00010F0E">
              <w:rPr>
                <w:b/>
                <w:szCs w:val="24"/>
                <w:lang w:val="fr-FR"/>
              </w:rPr>
              <w:t> </w:t>
            </w:r>
            <w:r w:rsidRPr="00F13A4A">
              <w:rPr>
                <w:b/>
                <w:szCs w:val="24"/>
                <w:lang w:val="fr-FR"/>
              </w:rPr>
              <w:t>1,3 m/s</w:t>
            </w:r>
            <w:r w:rsidRPr="00F13A4A">
              <w:rPr>
                <w:b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3408" w:type="dxa"/>
            <w:tcBorders>
              <w:bottom w:val="single" w:sz="12" w:space="0" w:color="auto"/>
            </w:tcBorders>
            <w:shd w:val="clear" w:color="auto" w:fill="auto"/>
          </w:tcPr>
          <w:p w:rsidR="000D24F0" w:rsidRPr="00F13A4A" w:rsidRDefault="000D24F0" w:rsidP="00010F0E">
            <w:pPr>
              <w:spacing w:before="60" w:after="60" w:line="220" w:lineRule="exact"/>
              <w:ind w:left="57" w:right="57"/>
              <w:rPr>
                <w:b/>
                <w:szCs w:val="24"/>
              </w:rPr>
            </w:pPr>
            <w:r w:rsidRPr="00F13A4A">
              <w:rPr>
                <w:b/>
                <w:szCs w:val="24"/>
                <w:lang w:val="fr-FR"/>
              </w:rPr>
              <w:t>Émission du signal obligatoire</w:t>
            </w:r>
          </w:p>
        </w:tc>
      </w:tr>
    </w:tbl>
    <w:p w:rsidR="000D24F0" w:rsidRPr="000D24F0" w:rsidRDefault="000D24F0" w:rsidP="00010F0E">
      <w:pPr>
        <w:pStyle w:val="SingleTxtG"/>
        <w:spacing w:before="240"/>
        <w:ind w:left="2268" w:hanging="1134"/>
      </w:pPr>
      <w:r w:rsidRPr="000D24F0">
        <w:rPr>
          <w:b/>
          <w:lang w:val="fr-FR"/>
        </w:rPr>
        <w:t>5.1.16.3</w:t>
      </w:r>
      <w:r w:rsidRPr="000D24F0">
        <w:rPr>
          <w:b/>
          <w:lang w:val="fr-FR"/>
        </w:rPr>
        <w:tab/>
      </w:r>
      <w:r w:rsidRPr="000D24F0">
        <w:rPr>
          <w:b/>
          <w:bCs/>
          <w:lang w:val="fr-FR"/>
        </w:rPr>
        <w:t>Le constructeur est libre de choisir la méthode de</w:t>
      </w:r>
      <w:r>
        <w:rPr>
          <w:b/>
          <w:bCs/>
          <w:lang w:val="fr-FR"/>
        </w:rPr>
        <w:t xml:space="preserve"> </w:t>
      </w:r>
      <w:r w:rsidRPr="000D24F0">
        <w:rPr>
          <w:b/>
          <w:bCs/>
          <w:lang w:val="fr-FR"/>
        </w:rPr>
        <w:t>détermination de la décélération tant que le véhicule satisfait aux prescriptions techniques de la présente section (la décélération peut par exemple être déterminée</w:t>
      </w:r>
      <w:r>
        <w:rPr>
          <w:b/>
          <w:bCs/>
          <w:lang w:val="fr-FR"/>
        </w:rPr>
        <w:t xml:space="preserve"> </w:t>
      </w:r>
      <w:r w:rsidRPr="000D24F0">
        <w:rPr>
          <w:b/>
          <w:bCs/>
          <w:lang w:val="fr-FR"/>
        </w:rPr>
        <w:t>par la variation de v</w:t>
      </w:r>
      <w:r w:rsidR="00010F0E">
        <w:rPr>
          <w:b/>
          <w:bCs/>
          <w:lang w:val="fr-FR"/>
        </w:rPr>
        <w:t>itesse de rotation de la roue) </w:t>
      </w:r>
      <w:r w:rsidR="00010F0E" w:rsidRPr="00EA5704">
        <w:t>»</w:t>
      </w:r>
      <w:r w:rsidR="00010F0E">
        <w:rPr>
          <w:b/>
          <w:bCs/>
          <w:lang w:val="fr-FR"/>
        </w:rPr>
        <w:t>.</w:t>
      </w:r>
    </w:p>
    <w:p w:rsidR="000D24F0" w:rsidRPr="000D24F0" w:rsidRDefault="00010F0E" w:rsidP="00010F0E">
      <w:pPr>
        <w:pStyle w:val="HChG"/>
      </w:pPr>
      <w:r>
        <w:rPr>
          <w:lang w:val="fr-FR"/>
        </w:rPr>
        <w:tab/>
      </w:r>
      <w:r w:rsidR="000D24F0" w:rsidRPr="000D24F0">
        <w:rPr>
          <w:lang w:val="fr-FR"/>
        </w:rPr>
        <w:t>II.</w:t>
      </w:r>
      <w:r w:rsidR="000D24F0" w:rsidRPr="000D24F0">
        <w:rPr>
          <w:lang w:val="fr-FR"/>
        </w:rPr>
        <w:tab/>
        <w:t>Justification</w:t>
      </w:r>
    </w:p>
    <w:p w:rsidR="000D24F0" w:rsidRPr="000D24F0" w:rsidRDefault="000D24F0" w:rsidP="000D24F0">
      <w:pPr>
        <w:pStyle w:val="SingleTxtG"/>
      </w:pPr>
      <w:r w:rsidRPr="000D24F0">
        <w:rPr>
          <w:lang w:val="fr-FR"/>
        </w:rPr>
        <w:t>1.</w:t>
      </w:r>
      <w:r w:rsidRPr="000D24F0">
        <w:rPr>
          <w:lang w:val="fr-FR"/>
        </w:rPr>
        <w:tab/>
        <w:t xml:space="preserve">Actuellement, le Règlement </w:t>
      </w:r>
      <w:r w:rsidR="00010F0E" w:rsidRPr="00010F0E">
        <w:rPr>
          <w:rFonts w:eastAsia="MS Mincho"/>
          <w:szCs w:val="22"/>
          <w:lang w:val="fr-FR"/>
        </w:rPr>
        <w:t>n</w:t>
      </w:r>
      <w:r w:rsidR="00010F0E" w:rsidRPr="00010F0E">
        <w:rPr>
          <w:rFonts w:eastAsia="MS Mincho"/>
          <w:szCs w:val="22"/>
          <w:vertAlign w:val="superscript"/>
          <w:lang w:val="fr-FR"/>
        </w:rPr>
        <w:t>o</w:t>
      </w:r>
      <w:r w:rsidRPr="000D24F0">
        <w:rPr>
          <w:lang w:val="fr-FR"/>
        </w:rPr>
        <w:t> 53 n</w:t>
      </w:r>
      <w:r w:rsidR="00D20806">
        <w:rPr>
          <w:lang w:val="fr-FR"/>
        </w:rPr>
        <w:t>’</w:t>
      </w:r>
      <w:r w:rsidRPr="000D24F0">
        <w:rPr>
          <w:lang w:val="fr-FR"/>
        </w:rPr>
        <w:t>autorise l</w:t>
      </w:r>
      <w:r w:rsidR="00D20806">
        <w:rPr>
          <w:lang w:val="fr-FR"/>
        </w:rPr>
        <w:t>’</w:t>
      </w:r>
      <w:r w:rsidRPr="000D24F0">
        <w:rPr>
          <w:lang w:val="fr-FR"/>
        </w:rPr>
        <w:t>allumage des feux stop qu</w:t>
      </w:r>
      <w:r w:rsidR="00D20806">
        <w:rPr>
          <w:lang w:val="fr-FR"/>
        </w:rPr>
        <w:t>’</w:t>
      </w:r>
      <w:r w:rsidRPr="000D24F0">
        <w:rPr>
          <w:lang w:val="fr-FR"/>
        </w:rPr>
        <w:t>en cas d</w:t>
      </w:r>
      <w:r w:rsidR="00D20806">
        <w:rPr>
          <w:lang w:val="fr-FR"/>
        </w:rPr>
        <w:t>’</w:t>
      </w:r>
      <w:r w:rsidRPr="000D24F0">
        <w:rPr>
          <w:lang w:val="fr-FR"/>
        </w:rPr>
        <w:t xml:space="preserve">activation des freins. </w:t>
      </w:r>
      <w:r w:rsidRPr="000D24F0">
        <w:rPr>
          <w:bCs/>
          <w:lang w:val="fr-FR"/>
        </w:rPr>
        <w:t>La modification proposée par l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AICM, qui a déjà fait l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objet d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une présentation à une session du Groupe de travail de l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éclairage et de la signalisation lumineuse (GRE) (voir ECE/TRANS/WP29/GRE/2015/42), vise à faire en sorte que l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allumage des feux stop ne soit plus seulement</w:t>
      </w:r>
      <w:r>
        <w:rPr>
          <w:bCs/>
          <w:lang w:val="fr-FR"/>
        </w:rPr>
        <w:t xml:space="preserve"> </w:t>
      </w:r>
      <w:r w:rsidRPr="000D24F0">
        <w:rPr>
          <w:bCs/>
          <w:lang w:val="fr-FR"/>
        </w:rPr>
        <w:t>déclenché par l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activation du frein de service, mais également, par exemple, lors du freinage à récupération.</w:t>
      </w:r>
      <w:r w:rsidRPr="000D24F0">
        <w:rPr>
          <w:lang w:val="fr-FR"/>
        </w:rPr>
        <w:t xml:space="preserve"> Comme il est indiqué dans le rapport de la soixante-quatorzième session du G</w:t>
      </w:r>
      <w:r w:rsidR="00EA5704">
        <w:rPr>
          <w:lang w:val="fr-FR"/>
        </w:rPr>
        <w:t>RE (ECE/TRANS/WP29/GRE/74, par. </w:t>
      </w:r>
      <w:r w:rsidRPr="000D24F0">
        <w:rPr>
          <w:lang w:val="fr-FR"/>
        </w:rPr>
        <w:t xml:space="preserve">30) : </w:t>
      </w:r>
      <w:r w:rsidR="00010F0E">
        <w:rPr>
          <w:lang w:val="fr-FR"/>
        </w:rPr>
        <w:t>« </w:t>
      </w:r>
      <w:r w:rsidRPr="000D24F0">
        <w:rPr>
          <w:lang w:val="fr-FR"/>
        </w:rPr>
        <w:t xml:space="preserve">cette proposition pourrait nécessiter une modification du Règlement </w:t>
      </w:r>
      <w:r w:rsidR="00010F0E" w:rsidRPr="00010F0E">
        <w:rPr>
          <w:rFonts w:eastAsia="MS Mincho"/>
          <w:szCs w:val="22"/>
          <w:lang w:val="fr-FR"/>
        </w:rPr>
        <w:t>n</w:t>
      </w:r>
      <w:r w:rsidR="00010F0E" w:rsidRPr="00010F0E">
        <w:rPr>
          <w:rFonts w:eastAsia="MS Mincho"/>
          <w:szCs w:val="22"/>
          <w:vertAlign w:val="superscript"/>
          <w:lang w:val="fr-FR"/>
        </w:rPr>
        <w:t>o</w:t>
      </w:r>
      <w:r w:rsidR="00010F0E">
        <w:rPr>
          <w:lang w:val="fr-FR"/>
        </w:rPr>
        <w:t> </w:t>
      </w:r>
      <w:r w:rsidRPr="000D24F0">
        <w:rPr>
          <w:lang w:val="fr-FR"/>
        </w:rPr>
        <w:t>78, qui relève du GRRF</w:t>
      </w:r>
      <w:r w:rsidR="00010F0E">
        <w:rPr>
          <w:lang w:val="fr-FR"/>
        </w:rPr>
        <w:t> ».</w:t>
      </w:r>
      <w:r w:rsidRPr="000D24F0">
        <w:rPr>
          <w:lang w:val="fr-FR"/>
        </w:rPr>
        <w:t xml:space="preserve"> </w:t>
      </w:r>
    </w:p>
    <w:p w:rsidR="000D24F0" w:rsidRPr="000D24F0" w:rsidRDefault="000D24F0" w:rsidP="000D24F0">
      <w:pPr>
        <w:pStyle w:val="SingleTxtG"/>
      </w:pPr>
      <w:r w:rsidRPr="000D24F0">
        <w:rPr>
          <w:lang w:val="fr-FR"/>
        </w:rPr>
        <w:t>2.</w:t>
      </w:r>
      <w:r w:rsidRPr="000D24F0">
        <w:rPr>
          <w:lang w:val="fr-FR"/>
        </w:rPr>
        <w:tab/>
        <w:t>L</w:t>
      </w:r>
      <w:r w:rsidR="00D20806">
        <w:rPr>
          <w:lang w:val="fr-FR"/>
        </w:rPr>
        <w:t>’</w:t>
      </w:r>
      <w:r w:rsidRPr="000D24F0">
        <w:rPr>
          <w:lang w:val="fr-FR"/>
        </w:rPr>
        <w:t xml:space="preserve">IMMA a donc également établi une proposition de modification du Règlement </w:t>
      </w:r>
      <w:r w:rsidR="00373634" w:rsidRPr="00373634">
        <w:rPr>
          <w:rFonts w:eastAsia="MS Mincho"/>
          <w:szCs w:val="22"/>
          <w:lang w:val="fr-FR"/>
        </w:rPr>
        <w:t>n</w:t>
      </w:r>
      <w:r w:rsidR="00373634" w:rsidRPr="00373634">
        <w:rPr>
          <w:rFonts w:eastAsia="MS Mincho"/>
          <w:szCs w:val="22"/>
          <w:vertAlign w:val="superscript"/>
          <w:lang w:val="fr-FR"/>
        </w:rPr>
        <w:t>o</w:t>
      </w:r>
      <w:r w:rsidRPr="000D24F0">
        <w:rPr>
          <w:lang w:val="fr-FR"/>
        </w:rPr>
        <w:t> 78, qui sera présentée à la session de septembre 2017</w:t>
      </w:r>
      <w:r w:rsidRPr="000D24F0">
        <w:t xml:space="preserve"> </w:t>
      </w:r>
      <w:r w:rsidRPr="000D24F0">
        <w:rPr>
          <w:lang w:val="fr-FR"/>
        </w:rPr>
        <w:t>du GRRF</w:t>
      </w:r>
      <w:r>
        <w:rPr>
          <w:lang w:val="fr-FR"/>
        </w:rPr>
        <w:t xml:space="preserve"> </w:t>
      </w:r>
      <w:r w:rsidRPr="000D24F0">
        <w:t>et elle soumettra</w:t>
      </w:r>
      <w:r>
        <w:t xml:space="preserve"> </w:t>
      </w:r>
      <w:r w:rsidRPr="000D24F0">
        <w:rPr>
          <w:lang w:val="fr-FR"/>
        </w:rPr>
        <w:t xml:space="preserve">en parallèle une proposition révisée concernant le Règlement </w:t>
      </w:r>
      <w:r w:rsidR="00010F0E" w:rsidRPr="00010F0E">
        <w:rPr>
          <w:rFonts w:eastAsia="MS Mincho"/>
          <w:szCs w:val="22"/>
          <w:lang w:val="fr-FR"/>
        </w:rPr>
        <w:t>n</w:t>
      </w:r>
      <w:r w:rsidR="00010F0E" w:rsidRPr="00010F0E">
        <w:rPr>
          <w:rFonts w:eastAsia="MS Mincho"/>
          <w:szCs w:val="22"/>
          <w:vertAlign w:val="superscript"/>
          <w:lang w:val="fr-FR"/>
        </w:rPr>
        <w:t>o</w:t>
      </w:r>
      <w:r w:rsidR="00010F0E">
        <w:rPr>
          <w:lang w:val="fr-FR"/>
        </w:rPr>
        <w:t> </w:t>
      </w:r>
      <w:r w:rsidRPr="000D24F0">
        <w:rPr>
          <w:lang w:val="fr-FR"/>
        </w:rPr>
        <w:t>53 à la session du GRE d</w:t>
      </w:r>
      <w:r w:rsidR="00D20806">
        <w:rPr>
          <w:lang w:val="fr-FR"/>
        </w:rPr>
        <w:t>’</w:t>
      </w:r>
      <w:r w:rsidRPr="000D24F0">
        <w:rPr>
          <w:lang w:val="fr-FR"/>
        </w:rPr>
        <w:t>octobre 2017.</w:t>
      </w:r>
    </w:p>
    <w:p w:rsidR="000D24F0" w:rsidRPr="000D24F0" w:rsidRDefault="000D24F0" w:rsidP="000D24F0">
      <w:pPr>
        <w:pStyle w:val="SingleTxtG"/>
      </w:pPr>
      <w:r w:rsidRPr="000D24F0">
        <w:rPr>
          <w:lang w:val="fr-FR"/>
        </w:rPr>
        <w:t>3.</w:t>
      </w:r>
      <w:r w:rsidRPr="000D24F0">
        <w:rPr>
          <w:lang w:val="fr-FR"/>
        </w:rPr>
        <w:tab/>
        <w:t xml:space="preserve">Les modifications des critères </w:t>
      </w:r>
      <w:r w:rsidRPr="000D24F0">
        <w:rPr>
          <w:u w:val="single"/>
          <w:lang w:val="fr-FR"/>
        </w:rPr>
        <w:t>d</w:t>
      </w:r>
      <w:r w:rsidR="00D20806">
        <w:rPr>
          <w:u w:val="single"/>
          <w:lang w:val="fr-FR"/>
        </w:rPr>
        <w:t>’</w:t>
      </w:r>
      <w:r w:rsidRPr="000D24F0">
        <w:rPr>
          <w:u w:val="single"/>
          <w:lang w:val="fr-FR"/>
        </w:rPr>
        <w:t>activation</w:t>
      </w:r>
      <w:r w:rsidRPr="000D24F0">
        <w:rPr>
          <w:lang w:val="fr-FR"/>
        </w:rPr>
        <w:t xml:space="preserve"> des feux stop du Règlement </w:t>
      </w:r>
      <w:r w:rsidR="00010F0E" w:rsidRPr="00010F0E">
        <w:rPr>
          <w:rFonts w:eastAsia="MS Mincho"/>
          <w:szCs w:val="22"/>
          <w:lang w:val="fr-FR"/>
        </w:rPr>
        <w:t>n</w:t>
      </w:r>
      <w:r w:rsidR="00010F0E" w:rsidRPr="00010F0E">
        <w:rPr>
          <w:rFonts w:eastAsia="MS Mincho"/>
          <w:szCs w:val="22"/>
          <w:vertAlign w:val="superscript"/>
          <w:lang w:val="fr-FR"/>
        </w:rPr>
        <w:t>o</w:t>
      </w:r>
      <w:r w:rsidRPr="000D24F0">
        <w:rPr>
          <w:lang w:val="fr-FR"/>
        </w:rPr>
        <w:t xml:space="preserve"> 78 proposées ci-dessus résultent des amendements aux prescriptions </w:t>
      </w:r>
      <w:r w:rsidRPr="000D24F0">
        <w:rPr>
          <w:u w:val="single"/>
          <w:lang w:val="fr-FR"/>
        </w:rPr>
        <w:t>d</w:t>
      </w:r>
      <w:r w:rsidR="00D20806">
        <w:rPr>
          <w:u w:val="single"/>
          <w:lang w:val="fr-FR"/>
        </w:rPr>
        <w:t>’</w:t>
      </w:r>
      <w:r w:rsidRPr="000D24F0">
        <w:rPr>
          <w:u w:val="single"/>
          <w:lang w:val="fr-FR"/>
        </w:rPr>
        <w:t>installation</w:t>
      </w:r>
      <w:r w:rsidRPr="000D24F0">
        <w:rPr>
          <w:lang w:val="fr-FR"/>
        </w:rPr>
        <w:t xml:space="preserve"> des feux stop du Règlement </w:t>
      </w:r>
      <w:r w:rsidR="00EA1F03" w:rsidRPr="00EA1F03">
        <w:rPr>
          <w:rFonts w:eastAsia="MS Mincho"/>
          <w:szCs w:val="22"/>
          <w:lang w:val="fr-FR"/>
        </w:rPr>
        <w:t>n</w:t>
      </w:r>
      <w:r w:rsidR="00EA1F03" w:rsidRPr="00EA1F03">
        <w:rPr>
          <w:rFonts w:eastAsia="MS Mincho"/>
          <w:szCs w:val="22"/>
          <w:vertAlign w:val="superscript"/>
          <w:lang w:val="fr-FR"/>
        </w:rPr>
        <w:t>o</w:t>
      </w:r>
      <w:r w:rsidRPr="000D24F0">
        <w:rPr>
          <w:lang w:val="fr-FR"/>
        </w:rPr>
        <w:t> 53</w:t>
      </w:r>
      <w:r w:rsidRPr="000D24F0">
        <w:rPr>
          <w:bCs/>
          <w:lang w:val="fr-FR"/>
        </w:rPr>
        <w:t>.</w:t>
      </w:r>
      <w:r w:rsidRPr="000D24F0">
        <w:rPr>
          <w:lang w:val="fr-FR"/>
        </w:rPr>
        <w:t xml:space="preserve"> Les dispositions liées à la décélération du véhicule énoncées au paragraphe 5.1.16.2 </w:t>
      </w:r>
      <w:r w:rsidRPr="000D24F0">
        <w:rPr>
          <w:bCs/>
          <w:lang w:val="fr-FR"/>
        </w:rPr>
        <w:t xml:space="preserve">correspondent à celles du sous-paragraphe 5.2.1.30.2 du paragraphe 5.2.1.30 du Règlement </w:t>
      </w:r>
      <w:r w:rsidR="00EA1F03" w:rsidRPr="00EA1F03">
        <w:rPr>
          <w:rFonts w:eastAsia="MS Mincho"/>
          <w:bCs/>
          <w:szCs w:val="22"/>
          <w:lang w:val="fr-FR"/>
        </w:rPr>
        <w:t>n</w:t>
      </w:r>
      <w:r w:rsidR="00EA1F03" w:rsidRPr="00EA1F03">
        <w:rPr>
          <w:rFonts w:eastAsia="MS Mincho"/>
          <w:bCs/>
          <w:szCs w:val="22"/>
          <w:vertAlign w:val="superscript"/>
          <w:lang w:val="fr-FR"/>
        </w:rPr>
        <w:t>o</w:t>
      </w:r>
      <w:r w:rsidRPr="000D24F0">
        <w:rPr>
          <w:bCs/>
          <w:lang w:val="fr-FR"/>
        </w:rPr>
        <w:t> 13</w:t>
      </w:r>
      <w:r w:rsidR="00010F0E">
        <w:rPr>
          <w:bCs/>
          <w:lang w:val="fr-FR"/>
        </w:rPr>
        <w:t> :</w:t>
      </w:r>
      <w:r w:rsidRPr="000D24F0">
        <w:rPr>
          <w:lang w:val="fr-FR"/>
        </w:rPr>
        <w:t xml:space="preserve"> </w:t>
      </w:r>
    </w:p>
    <w:p w:rsidR="000D24F0" w:rsidRPr="000D24F0" w:rsidRDefault="00010F0E" w:rsidP="00010F0E">
      <w:pPr>
        <w:pStyle w:val="SingleTxtG"/>
        <w:keepNext/>
        <w:keepLines/>
        <w:ind w:left="2268" w:hanging="1134"/>
        <w:rPr>
          <w:lang w:val="fr-FR"/>
        </w:rPr>
      </w:pPr>
      <w:r>
        <w:rPr>
          <w:lang w:val="fr-FR"/>
        </w:rPr>
        <w:lastRenderedPageBreak/>
        <w:t>« </w:t>
      </w:r>
      <w:r w:rsidR="000D24F0" w:rsidRPr="000D24F0">
        <w:rPr>
          <w:lang w:val="fr-FR"/>
        </w:rPr>
        <w:t>5.2.1.30</w:t>
      </w:r>
      <w:r w:rsidR="000D24F0" w:rsidRPr="000D24F0">
        <w:rPr>
          <w:lang w:val="fr-FR"/>
        </w:rPr>
        <w:tab/>
        <w:t>Émission d</w:t>
      </w:r>
      <w:r w:rsidR="00D20806">
        <w:rPr>
          <w:lang w:val="fr-FR"/>
        </w:rPr>
        <w:t>’</w:t>
      </w:r>
      <w:r w:rsidR="000D24F0" w:rsidRPr="000D24F0">
        <w:rPr>
          <w:lang w:val="fr-FR"/>
        </w:rPr>
        <w:t>un signal de freinage pour l</w:t>
      </w:r>
      <w:r w:rsidR="00D20806">
        <w:rPr>
          <w:lang w:val="fr-FR"/>
        </w:rPr>
        <w:t>’</w:t>
      </w:r>
      <w:r w:rsidR="000D24F0" w:rsidRPr="000D24F0">
        <w:rPr>
          <w:lang w:val="fr-FR"/>
        </w:rPr>
        <w:t xml:space="preserve">allumage des feux stop. </w:t>
      </w:r>
    </w:p>
    <w:p w:rsidR="000D24F0" w:rsidRPr="000D24F0" w:rsidRDefault="000D24F0" w:rsidP="00010F0E">
      <w:pPr>
        <w:pStyle w:val="SingleTxtG"/>
        <w:ind w:left="2268" w:hanging="1134"/>
        <w:rPr>
          <w:lang w:val="fr-FR"/>
        </w:rPr>
      </w:pPr>
      <w:r w:rsidRPr="000D24F0">
        <w:rPr>
          <w:lang w:val="fr-FR"/>
        </w:rPr>
        <w:t>5.2.1.30.1</w:t>
      </w:r>
      <w:r w:rsidRPr="000D24F0">
        <w:rPr>
          <w:lang w:val="fr-FR"/>
        </w:rPr>
        <w:tab/>
        <w:t>L</w:t>
      </w:r>
      <w:r w:rsidR="00D20806">
        <w:rPr>
          <w:lang w:val="fr-FR"/>
        </w:rPr>
        <w:t>’</w:t>
      </w:r>
      <w:r w:rsidRPr="000D24F0">
        <w:rPr>
          <w:lang w:val="fr-FR"/>
        </w:rPr>
        <w:t>actionnement du frein de service par le conducteur doit commander l</w:t>
      </w:r>
      <w:r w:rsidR="00D20806">
        <w:rPr>
          <w:lang w:val="fr-FR"/>
        </w:rPr>
        <w:t>’</w:t>
      </w:r>
      <w:r w:rsidRPr="000D24F0">
        <w:rPr>
          <w:lang w:val="fr-FR"/>
        </w:rPr>
        <w:t>émission d</w:t>
      </w:r>
      <w:r w:rsidR="00D20806">
        <w:rPr>
          <w:lang w:val="fr-FR"/>
        </w:rPr>
        <w:t>’</w:t>
      </w:r>
      <w:r w:rsidRPr="000D24F0">
        <w:rPr>
          <w:lang w:val="fr-FR"/>
        </w:rPr>
        <w:t>un signal d</w:t>
      </w:r>
      <w:r w:rsidR="00D20806">
        <w:rPr>
          <w:lang w:val="fr-FR"/>
        </w:rPr>
        <w:t>’</w:t>
      </w:r>
      <w:r w:rsidRPr="000D24F0">
        <w:rPr>
          <w:lang w:val="fr-FR"/>
        </w:rPr>
        <w:t xml:space="preserve">allumage des feux stop. </w:t>
      </w:r>
    </w:p>
    <w:p w:rsidR="000D24F0" w:rsidRDefault="000D24F0" w:rsidP="00010F0E">
      <w:pPr>
        <w:pStyle w:val="SingleTxtG"/>
        <w:ind w:left="2268" w:hanging="1134"/>
        <w:rPr>
          <w:lang w:val="fr-FR"/>
        </w:rPr>
      </w:pPr>
      <w:r w:rsidRPr="000D24F0">
        <w:rPr>
          <w:lang w:val="fr-FR"/>
        </w:rPr>
        <w:t>5.2.1.30.2</w:t>
      </w:r>
      <w:r w:rsidRPr="000D24F0">
        <w:rPr>
          <w:lang w:val="fr-FR"/>
        </w:rPr>
        <w:tab/>
        <w:t>Les véhicules sur lesquels le signal électronique est émis dès le début de l</w:t>
      </w:r>
      <w:r w:rsidR="00D20806">
        <w:rPr>
          <w:lang w:val="fr-FR"/>
        </w:rPr>
        <w:t>’</w:t>
      </w:r>
      <w:r w:rsidRPr="000D24F0">
        <w:rPr>
          <w:lang w:val="fr-FR"/>
        </w:rPr>
        <w:t>actionnement du freinage de service et équipés d</w:t>
      </w:r>
      <w:r w:rsidR="00D20806">
        <w:rPr>
          <w:lang w:val="fr-FR"/>
        </w:rPr>
        <w:t>’</w:t>
      </w:r>
      <w:r w:rsidRPr="000D24F0">
        <w:rPr>
          <w:lang w:val="fr-FR"/>
        </w:rPr>
        <w:t>un système de freinage d</w:t>
      </w:r>
      <w:r w:rsidR="00D20806">
        <w:rPr>
          <w:lang w:val="fr-FR"/>
        </w:rPr>
        <w:t>’</w:t>
      </w:r>
      <w:r w:rsidRPr="000D24F0">
        <w:rPr>
          <w:lang w:val="fr-FR"/>
        </w:rPr>
        <w:t>endurance et/ou d</w:t>
      </w:r>
      <w:r w:rsidR="00D20806">
        <w:rPr>
          <w:lang w:val="fr-FR"/>
        </w:rPr>
        <w:t>’</w:t>
      </w:r>
      <w:r w:rsidRPr="000D24F0">
        <w:rPr>
          <w:lang w:val="fr-FR"/>
        </w:rPr>
        <w:t>un système de freinage par</w:t>
      </w:r>
      <w:r>
        <w:rPr>
          <w:lang w:val="fr-FR"/>
        </w:rPr>
        <w:t xml:space="preserve"> </w:t>
      </w:r>
      <w:r w:rsidRPr="000D24F0">
        <w:rPr>
          <w:lang w:val="fr-FR"/>
        </w:rPr>
        <w:t>r</w:t>
      </w:r>
      <w:r w:rsidR="00575057">
        <w:rPr>
          <w:lang w:val="fr-FR"/>
        </w:rPr>
        <w:t>écupération de la catégorie </w:t>
      </w:r>
      <w:r w:rsidRPr="000D24F0">
        <w:rPr>
          <w:lang w:val="fr-FR"/>
        </w:rPr>
        <w:t>A sont soumis aux prescriptions ci-dessous 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839"/>
      </w:tblGrid>
      <w:tr w:rsidR="000D24F0" w:rsidRPr="00010F0E" w:rsidTr="00010F0E">
        <w:trPr>
          <w:trHeight w:val="340"/>
          <w:tblHeader/>
        </w:trPr>
        <w:tc>
          <w:tcPr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4F0" w:rsidRPr="00010F0E" w:rsidRDefault="000D24F0" w:rsidP="00010F0E">
            <w:pPr>
              <w:pStyle w:val="SingleTxtG"/>
              <w:suppressAutoHyphens w:val="0"/>
              <w:spacing w:before="80" w:after="80" w:line="240" w:lineRule="exact"/>
              <w:ind w:left="57" w:right="57"/>
              <w:jc w:val="left"/>
              <w:rPr>
                <w:i/>
                <w:sz w:val="16"/>
                <w:szCs w:val="16"/>
              </w:rPr>
            </w:pPr>
            <w:r w:rsidRPr="00010F0E">
              <w:rPr>
                <w:i/>
                <w:sz w:val="16"/>
                <w:szCs w:val="16"/>
                <w:lang w:val="fr-FR"/>
              </w:rPr>
              <w:t>Décélération produite par le système de freinage d</w:t>
            </w:r>
            <w:r w:rsidR="00D20806" w:rsidRPr="00010F0E">
              <w:rPr>
                <w:i/>
                <w:sz w:val="16"/>
                <w:szCs w:val="16"/>
                <w:lang w:val="fr-FR"/>
              </w:rPr>
              <w:t>’</w:t>
            </w:r>
            <w:r w:rsidRPr="00010F0E">
              <w:rPr>
                <w:i/>
                <w:sz w:val="16"/>
                <w:szCs w:val="16"/>
                <w:lang w:val="fr-FR"/>
              </w:rPr>
              <w:t>endurance et/ou système de freinage à récupération</w:t>
            </w:r>
          </w:p>
        </w:tc>
      </w:tr>
      <w:tr w:rsidR="000D24F0" w:rsidRPr="00F13A4A" w:rsidTr="00010F0E">
        <w:trPr>
          <w:trHeight w:val="340"/>
        </w:trPr>
        <w:tc>
          <w:tcPr>
            <w:tcW w:w="3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D24F0" w:rsidRPr="00F13A4A" w:rsidRDefault="000D24F0" w:rsidP="00010F0E">
            <w:pPr>
              <w:pStyle w:val="SingleTxtG"/>
              <w:suppressAutoHyphens w:val="0"/>
              <w:spacing w:before="60" w:after="60" w:line="240" w:lineRule="exact"/>
              <w:ind w:left="57" w:right="57"/>
              <w:jc w:val="left"/>
              <w:rPr>
                <w:szCs w:val="24"/>
              </w:rPr>
            </w:pPr>
            <w:r w:rsidRPr="00F13A4A">
              <w:rPr>
                <w:szCs w:val="24"/>
                <w:lang w:val="fr-FR"/>
              </w:rPr>
              <w:t>≤ 1,3 m/s</w:t>
            </w:r>
            <w:r w:rsidRPr="00F13A4A">
              <w:rPr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38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D24F0" w:rsidRPr="00F13A4A" w:rsidRDefault="000D24F0" w:rsidP="00010F0E">
            <w:pPr>
              <w:pStyle w:val="SingleTxtG"/>
              <w:suppressAutoHyphens w:val="0"/>
              <w:spacing w:before="60" w:after="60" w:line="240" w:lineRule="exact"/>
              <w:ind w:left="57" w:right="57"/>
              <w:jc w:val="left"/>
              <w:rPr>
                <w:szCs w:val="24"/>
              </w:rPr>
            </w:pPr>
            <w:r w:rsidRPr="00F13A4A">
              <w:rPr>
                <w:szCs w:val="24"/>
                <w:lang w:val="fr-FR"/>
              </w:rPr>
              <w:t>&gt; 1,3 m/s</w:t>
            </w:r>
            <w:r w:rsidRPr="00F13A4A">
              <w:rPr>
                <w:szCs w:val="24"/>
                <w:vertAlign w:val="superscript"/>
                <w:lang w:val="fr-FR"/>
              </w:rPr>
              <w:t>2</w:t>
            </w:r>
          </w:p>
        </w:tc>
      </w:tr>
      <w:tr w:rsidR="000D24F0" w:rsidRPr="00F13A4A" w:rsidTr="00010F0E">
        <w:trPr>
          <w:trHeight w:val="340"/>
        </w:trPr>
        <w:tc>
          <w:tcPr>
            <w:tcW w:w="3531" w:type="dxa"/>
            <w:tcBorders>
              <w:bottom w:val="single" w:sz="12" w:space="0" w:color="auto"/>
            </w:tcBorders>
            <w:shd w:val="clear" w:color="auto" w:fill="auto"/>
          </w:tcPr>
          <w:p w:rsidR="000D24F0" w:rsidRPr="00F13A4A" w:rsidRDefault="000D24F0" w:rsidP="00010F0E">
            <w:pPr>
              <w:pStyle w:val="SingleTxtG"/>
              <w:suppressAutoHyphens w:val="0"/>
              <w:spacing w:before="60" w:after="60" w:line="240" w:lineRule="exact"/>
              <w:ind w:left="57" w:right="57"/>
              <w:jc w:val="left"/>
              <w:rPr>
                <w:szCs w:val="24"/>
              </w:rPr>
            </w:pPr>
            <w:r w:rsidRPr="00F13A4A">
              <w:rPr>
                <w:szCs w:val="24"/>
                <w:lang w:val="fr-FR"/>
              </w:rPr>
              <w:t>Émission du signal facultative</w:t>
            </w:r>
          </w:p>
        </w:tc>
        <w:tc>
          <w:tcPr>
            <w:tcW w:w="3839" w:type="dxa"/>
            <w:tcBorders>
              <w:bottom w:val="single" w:sz="12" w:space="0" w:color="auto"/>
            </w:tcBorders>
            <w:shd w:val="clear" w:color="auto" w:fill="auto"/>
          </w:tcPr>
          <w:p w:rsidR="000D24F0" w:rsidRPr="00F13A4A" w:rsidRDefault="000D24F0" w:rsidP="00010F0E">
            <w:pPr>
              <w:pStyle w:val="SingleTxtG"/>
              <w:suppressAutoHyphens w:val="0"/>
              <w:spacing w:before="60" w:after="60" w:line="240" w:lineRule="exact"/>
              <w:ind w:left="57" w:right="57"/>
              <w:jc w:val="left"/>
              <w:rPr>
                <w:szCs w:val="24"/>
              </w:rPr>
            </w:pPr>
            <w:r w:rsidRPr="00F13A4A">
              <w:rPr>
                <w:szCs w:val="24"/>
                <w:lang w:val="fr-FR"/>
              </w:rPr>
              <w:t>Émission du signal obligatoire</w:t>
            </w:r>
          </w:p>
        </w:tc>
      </w:tr>
    </w:tbl>
    <w:p w:rsidR="00010F0E" w:rsidRDefault="00010F0E" w:rsidP="00010F0E">
      <w:pPr>
        <w:pStyle w:val="SingleTxtG"/>
        <w:spacing w:before="120" w:after="240"/>
        <w:jc w:val="right"/>
        <w:rPr>
          <w:lang w:val="fr-FR"/>
        </w:rPr>
      </w:pPr>
      <w:r>
        <w:rPr>
          <w:lang w:val="fr-FR"/>
        </w:rPr>
        <w:t> ».</w:t>
      </w:r>
    </w:p>
    <w:p w:rsidR="000D24F0" w:rsidRPr="000D24F0" w:rsidRDefault="000D24F0" w:rsidP="00010F0E">
      <w:pPr>
        <w:pStyle w:val="SingleTxtG"/>
        <w:spacing w:before="240"/>
      </w:pPr>
      <w:r w:rsidRPr="000D24F0">
        <w:rPr>
          <w:lang w:val="fr-FR"/>
        </w:rPr>
        <w:t>4.</w:t>
      </w:r>
      <w:r w:rsidRPr="000D24F0">
        <w:rPr>
          <w:lang w:val="fr-FR"/>
        </w:rPr>
        <w:tab/>
      </w:r>
      <w:r w:rsidRPr="000D24F0">
        <w:rPr>
          <w:bCs/>
          <w:lang w:val="fr-FR"/>
        </w:rPr>
        <w:t>En ce qui concerne le paragraphe 5.1.16.5, l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>IMMA tient à souligner qu</w:t>
      </w:r>
      <w:r w:rsidR="00D20806">
        <w:rPr>
          <w:bCs/>
          <w:lang w:val="fr-FR"/>
        </w:rPr>
        <w:t>’</w:t>
      </w:r>
      <w:r w:rsidRPr="000D24F0">
        <w:rPr>
          <w:bCs/>
          <w:lang w:val="fr-FR"/>
        </w:rPr>
        <w:t xml:space="preserve">à la lumière de débats récents, la solution mise au point pour le Règlement technique mondial </w:t>
      </w:r>
      <w:r w:rsidR="00010F0E" w:rsidRPr="00010F0E">
        <w:rPr>
          <w:rFonts w:eastAsia="MS Mincho"/>
          <w:bCs/>
          <w:szCs w:val="22"/>
          <w:lang w:val="fr-FR"/>
        </w:rPr>
        <w:t>n</w:t>
      </w:r>
      <w:r w:rsidR="00010F0E" w:rsidRPr="00010F0E">
        <w:rPr>
          <w:rFonts w:eastAsia="MS Mincho"/>
          <w:bCs/>
          <w:szCs w:val="22"/>
          <w:vertAlign w:val="superscript"/>
          <w:lang w:val="fr-FR"/>
        </w:rPr>
        <w:t>o</w:t>
      </w:r>
      <w:r w:rsidR="00010F0E">
        <w:rPr>
          <w:bCs/>
          <w:lang w:val="fr-FR"/>
        </w:rPr>
        <w:t> </w:t>
      </w:r>
      <w:r w:rsidRPr="000D24F0">
        <w:rPr>
          <w:bCs/>
          <w:lang w:val="fr-FR"/>
        </w:rPr>
        <w:t>3 est ici également proposée dans un souci de cohérence.</w:t>
      </w:r>
    </w:p>
    <w:p w:rsidR="000D24F0" w:rsidRPr="00010F0E" w:rsidRDefault="00010F0E" w:rsidP="00010F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24F0" w:rsidRPr="00010F0E" w:rsidSect="008165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62" w:rsidRDefault="00032B62" w:rsidP="00F95C08">
      <w:pPr>
        <w:spacing w:line="240" w:lineRule="auto"/>
      </w:pPr>
    </w:p>
  </w:endnote>
  <w:endnote w:type="continuationSeparator" w:id="0">
    <w:p w:rsidR="00032B62" w:rsidRPr="00AC3823" w:rsidRDefault="00032B62" w:rsidP="00AC3823">
      <w:pPr>
        <w:pStyle w:val="Footer"/>
      </w:pPr>
    </w:p>
  </w:endnote>
  <w:endnote w:type="continuationNotice" w:id="1">
    <w:p w:rsidR="00032B62" w:rsidRDefault="00032B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07" w:rsidRPr="00816507" w:rsidRDefault="00816507" w:rsidP="00816507">
    <w:pPr>
      <w:pStyle w:val="Footer"/>
      <w:tabs>
        <w:tab w:val="right" w:pos="9638"/>
      </w:tabs>
    </w:pPr>
    <w:r w:rsidRPr="00816507">
      <w:rPr>
        <w:b/>
        <w:sz w:val="18"/>
      </w:rPr>
      <w:fldChar w:fldCharType="begin"/>
    </w:r>
    <w:r w:rsidRPr="00816507">
      <w:rPr>
        <w:b/>
        <w:sz w:val="18"/>
      </w:rPr>
      <w:instrText xml:space="preserve"> PAGE  \* MERGEFORMAT </w:instrText>
    </w:r>
    <w:r w:rsidRPr="00816507">
      <w:rPr>
        <w:b/>
        <w:sz w:val="18"/>
      </w:rPr>
      <w:fldChar w:fldCharType="separate"/>
    </w:r>
    <w:r w:rsidR="00923CDA">
      <w:rPr>
        <w:b/>
        <w:noProof/>
        <w:sz w:val="18"/>
      </w:rPr>
      <w:t>2</w:t>
    </w:r>
    <w:r w:rsidRPr="00816507">
      <w:rPr>
        <w:b/>
        <w:sz w:val="18"/>
      </w:rPr>
      <w:fldChar w:fldCharType="end"/>
    </w:r>
    <w:r>
      <w:rPr>
        <w:b/>
        <w:sz w:val="18"/>
      </w:rPr>
      <w:tab/>
    </w:r>
    <w:r>
      <w:t>GE.17-11186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07" w:rsidRPr="00816507" w:rsidRDefault="00816507" w:rsidP="00816507">
    <w:pPr>
      <w:pStyle w:val="Footer"/>
      <w:tabs>
        <w:tab w:val="right" w:pos="9638"/>
      </w:tabs>
      <w:rPr>
        <w:b/>
        <w:sz w:val="18"/>
      </w:rPr>
    </w:pPr>
    <w:r>
      <w:t>GE.17-11186</w:t>
    </w:r>
    <w:r>
      <w:tab/>
    </w:r>
    <w:r w:rsidRPr="00816507">
      <w:rPr>
        <w:b/>
        <w:sz w:val="18"/>
      </w:rPr>
      <w:fldChar w:fldCharType="begin"/>
    </w:r>
    <w:r w:rsidRPr="00816507">
      <w:rPr>
        <w:b/>
        <w:sz w:val="18"/>
      </w:rPr>
      <w:instrText xml:space="preserve"> PAGE  \* MERGEFORMAT </w:instrText>
    </w:r>
    <w:r w:rsidRPr="00816507">
      <w:rPr>
        <w:b/>
        <w:sz w:val="18"/>
      </w:rPr>
      <w:fldChar w:fldCharType="separate"/>
    </w:r>
    <w:r w:rsidR="00923CDA">
      <w:rPr>
        <w:b/>
        <w:noProof/>
        <w:sz w:val="18"/>
      </w:rPr>
      <w:t>3</w:t>
    </w:r>
    <w:r w:rsidRPr="008165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16507" w:rsidRDefault="00816507" w:rsidP="0081650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17-11186</w:t>
    </w:r>
    <w:r w:rsidR="000D24F0">
      <w:rPr>
        <w:sz w:val="20"/>
      </w:rPr>
      <w:t xml:space="preserve"> </w:t>
    </w:r>
    <w:r>
      <w:rPr>
        <w:sz w:val="20"/>
      </w:rPr>
      <w:t>(F)</w:t>
    </w:r>
    <w:r w:rsidR="000D24F0">
      <w:rPr>
        <w:sz w:val="20"/>
      </w:rPr>
      <w:t xml:space="preserve">  </w:t>
    </w:r>
    <w:r w:rsidR="00D20806">
      <w:rPr>
        <w:sz w:val="20"/>
      </w:rPr>
      <w:t xml:space="preserve">  </w:t>
    </w:r>
    <w:r>
      <w:rPr>
        <w:sz w:val="20"/>
      </w:rPr>
      <w:t>190717</w:t>
    </w:r>
    <w:r w:rsidR="000D24F0">
      <w:rPr>
        <w:sz w:val="20"/>
      </w:rPr>
      <w:t xml:space="preserve">  </w:t>
    </w:r>
    <w:r w:rsidR="00345D1F">
      <w:rPr>
        <w:sz w:val="20"/>
      </w:rPr>
      <w:t xml:space="preserve">  </w:t>
    </w:r>
    <w:r>
      <w:rPr>
        <w:sz w:val="20"/>
      </w:rPr>
      <w:t>240717</w:t>
    </w:r>
    <w:r>
      <w:rPr>
        <w:sz w:val="20"/>
      </w:rPr>
      <w:br/>
    </w:r>
    <w:r w:rsidRPr="00816507">
      <w:rPr>
        <w:rFonts w:ascii="C39T30Lfz" w:hAnsi="C39T30Lfz"/>
        <w:sz w:val="56"/>
      </w:rPr>
      <w:t></w:t>
    </w:r>
    <w:r w:rsidRPr="00816507">
      <w:rPr>
        <w:rFonts w:ascii="C39T30Lfz" w:hAnsi="C39T30Lfz"/>
        <w:sz w:val="56"/>
      </w:rPr>
      <w:t></w:t>
    </w:r>
    <w:r w:rsidRPr="00816507">
      <w:rPr>
        <w:rFonts w:ascii="C39T30Lfz" w:hAnsi="C39T30Lfz"/>
        <w:sz w:val="56"/>
      </w:rPr>
      <w:t></w:t>
    </w:r>
    <w:r w:rsidRPr="00816507">
      <w:rPr>
        <w:rFonts w:ascii="C39T30Lfz" w:hAnsi="C39T30Lfz"/>
        <w:sz w:val="56"/>
      </w:rPr>
      <w:t></w:t>
    </w:r>
    <w:r w:rsidRPr="00816507">
      <w:rPr>
        <w:rFonts w:ascii="C39T30Lfz" w:hAnsi="C39T30Lfz"/>
        <w:sz w:val="56"/>
      </w:rPr>
      <w:t></w:t>
    </w:r>
    <w:r w:rsidRPr="00816507">
      <w:rPr>
        <w:rFonts w:ascii="C39T30Lfz" w:hAnsi="C39T30Lfz"/>
        <w:sz w:val="56"/>
      </w:rPr>
      <w:t></w:t>
    </w:r>
    <w:r w:rsidRPr="00816507">
      <w:rPr>
        <w:rFonts w:ascii="C39T30Lfz" w:hAnsi="C39T30Lfz"/>
        <w:sz w:val="56"/>
      </w:rPr>
      <w:t></w:t>
    </w:r>
    <w:r w:rsidRPr="00816507">
      <w:rPr>
        <w:rFonts w:ascii="C39T30Lfz" w:hAnsi="C39T30Lfz"/>
        <w:sz w:val="56"/>
      </w:rPr>
      <w:t></w:t>
    </w:r>
    <w:r w:rsidRPr="0081650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7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62" w:rsidRPr="00AC3823" w:rsidRDefault="00032B6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2B62" w:rsidRPr="00AC3823" w:rsidRDefault="00032B6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32B62" w:rsidRPr="00AC3823" w:rsidRDefault="00032B62">
      <w:pPr>
        <w:spacing w:line="240" w:lineRule="auto"/>
        <w:rPr>
          <w:sz w:val="2"/>
          <w:szCs w:val="2"/>
        </w:rPr>
      </w:pPr>
    </w:p>
  </w:footnote>
  <w:footnote w:id="2">
    <w:p w:rsidR="000D24F0" w:rsidRDefault="000D24F0" w:rsidP="000D24F0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</w:t>
      </w:r>
      <w:r w:rsidR="00D20806">
        <w:rPr>
          <w:lang w:val="fr-FR"/>
        </w:rPr>
        <w:t xml:space="preserve"> 2016-2017 (ECE/TRANS/254, par. </w:t>
      </w:r>
      <w:r>
        <w:rPr>
          <w:lang w:val="fr-FR"/>
        </w:rPr>
        <w:t>159, et ECE/TRANS/2016/28/Add.1, module 3.1), le Forum mondial a pour mission d</w:t>
      </w:r>
      <w:r w:rsidR="00D20806">
        <w:rPr>
          <w:lang w:val="fr-FR"/>
        </w:rPr>
        <w:t>’</w:t>
      </w:r>
      <w:r>
        <w:rPr>
          <w:lang w:val="fr-FR"/>
        </w:rPr>
        <w:t>élaborer, d</w:t>
      </w:r>
      <w:r w:rsidR="00D20806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D20806">
        <w:rPr>
          <w:lang w:val="fr-FR"/>
        </w:rPr>
        <w:t>’</w:t>
      </w:r>
      <w:r>
        <w:rPr>
          <w:lang w:val="fr-FR"/>
        </w:rPr>
        <w:t xml:space="preserve">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07" w:rsidRPr="00816507" w:rsidRDefault="00923CD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9501C">
      <w:t>ECE/TRANS/WP.29/GRRF/2017/14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07" w:rsidRPr="00816507" w:rsidRDefault="00923CDA" w:rsidP="0081650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9501C">
      <w:t>ECE/TRANS/WP.29/GRRF/2017/14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2"/>
    <w:rsid w:val="00010F0E"/>
    <w:rsid w:val="00017F94"/>
    <w:rsid w:val="00023842"/>
    <w:rsid w:val="00032B62"/>
    <w:rsid w:val="000334F9"/>
    <w:rsid w:val="00045FEB"/>
    <w:rsid w:val="0007796D"/>
    <w:rsid w:val="000B7790"/>
    <w:rsid w:val="000D24F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5D1F"/>
    <w:rsid w:val="00357363"/>
    <w:rsid w:val="00373634"/>
    <w:rsid w:val="003916DE"/>
    <w:rsid w:val="003B384F"/>
    <w:rsid w:val="00441C3B"/>
    <w:rsid w:val="00446FE5"/>
    <w:rsid w:val="00452396"/>
    <w:rsid w:val="004837D8"/>
    <w:rsid w:val="004E468C"/>
    <w:rsid w:val="005505B7"/>
    <w:rsid w:val="00573BE5"/>
    <w:rsid w:val="00575057"/>
    <w:rsid w:val="00586ED3"/>
    <w:rsid w:val="00596AA9"/>
    <w:rsid w:val="0071601D"/>
    <w:rsid w:val="007A62E6"/>
    <w:rsid w:val="007E59EC"/>
    <w:rsid w:val="007F20FA"/>
    <w:rsid w:val="0080684C"/>
    <w:rsid w:val="00816507"/>
    <w:rsid w:val="00871C75"/>
    <w:rsid w:val="008776DC"/>
    <w:rsid w:val="00923CDA"/>
    <w:rsid w:val="009446C0"/>
    <w:rsid w:val="0096105D"/>
    <w:rsid w:val="009705C8"/>
    <w:rsid w:val="0099501C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F1DE9"/>
    <w:rsid w:val="00C02897"/>
    <w:rsid w:val="00C97039"/>
    <w:rsid w:val="00D20806"/>
    <w:rsid w:val="00D3439C"/>
    <w:rsid w:val="00DB1831"/>
    <w:rsid w:val="00DD3BFD"/>
    <w:rsid w:val="00DF6678"/>
    <w:rsid w:val="00E85C74"/>
    <w:rsid w:val="00EA1F03"/>
    <w:rsid w:val="00EA5704"/>
    <w:rsid w:val="00EA6547"/>
    <w:rsid w:val="00EF2E22"/>
    <w:rsid w:val="00F35BAF"/>
    <w:rsid w:val="00F660DF"/>
    <w:rsid w:val="00F94664"/>
    <w:rsid w:val="00F9573C"/>
    <w:rsid w:val="00F95C08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D24F0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D24F0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4259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ECE/TRANS/WP.29/GRRF/2017/14</vt:lpstr>
      <vt:lpstr>ECE/TRANS/WP.29/GRRF/2017/14</vt:lpstr>
    </vt:vector>
  </TitlesOfParts>
  <Company>DCM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ECE/TRANS/WP.29/GRRF/2017/14</dc:title>
  <dc:creator>Edith BOURION</dc:creator>
  <cp:lastModifiedBy>Benedicte Boudol</cp:lastModifiedBy>
  <cp:revision>2</cp:revision>
  <cp:lastPrinted>2017-07-24T09:39:00Z</cp:lastPrinted>
  <dcterms:created xsi:type="dcterms:W3CDTF">2017-08-16T08:54:00Z</dcterms:created>
  <dcterms:modified xsi:type="dcterms:W3CDTF">2017-08-16T08:54:00Z</dcterms:modified>
</cp:coreProperties>
</file>