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B63159" w:rsidTr="00295CCA">
        <w:trPr>
          <w:trHeight w:hRule="exact" w:val="851"/>
        </w:trPr>
        <w:tc>
          <w:tcPr>
            <w:tcW w:w="1276" w:type="dxa"/>
            <w:tcBorders>
              <w:bottom w:val="single" w:sz="4" w:space="0" w:color="auto"/>
            </w:tcBorders>
          </w:tcPr>
          <w:p w:rsidR="001433FD" w:rsidRPr="00B63159" w:rsidRDefault="001433FD" w:rsidP="00586FB6">
            <w:bookmarkStart w:id="0" w:name="_GoBack"/>
            <w:bookmarkEnd w:id="0"/>
          </w:p>
        </w:tc>
        <w:tc>
          <w:tcPr>
            <w:tcW w:w="2268" w:type="dxa"/>
            <w:tcBorders>
              <w:bottom w:val="single" w:sz="4" w:space="0" w:color="auto"/>
            </w:tcBorders>
            <w:vAlign w:val="bottom"/>
          </w:tcPr>
          <w:p w:rsidR="001433FD" w:rsidRPr="00B63159" w:rsidRDefault="001433FD" w:rsidP="00295CCA">
            <w:pPr>
              <w:spacing w:after="80" w:line="300" w:lineRule="exact"/>
              <w:rPr>
                <w:sz w:val="28"/>
              </w:rPr>
            </w:pPr>
            <w:r w:rsidRPr="00B63159">
              <w:rPr>
                <w:sz w:val="28"/>
              </w:rPr>
              <w:t>Nations Unies</w:t>
            </w:r>
          </w:p>
        </w:tc>
        <w:tc>
          <w:tcPr>
            <w:tcW w:w="6095" w:type="dxa"/>
            <w:gridSpan w:val="2"/>
            <w:tcBorders>
              <w:bottom w:val="single" w:sz="4" w:space="0" w:color="auto"/>
            </w:tcBorders>
            <w:vAlign w:val="bottom"/>
          </w:tcPr>
          <w:p w:rsidR="001433FD" w:rsidRPr="00B63159" w:rsidRDefault="00586FB6" w:rsidP="00586FB6">
            <w:pPr>
              <w:jc w:val="right"/>
            </w:pPr>
            <w:r w:rsidRPr="00B63159">
              <w:rPr>
                <w:sz w:val="40"/>
              </w:rPr>
              <w:t>ECE</w:t>
            </w:r>
            <w:r w:rsidRPr="00B63159">
              <w:t>/TRANS/WP.29/GRRF/2017/20</w:t>
            </w:r>
          </w:p>
        </w:tc>
      </w:tr>
      <w:tr w:rsidR="001433FD" w:rsidRPr="00B63159" w:rsidTr="00295CCA">
        <w:trPr>
          <w:trHeight w:hRule="exact" w:val="2835"/>
        </w:trPr>
        <w:tc>
          <w:tcPr>
            <w:tcW w:w="1276" w:type="dxa"/>
            <w:tcBorders>
              <w:top w:val="single" w:sz="4" w:space="0" w:color="auto"/>
              <w:bottom w:val="single" w:sz="12" w:space="0" w:color="auto"/>
            </w:tcBorders>
          </w:tcPr>
          <w:p w:rsidR="001433FD" w:rsidRPr="00B63159" w:rsidRDefault="001433FD" w:rsidP="00295CCA">
            <w:pPr>
              <w:spacing w:before="120"/>
              <w:jc w:val="center"/>
            </w:pPr>
            <w:r w:rsidRPr="00B63159">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B63159" w:rsidRDefault="001433FD" w:rsidP="00295CCA">
            <w:pPr>
              <w:spacing w:before="120" w:line="420" w:lineRule="exact"/>
              <w:rPr>
                <w:b/>
                <w:sz w:val="40"/>
                <w:szCs w:val="40"/>
              </w:rPr>
            </w:pPr>
            <w:r w:rsidRPr="00B63159">
              <w:rPr>
                <w:b/>
                <w:sz w:val="40"/>
                <w:szCs w:val="40"/>
              </w:rPr>
              <w:t>Conseil économique et social</w:t>
            </w:r>
          </w:p>
        </w:tc>
        <w:tc>
          <w:tcPr>
            <w:tcW w:w="2835" w:type="dxa"/>
            <w:tcBorders>
              <w:top w:val="single" w:sz="4" w:space="0" w:color="auto"/>
              <w:bottom w:val="single" w:sz="12" w:space="0" w:color="auto"/>
            </w:tcBorders>
          </w:tcPr>
          <w:p w:rsidR="001433FD" w:rsidRPr="00B63159" w:rsidRDefault="00586FB6" w:rsidP="00295CCA">
            <w:pPr>
              <w:spacing w:before="240"/>
            </w:pPr>
            <w:r w:rsidRPr="00B63159">
              <w:t>Distr. générale</w:t>
            </w:r>
          </w:p>
          <w:p w:rsidR="00586FB6" w:rsidRPr="00B63159" w:rsidRDefault="00586FB6" w:rsidP="00586FB6">
            <w:pPr>
              <w:spacing w:line="240" w:lineRule="exact"/>
            </w:pPr>
            <w:r w:rsidRPr="00B63159">
              <w:t>6 juillet 2017</w:t>
            </w:r>
          </w:p>
          <w:p w:rsidR="00586FB6" w:rsidRPr="00B63159" w:rsidRDefault="00586FB6" w:rsidP="00586FB6">
            <w:pPr>
              <w:spacing w:line="240" w:lineRule="exact"/>
            </w:pPr>
            <w:r w:rsidRPr="00B63159">
              <w:t>Français</w:t>
            </w:r>
          </w:p>
          <w:p w:rsidR="00586FB6" w:rsidRPr="00B63159" w:rsidRDefault="00586FB6" w:rsidP="00586FB6">
            <w:pPr>
              <w:spacing w:line="240" w:lineRule="exact"/>
            </w:pPr>
            <w:r w:rsidRPr="00B63159">
              <w:t>Original : anglais</w:t>
            </w:r>
          </w:p>
        </w:tc>
      </w:tr>
    </w:tbl>
    <w:p w:rsidR="005316B0" w:rsidRPr="00B63159" w:rsidRDefault="005316B0" w:rsidP="005316B0">
      <w:pPr>
        <w:spacing w:before="120"/>
        <w:rPr>
          <w:b/>
          <w:sz w:val="28"/>
          <w:szCs w:val="28"/>
        </w:rPr>
      </w:pPr>
      <w:r w:rsidRPr="00B63159">
        <w:rPr>
          <w:b/>
          <w:sz w:val="28"/>
          <w:szCs w:val="28"/>
        </w:rPr>
        <w:t>Commission économique pour l’Europe</w:t>
      </w:r>
    </w:p>
    <w:p w:rsidR="00EA3CA1" w:rsidRPr="00B63159" w:rsidRDefault="00EA3CA1" w:rsidP="00EA3CA1">
      <w:pPr>
        <w:suppressAutoHyphens w:val="0"/>
        <w:spacing w:before="120" w:after="120"/>
        <w:rPr>
          <w:sz w:val="28"/>
          <w:szCs w:val="28"/>
        </w:rPr>
      </w:pPr>
      <w:r w:rsidRPr="00B63159">
        <w:rPr>
          <w:sz w:val="28"/>
          <w:szCs w:val="28"/>
        </w:rPr>
        <w:t>Comité des transports intérieurs</w:t>
      </w:r>
    </w:p>
    <w:p w:rsidR="00EA3CA1" w:rsidRPr="00B63159" w:rsidRDefault="00EA3CA1" w:rsidP="00EA3CA1">
      <w:pPr>
        <w:suppressAutoHyphens w:val="0"/>
        <w:spacing w:after="120"/>
        <w:rPr>
          <w:b/>
          <w:sz w:val="24"/>
          <w:szCs w:val="24"/>
        </w:rPr>
      </w:pPr>
      <w:r w:rsidRPr="00B63159">
        <w:rPr>
          <w:b/>
          <w:sz w:val="24"/>
          <w:szCs w:val="24"/>
        </w:rPr>
        <w:t xml:space="preserve">Forum mondial de l’harmonisation des Règlements </w:t>
      </w:r>
      <w:r w:rsidRPr="00B63159">
        <w:rPr>
          <w:b/>
          <w:sz w:val="24"/>
          <w:szCs w:val="24"/>
        </w:rPr>
        <w:br/>
        <w:t>concernant les véhicules</w:t>
      </w:r>
    </w:p>
    <w:p w:rsidR="00FC375B" w:rsidRDefault="00EA3CA1" w:rsidP="00EA3CA1">
      <w:pPr>
        <w:suppressAutoHyphens w:val="0"/>
        <w:spacing w:after="120"/>
        <w:rPr>
          <w:b/>
          <w:szCs w:val="24"/>
        </w:rPr>
      </w:pPr>
      <w:r w:rsidRPr="00B63159">
        <w:rPr>
          <w:b/>
          <w:szCs w:val="24"/>
        </w:rPr>
        <w:t xml:space="preserve">Groupe de travail en matière de roulement et de freinage </w:t>
      </w:r>
    </w:p>
    <w:p w:rsidR="00EA3CA1" w:rsidRPr="00B63159" w:rsidRDefault="00EA3CA1" w:rsidP="00D35453">
      <w:pPr>
        <w:suppressAutoHyphens w:val="0"/>
        <w:rPr>
          <w:b/>
          <w:szCs w:val="24"/>
        </w:rPr>
      </w:pPr>
      <w:r w:rsidRPr="00B63159">
        <w:rPr>
          <w:b/>
          <w:szCs w:val="24"/>
        </w:rPr>
        <w:t>Quatre-vingt-quatrième session</w:t>
      </w:r>
    </w:p>
    <w:p w:rsidR="00EA3CA1" w:rsidRPr="00B63159" w:rsidRDefault="00EA3CA1" w:rsidP="00EA3CA1">
      <w:pPr>
        <w:suppressAutoHyphens w:val="0"/>
        <w:rPr>
          <w:szCs w:val="24"/>
        </w:rPr>
      </w:pPr>
      <w:r w:rsidRPr="00B63159">
        <w:rPr>
          <w:szCs w:val="24"/>
        </w:rPr>
        <w:t>Genève, 19-22 septembre 2017</w:t>
      </w:r>
    </w:p>
    <w:p w:rsidR="00EA3CA1" w:rsidRPr="00B63159" w:rsidRDefault="00EA3CA1" w:rsidP="00EA3CA1">
      <w:pPr>
        <w:suppressAutoHyphens w:val="0"/>
        <w:rPr>
          <w:szCs w:val="24"/>
        </w:rPr>
      </w:pPr>
      <w:r w:rsidRPr="00B63159">
        <w:rPr>
          <w:szCs w:val="24"/>
        </w:rPr>
        <w:t>Point 7 f) de l’ordre du jour provisoire</w:t>
      </w:r>
    </w:p>
    <w:p w:rsidR="00EA3CA1" w:rsidRPr="00B63159" w:rsidRDefault="00EA3CA1" w:rsidP="00EA3CA1">
      <w:pPr>
        <w:suppressAutoHyphens w:val="0"/>
        <w:spacing w:after="120"/>
        <w:rPr>
          <w:b/>
          <w:szCs w:val="24"/>
        </w:rPr>
      </w:pPr>
      <w:r w:rsidRPr="00B63159">
        <w:rPr>
          <w:b/>
          <w:szCs w:val="24"/>
        </w:rPr>
        <w:t xml:space="preserve">Pneumatiques : Règlement </w:t>
      </w:r>
      <w:r w:rsidRPr="00B63159">
        <w:rPr>
          <w:rFonts w:eastAsia="MS Mincho"/>
          <w:b/>
          <w:szCs w:val="22"/>
        </w:rPr>
        <w:t>n</w:t>
      </w:r>
      <w:r w:rsidRPr="00B63159">
        <w:rPr>
          <w:rFonts w:eastAsia="MS Mincho"/>
          <w:b/>
          <w:szCs w:val="22"/>
          <w:vertAlign w:val="superscript"/>
        </w:rPr>
        <w:t>o</w:t>
      </w:r>
      <w:r w:rsidRPr="00B63159">
        <w:rPr>
          <w:b/>
          <w:szCs w:val="24"/>
        </w:rPr>
        <w:t> 109</w:t>
      </w:r>
    </w:p>
    <w:p w:rsidR="00EA3CA1" w:rsidRPr="00B63159" w:rsidRDefault="00EA3CA1" w:rsidP="00EA3CA1">
      <w:pPr>
        <w:pStyle w:val="HChG"/>
      </w:pPr>
      <w:r w:rsidRPr="00B63159">
        <w:tab/>
      </w:r>
      <w:r w:rsidRPr="00B63159">
        <w:tab/>
        <w:t xml:space="preserve">Proposition d’amendements au Règlement </w:t>
      </w:r>
      <w:r w:rsidRPr="00B63159">
        <w:rPr>
          <w:rFonts w:eastAsia="MS Mincho"/>
          <w:szCs w:val="22"/>
        </w:rPr>
        <w:t>n</w:t>
      </w:r>
      <w:r w:rsidRPr="00B63159">
        <w:rPr>
          <w:rFonts w:eastAsia="MS Mincho"/>
          <w:szCs w:val="22"/>
          <w:vertAlign w:val="superscript"/>
        </w:rPr>
        <w:t>o</w:t>
      </w:r>
      <w:r w:rsidRPr="00B63159">
        <w:t xml:space="preserve"> 109 (Prescriptions uniformes relatives à l’homologation </w:t>
      </w:r>
      <w:r w:rsidRPr="00B63159">
        <w:br/>
        <w:t xml:space="preserve">de la fabrication de pneumatiques rechapés pour </w:t>
      </w:r>
      <w:r w:rsidRPr="00B63159">
        <w:br/>
        <w:t>les véhicules utilitaires et leurs remorques)</w:t>
      </w:r>
    </w:p>
    <w:p w:rsidR="00EA3CA1" w:rsidRPr="00B63159" w:rsidRDefault="00EA3CA1" w:rsidP="00EA3CA1">
      <w:pPr>
        <w:pStyle w:val="H1G"/>
      </w:pPr>
      <w:r w:rsidRPr="00B63159">
        <w:tab/>
      </w:r>
      <w:r w:rsidRPr="00B63159">
        <w:tab/>
        <w:t>Communication de l’expert de la France</w:t>
      </w:r>
      <w:r w:rsidRPr="00B63159">
        <w:rPr>
          <w:rStyle w:val="FootnoteReference"/>
          <w:b w:val="0"/>
          <w:sz w:val="20"/>
          <w:vertAlign w:val="baseline"/>
        </w:rPr>
        <w:footnoteReference w:customMarkFollows="1" w:id="2"/>
        <w:t>*</w:t>
      </w:r>
    </w:p>
    <w:p w:rsidR="00EA3CA1" w:rsidRPr="00B63159" w:rsidRDefault="00EA3CA1" w:rsidP="00EA3CA1">
      <w:pPr>
        <w:pStyle w:val="SingleTxtG"/>
        <w:ind w:firstLine="567"/>
      </w:pPr>
      <w:r w:rsidRPr="00B63159">
        <w:t xml:space="preserve">Le texte ci-après, établi par l’expert de la France, vise à modifier le Règlement </w:t>
      </w:r>
      <w:r w:rsidRPr="00B63159">
        <w:rPr>
          <w:rFonts w:eastAsia="MS Mincho"/>
          <w:szCs w:val="22"/>
        </w:rPr>
        <w:t>n</w:t>
      </w:r>
      <w:r w:rsidRPr="00B63159">
        <w:rPr>
          <w:rFonts w:eastAsia="MS Mincho"/>
          <w:szCs w:val="22"/>
          <w:vertAlign w:val="superscript"/>
        </w:rPr>
        <w:t>o</w:t>
      </w:r>
      <w:r w:rsidRPr="00B63159">
        <w:t> 109. Les modifications qu’il est proposé d’apporter au texte actuel du Règlement figurent en caractères gras pour les ajouts et biffés pour les suppressions.</w:t>
      </w:r>
    </w:p>
    <w:p w:rsidR="00EA3CA1" w:rsidRPr="00B63159" w:rsidRDefault="00EA3CA1" w:rsidP="00EA3CA1">
      <w:pPr>
        <w:pStyle w:val="HChG"/>
      </w:pPr>
      <w:r w:rsidRPr="00B63159">
        <w:br w:type="page"/>
      </w:r>
      <w:r w:rsidRPr="00B63159">
        <w:lastRenderedPageBreak/>
        <w:tab/>
        <w:t>I.</w:t>
      </w:r>
      <w:r w:rsidRPr="00B63159">
        <w:tab/>
        <w:t>Proposition</w:t>
      </w:r>
    </w:p>
    <w:p w:rsidR="00EA3CA1" w:rsidRPr="00B63159" w:rsidRDefault="00EA3CA1" w:rsidP="00EA3CA1">
      <w:pPr>
        <w:pStyle w:val="SingleTxtG"/>
      </w:pPr>
      <w:r w:rsidRPr="00B63159">
        <w:rPr>
          <w:i/>
        </w:rPr>
        <w:t>Paragraphe 1</w:t>
      </w:r>
      <w:r w:rsidRPr="00B63159">
        <w:t xml:space="preserve"> (modification sans objet en français).</w:t>
      </w:r>
    </w:p>
    <w:p w:rsidR="00EA3CA1" w:rsidRPr="00B63159" w:rsidRDefault="00EA3CA1" w:rsidP="00EA3CA1">
      <w:pPr>
        <w:pStyle w:val="SingleTxtG"/>
      </w:pPr>
      <w:r w:rsidRPr="00B63159">
        <w:rPr>
          <w:i/>
        </w:rPr>
        <w:t>Paragraphe 2.1</w:t>
      </w:r>
      <w:r w:rsidRPr="00B63159">
        <w:t xml:space="preserve"> (modifications sans objet en français).</w:t>
      </w:r>
    </w:p>
    <w:p w:rsidR="00EA3CA1" w:rsidRPr="00B63159" w:rsidRDefault="00EA3CA1" w:rsidP="00EA3CA1">
      <w:pPr>
        <w:pStyle w:val="SingleTxtG"/>
        <w:keepNext/>
        <w:keepLines/>
      </w:pPr>
      <w:r w:rsidRPr="00B63159">
        <w:rPr>
          <w:i/>
        </w:rPr>
        <w:t>Ajouter un nouveau paragraphe 2.2</w:t>
      </w:r>
      <w:r w:rsidRPr="00B63159">
        <w:t>, libellé comme suit :</w:t>
      </w:r>
    </w:p>
    <w:p w:rsidR="00EA3CA1" w:rsidRPr="00B63159" w:rsidRDefault="00EA3CA1" w:rsidP="007C6D66">
      <w:pPr>
        <w:pStyle w:val="SingleTxtG"/>
        <w:ind w:left="2552" w:hanging="1418"/>
        <w:rPr>
          <w:b/>
        </w:rPr>
      </w:pPr>
      <w:r w:rsidRPr="00B63159">
        <w:t>« </w:t>
      </w:r>
      <w:r w:rsidRPr="00B63159">
        <w:rPr>
          <w:b/>
        </w:rPr>
        <w:t xml:space="preserve">2.2 </w:t>
      </w:r>
      <w:r w:rsidRPr="00B63159">
        <w:rPr>
          <w:b/>
        </w:rPr>
        <w:tab/>
        <w:t>“</w:t>
      </w:r>
      <w:r w:rsidR="007C6D66" w:rsidRPr="00B63159">
        <w:rPr>
          <w:b/>
          <w:i/>
        </w:rPr>
        <w:t>R</w:t>
      </w:r>
      <w:r w:rsidR="00AF5A83">
        <w:rPr>
          <w:b/>
          <w:i/>
        </w:rPr>
        <w:t>e</w:t>
      </w:r>
      <w:r w:rsidRPr="00B63159">
        <w:rPr>
          <w:b/>
          <w:i/>
        </w:rPr>
        <w:t>chapeur</w:t>
      </w:r>
      <w:r w:rsidRPr="00B63159">
        <w:rPr>
          <w:b/>
        </w:rPr>
        <w:t>”,</w:t>
      </w:r>
      <w:r w:rsidRPr="00B63159">
        <w:t xml:space="preserve"> </w:t>
      </w:r>
      <w:r w:rsidRPr="00B63159">
        <w:rPr>
          <w:b/>
        </w:rPr>
        <w:t>la personne ou l’organisme qui est responsable devant l’autorité d’homologation de tous les aspects du processus d’homologation de type au titre du présent Règlement et de la conformité de la production.</w:t>
      </w:r>
      <w:r w:rsidRPr="00B63159">
        <w:t> »</w:t>
      </w:r>
    </w:p>
    <w:p w:rsidR="00EA3CA1" w:rsidRPr="00B63159" w:rsidRDefault="00EA3CA1" w:rsidP="00EA3CA1">
      <w:pPr>
        <w:pStyle w:val="SingleTxtG"/>
        <w:keepNext/>
        <w:keepLines/>
      </w:pPr>
      <w:r w:rsidRPr="00B63159">
        <w:rPr>
          <w:i/>
        </w:rPr>
        <w:t>Ajouter un nouveau paragraphe 2.3</w:t>
      </w:r>
      <w:r w:rsidRPr="00B63159">
        <w:t>, libellé comme suit :</w:t>
      </w:r>
    </w:p>
    <w:p w:rsidR="00EA3CA1" w:rsidRPr="00B63159" w:rsidRDefault="00EA3CA1" w:rsidP="007C6D66">
      <w:pPr>
        <w:pStyle w:val="SingleTxtG"/>
        <w:ind w:left="2552" w:hanging="1418"/>
        <w:rPr>
          <w:b/>
        </w:rPr>
      </w:pPr>
      <w:r w:rsidRPr="00B63159">
        <w:t>« </w:t>
      </w:r>
      <w:r w:rsidRPr="00B63159">
        <w:rPr>
          <w:b/>
        </w:rPr>
        <w:t>2.3</w:t>
      </w:r>
      <w:r w:rsidRPr="00B63159">
        <w:rPr>
          <w:b/>
        </w:rPr>
        <w:tab/>
        <w:t>“</w:t>
      </w:r>
      <w:r w:rsidRPr="00B63159">
        <w:rPr>
          <w:b/>
          <w:i/>
        </w:rPr>
        <w:t>Fabricant de pneus</w:t>
      </w:r>
      <w:r w:rsidRPr="00B63159">
        <w:rPr>
          <w:b/>
        </w:rPr>
        <w:t>”, la personne ou l’</w:t>
      </w:r>
      <w:r w:rsidR="00483174">
        <w:rPr>
          <w:b/>
        </w:rPr>
        <w:t>organisme qui était responsable</w:t>
      </w:r>
      <w:r w:rsidRPr="00B63159">
        <w:rPr>
          <w:b/>
        </w:rPr>
        <w:t xml:space="preserve"> devant l’autorité d’homologation ayant délivré l’homologation de type originale la conformité de la production au regard du règlement applicable aux pneus neufs. </w:t>
      </w:r>
      <w:r w:rsidRPr="00B63159">
        <w:t>»</w:t>
      </w:r>
    </w:p>
    <w:p w:rsidR="00EA3CA1" w:rsidRPr="00B63159" w:rsidRDefault="00EA3CA1" w:rsidP="00EA3CA1">
      <w:pPr>
        <w:pStyle w:val="SingleTxtG"/>
        <w:keepNext/>
        <w:keepLines/>
      </w:pPr>
      <w:r w:rsidRPr="00B63159">
        <w:rPr>
          <w:i/>
        </w:rPr>
        <w:t>Ajouter un nouveau paragraphe 2.4</w:t>
      </w:r>
      <w:r w:rsidRPr="00B63159">
        <w:t>, libellé comme suit :</w:t>
      </w:r>
    </w:p>
    <w:p w:rsidR="00EA3CA1" w:rsidRPr="00B63159" w:rsidRDefault="00EA3CA1" w:rsidP="007C6D66">
      <w:pPr>
        <w:pStyle w:val="SingleTxtG"/>
        <w:ind w:left="2552" w:hanging="1418"/>
        <w:rPr>
          <w:b/>
        </w:rPr>
      </w:pPr>
      <w:r w:rsidRPr="00B63159">
        <w:t>« </w:t>
      </w:r>
      <w:r w:rsidRPr="00B63159">
        <w:rPr>
          <w:b/>
        </w:rPr>
        <w:t>2.4</w:t>
      </w:r>
      <w:r w:rsidRPr="00B63159">
        <w:rPr>
          <w:b/>
        </w:rPr>
        <w:tab/>
      </w:r>
      <w:r w:rsidR="007C6D66" w:rsidRPr="00B63159">
        <w:rPr>
          <w:b/>
        </w:rPr>
        <w:t>“</w:t>
      </w:r>
      <w:r w:rsidRPr="00B63159">
        <w:rPr>
          <w:b/>
          <w:i/>
        </w:rPr>
        <w:t>Fabricant du matériau/fournisseur du matériau</w:t>
      </w:r>
      <w:r w:rsidR="007C6D66" w:rsidRPr="00B63159">
        <w:rPr>
          <w:b/>
        </w:rPr>
        <w:t>”</w:t>
      </w:r>
      <w:r w:rsidRPr="00B63159">
        <w:rPr>
          <w:b/>
        </w:rPr>
        <w:t xml:space="preserve">, la personne ou l’organisme qui fournit au </w:t>
      </w:r>
      <w:r w:rsidR="007C6D66" w:rsidRPr="00B63159">
        <w:rPr>
          <w:b/>
        </w:rPr>
        <w:t>r</w:t>
      </w:r>
      <w:r w:rsidR="00701EDC">
        <w:rPr>
          <w:b/>
        </w:rPr>
        <w:t>e</w:t>
      </w:r>
      <w:r w:rsidR="007C6D66" w:rsidRPr="00B63159">
        <w:rPr>
          <w:b/>
        </w:rPr>
        <w:t>chapeur</w:t>
      </w:r>
      <w:r w:rsidRPr="00B63159">
        <w:rPr>
          <w:b/>
        </w:rPr>
        <w:t xml:space="preserve"> les matériaux de remplacement ou de réparation.</w:t>
      </w:r>
      <w:r w:rsidR="007C6D66" w:rsidRPr="00B63159">
        <w:t> »</w:t>
      </w:r>
    </w:p>
    <w:p w:rsidR="00EA3CA1" w:rsidRPr="00B63159" w:rsidRDefault="00EA3CA1" w:rsidP="00EA3CA1">
      <w:pPr>
        <w:pStyle w:val="SingleTxtG"/>
      </w:pPr>
      <w:r w:rsidRPr="00B63159">
        <w:rPr>
          <w:i/>
        </w:rPr>
        <w:t>Ajouter un nouveau paragraphe 2.5</w:t>
      </w:r>
      <w:r w:rsidRPr="00B63159">
        <w:t>, libellé comme suit :</w:t>
      </w:r>
    </w:p>
    <w:p w:rsidR="00EA3CA1" w:rsidRPr="00B63159" w:rsidRDefault="00EA3CA1" w:rsidP="007C6D66">
      <w:pPr>
        <w:pStyle w:val="SingleTxtG"/>
        <w:ind w:left="2552" w:hanging="1418"/>
      </w:pPr>
      <w:r w:rsidRPr="00B63159">
        <w:t>« </w:t>
      </w:r>
      <w:r w:rsidRPr="00B63159">
        <w:rPr>
          <w:b/>
        </w:rPr>
        <w:t>2.5</w:t>
      </w:r>
      <w:r w:rsidRPr="00B63159">
        <w:rPr>
          <w:b/>
        </w:rPr>
        <w:tab/>
      </w:r>
      <w:r w:rsidR="007C6D66" w:rsidRPr="00B63159">
        <w:rPr>
          <w:b/>
        </w:rPr>
        <w:t>“</w:t>
      </w:r>
      <w:r w:rsidRPr="00B63159">
        <w:rPr>
          <w:b/>
          <w:i/>
        </w:rPr>
        <w:t>Nom de marque/marque de fabrique</w:t>
      </w:r>
      <w:r w:rsidR="007C6D66" w:rsidRPr="00B63159">
        <w:rPr>
          <w:b/>
        </w:rPr>
        <w:t>”</w:t>
      </w:r>
      <w:r w:rsidRPr="00B63159">
        <w:rPr>
          <w:b/>
        </w:rPr>
        <w:t>, l’identification du nom de marque ou de la marque de fabrique défini(e) par le r</w:t>
      </w:r>
      <w:r w:rsidR="00085398">
        <w:rPr>
          <w:b/>
        </w:rPr>
        <w:t>e</w:t>
      </w:r>
      <w:r w:rsidRPr="00B63159">
        <w:rPr>
          <w:b/>
        </w:rPr>
        <w:t>chapeur et indiqué(e) sur le(s) flan(s) du pneu. Le nom de marque/la marque de fabrique peut être le mê</w:t>
      </w:r>
      <w:r w:rsidR="00137BF7" w:rsidRPr="00B63159">
        <w:rPr>
          <w:b/>
        </w:rPr>
        <w:t>me/la même que celui/celle du r</w:t>
      </w:r>
      <w:r w:rsidR="003C7847">
        <w:rPr>
          <w:b/>
        </w:rPr>
        <w:t>e</w:t>
      </w:r>
      <w:r w:rsidRPr="00B63159">
        <w:rPr>
          <w:b/>
        </w:rPr>
        <w:t>chapeur.</w:t>
      </w:r>
      <w:r w:rsidR="007C6D66" w:rsidRPr="00B63159">
        <w:t> »</w:t>
      </w:r>
    </w:p>
    <w:p w:rsidR="00EA3CA1" w:rsidRPr="00B63159" w:rsidRDefault="00EA3CA1" w:rsidP="00EA3CA1">
      <w:pPr>
        <w:pStyle w:val="SingleTxtG"/>
        <w:rPr>
          <w:b/>
        </w:rPr>
      </w:pPr>
      <w:r w:rsidRPr="00B63159">
        <w:rPr>
          <w:i/>
        </w:rPr>
        <w:t>Ajouter un nouveau paragraphe 2.6</w:t>
      </w:r>
      <w:r w:rsidRPr="00B63159">
        <w:t>, libellé comme suit :</w:t>
      </w:r>
    </w:p>
    <w:p w:rsidR="00EA3CA1" w:rsidRPr="00B63159" w:rsidRDefault="00EA3CA1" w:rsidP="007C6D66">
      <w:pPr>
        <w:pStyle w:val="SingleTxtG"/>
        <w:ind w:left="2552" w:hanging="1418"/>
      </w:pPr>
      <w:r w:rsidRPr="00B63159">
        <w:t>« </w:t>
      </w:r>
      <w:r w:rsidRPr="00B63159">
        <w:rPr>
          <w:b/>
        </w:rPr>
        <w:t>2.6</w:t>
      </w:r>
      <w:r w:rsidRPr="00B63159">
        <w:rPr>
          <w:b/>
        </w:rPr>
        <w:tab/>
      </w:r>
      <w:r w:rsidR="007C6D66" w:rsidRPr="00B63159">
        <w:rPr>
          <w:b/>
        </w:rPr>
        <w:t>“</w:t>
      </w:r>
      <w:r w:rsidRPr="00B63159">
        <w:rPr>
          <w:b/>
          <w:i/>
        </w:rPr>
        <w:t>Désignation commerciale/nom commercial</w:t>
      </w:r>
      <w:r w:rsidR="007C6D66" w:rsidRPr="00B63159">
        <w:rPr>
          <w:b/>
        </w:rPr>
        <w:t>”</w:t>
      </w:r>
      <w:r w:rsidRPr="00B63159">
        <w:rPr>
          <w:b/>
        </w:rPr>
        <w:t>, l’identification d’une gamme de pneus fournie par le rechapeur. Elle peut coïncider avec le nom de marque/la marque de fabrique.</w:t>
      </w:r>
      <w:r w:rsidR="00137BF7" w:rsidRPr="00B63159">
        <w:t> »</w:t>
      </w:r>
    </w:p>
    <w:p w:rsidR="00EA3CA1" w:rsidRPr="00B63159" w:rsidRDefault="00EA3CA1" w:rsidP="00EA3CA1">
      <w:pPr>
        <w:pStyle w:val="SingleTxtG"/>
      </w:pPr>
      <w:r w:rsidRPr="00B63159">
        <w:rPr>
          <w:i/>
        </w:rPr>
        <w:t xml:space="preserve">Les paragraphes 2.2, 2.2.1, 2.2.2 et 2.2.3 </w:t>
      </w:r>
      <w:r w:rsidRPr="00B63159">
        <w:t>deviennent les p</w:t>
      </w:r>
      <w:r w:rsidR="00137BF7" w:rsidRPr="00B63159">
        <w:t>aragraphes 2.7, 2.7.1, 2.7.2 et </w:t>
      </w:r>
      <w:r w:rsidR="00BA7E76">
        <w:t>2.7.3</w:t>
      </w:r>
      <w:r w:rsidRPr="00B63159">
        <w:t xml:space="preserve"> (Autres modifications sans obj</w:t>
      </w:r>
      <w:r w:rsidR="00137BF7" w:rsidRPr="00B63159">
        <w:t>et en français).</w:t>
      </w:r>
    </w:p>
    <w:p w:rsidR="00EA3CA1" w:rsidRPr="00B63159" w:rsidRDefault="00EA3CA1" w:rsidP="00EA3CA1">
      <w:pPr>
        <w:pStyle w:val="SingleTxtG"/>
      </w:pPr>
      <w:r w:rsidRPr="00B63159">
        <w:rPr>
          <w:i/>
        </w:rPr>
        <w:t xml:space="preserve">Les paragraphes 2.3 à 2.20 </w:t>
      </w:r>
      <w:r w:rsidRPr="00B63159">
        <w:t>deviennent les paragraphes 2.8 à 2.25.</w:t>
      </w:r>
    </w:p>
    <w:p w:rsidR="00EA3CA1" w:rsidRPr="00B63159" w:rsidRDefault="00EA3CA1" w:rsidP="00137BF7">
      <w:pPr>
        <w:pStyle w:val="SingleTxtG"/>
        <w:keepNext/>
        <w:keepLines/>
      </w:pPr>
      <w:r w:rsidRPr="00B63159">
        <w:rPr>
          <w:i/>
        </w:rPr>
        <w:t>Ancien paragraphe 2.21</w:t>
      </w:r>
      <w:r w:rsidRPr="00B63159">
        <w:t>,</w:t>
      </w:r>
      <w:r w:rsidRPr="00B63159">
        <w:rPr>
          <w:i/>
        </w:rPr>
        <w:t xml:space="preserve"> </w:t>
      </w:r>
      <w:r w:rsidR="00137BF7" w:rsidRPr="00B63159">
        <w:t>modifier comme suit :</w:t>
      </w:r>
    </w:p>
    <w:p w:rsidR="00EA3CA1" w:rsidRPr="00B63159" w:rsidRDefault="00EA3CA1" w:rsidP="00EA3CA1">
      <w:pPr>
        <w:pStyle w:val="SingleTxtG"/>
        <w:ind w:left="2552" w:hanging="1418"/>
        <w:rPr>
          <w:spacing w:val="-3"/>
        </w:rPr>
      </w:pPr>
      <w:r w:rsidRPr="00B63159">
        <w:t>« </w:t>
      </w:r>
      <w:r w:rsidRPr="00B63159">
        <w:rPr>
          <w:b/>
          <w:bCs/>
          <w:strike/>
          <w:spacing w:val="-3"/>
        </w:rPr>
        <w:t>2.21</w:t>
      </w:r>
      <w:r w:rsidR="00B63159">
        <w:rPr>
          <w:b/>
          <w:bCs/>
          <w:strike/>
          <w:spacing w:val="-3"/>
        </w:rPr>
        <w:t xml:space="preserve"> </w:t>
      </w:r>
      <w:r w:rsidRPr="00B63159">
        <w:rPr>
          <w:b/>
          <w:bCs/>
          <w:spacing w:val="-3"/>
        </w:rPr>
        <w:t xml:space="preserve">2.26 </w:t>
      </w:r>
      <w:r w:rsidRPr="00B63159">
        <w:rPr>
          <w:b/>
          <w:bCs/>
          <w:spacing w:val="-3"/>
        </w:rPr>
        <w:tab/>
      </w:r>
      <w:r w:rsidR="00137BF7" w:rsidRPr="00B63159">
        <w:rPr>
          <w:spacing w:val="-3"/>
        </w:rPr>
        <w:t>“</w:t>
      </w:r>
      <w:r w:rsidRPr="00E009A0">
        <w:rPr>
          <w:b/>
          <w:bCs/>
          <w:i/>
          <w:spacing w:val="-3"/>
        </w:rPr>
        <w:t>Désignation de la dimension du pneu</w:t>
      </w:r>
      <w:r w:rsidR="00137BF7" w:rsidRPr="00B63159">
        <w:rPr>
          <w:spacing w:val="-3"/>
        </w:rPr>
        <w:t>”</w:t>
      </w:r>
      <w:r w:rsidR="00137BF7" w:rsidRPr="00B63159">
        <w:rPr>
          <w:bCs/>
          <w:spacing w:val="-3"/>
        </w:rPr>
        <w:t xml:space="preserve">, une </w:t>
      </w:r>
      <w:r w:rsidRPr="00B63159">
        <w:rPr>
          <w:bCs/>
          <w:spacing w:val="-3"/>
        </w:rPr>
        <w:t>désignation faisant apparaître :</w:t>
      </w:r>
    </w:p>
    <w:p w:rsidR="00EA3CA1" w:rsidRPr="00B63159" w:rsidRDefault="00EA3CA1" w:rsidP="00EA3CA1">
      <w:pPr>
        <w:pStyle w:val="SingleTxtG"/>
        <w:ind w:left="2552" w:hanging="1418"/>
      </w:pPr>
      <w:r w:rsidRPr="00B63159">
        <w:rPr>
          <w:strike/>
        </w:rPr>
        <w:t>2.21.1</w:t>
      </w:r>
      <w:r w:rsidR="00B63159">
        <w:rPr>
          <w:strike/>
        </w:rPr>
        <w:t xml:space="preserve"> </w:t>
      </w:r>
      <w:r w:rsidRPr="00B63159">
        <w:rPr>
          <w:b/>
        </w:rPr>
        <w:t>2.26.1</w:t>
      </w:r>
      <w:r w:rsidRPr="00B63159">
        <w:rPr>
          <w:b/>
        </w:rPr>
        <w:tab/>
      </w:r>
      <w:r w:rsidRPr="00B63159">
        <w:t>La grosseur nominale du boudin. Elle doit être exprimée en millimètres, sauf pour les types de pneus dont la désignation figure dans la première c</w:t>
      </w:r>
      <w:r w:rsidR="00137BF7" w:rsidRPr="00B63159">
        <w:t>olonne des tableaux de l’annexe </w:t>
      </w:r>
      <w:r w:rsidRPr="00B63159">
        <w:t>5 du présent Règlement ;</w:t>
      </w:r>
    </w:p>
    <w:p w:rsidR="00EA3CA1" w:rsidRPr="00B63159" w:rsidRDefault="00EA3CA1" w:rsidP="00EA3CA1">
      <w:pPr>
        <w:pStyle w:val="SingleTxtG"/>
        <w:ind w:left="2552" w:hanging="1418"/>
      </w:pPr>
      <w:r w:rsidRPr="00B63159">
        <w:rPr>
          <w:strike/>
        </w:rPr>
        <w:t>2.21.2</w:t>
      </w:r>
      <w:r w:rsidR="00B63159">
        <w:rPr>
          <w:strike/>
        </w:rPr>
        <w:t xml:space="preserve"> </w:t>
      </w:r>
      <w:r w:rsidRPr="00B63159">
        <w:rPr>
          <w:b/>
        </w:rPr>
        <w:t>2.26.2</w:t>
      </w:r>
      <w:r w:rsidRPr="00B63159">
        <w:rPr>
          <w:b/>
        </w:rPr>
        <w:tab/>
      </w:r>
      <w:r w:rsidRPr="00B63159">
        <w:t>Le rapport nominal d’aspect, sauf pour les pneus dont la désignation figure dans la première c</w:t>
      </w:r>
      <w:r w:rsidR="00137BF7" w:rsidRPr="00B63159">
        <w:t>olonne des tableaux de l’annexe </w:t>
      </w:r>
      <w:r w:rsidRPr="00B63159">
        <w:t xml:space="preserve">5 du présent Règlement ou selon le modèle de pneu, par exemple les pneus ayant une configuration de montage de type </w:t>
      </w:r>
      <w:r w:rsidR="00137BF7" w:rsidRPr="00B63159">
        <w:t>“</w:t>
      </w:r>
      <w:r w:rsidRPr="00B63159">
        <w:t>A</w:t>
      </w:r>
      <w:r w:rsidR="00137BF7" w:rsidRPr="00B63159">
        <w:t>” (voir par. </w:t>
      </w:r>
      <w:r w:rsidRPr="00B63159">
        <w:rPr>
          <w:strike/>
        </w:rPr>
        <w:t>2.21.4</w:t>
      </w:r>
      <w:r w:rsidR="00B63159">
        <w:rPr>
          <w:strike/>
        </w:rPr>
        <w:t xml:space="preserve"> </w:t>
      </w:r>
      <w:r w:rsidRPr="00B63159">
        <w:rPr>
          <w:b/>
        </w:rPr>
        <w:t>2.26.4</w:t>
      </w:r>
      <w:r w:rsidRPr="00B63159">
        <w:t>), le diamètre extérieur nominal exprimé en millimètres ;</w:t>
      </w:r>
    </w:p>
    <w:p w:rsidR="00EA3CA1" w:rsidRPr="00B63159" w:rsidRDefault="002D5EDB" w:rsidP="00EA3CA1">
      <w:pPr>
        <w:pStyle w:val="SingleTxtG"/>
        <w:ind w:left="2552" w:hanging="1418"/>
      </w:pPr>
      <w:r w:rsidRPr="00B63159">
        <w:tab/>
        <w:t>… »</w:t>
      </w:r>
    </w:p>
    <w:p w:rsidR="00EA3CA1" w:rsidRPr="00B63159" w:rsidRDefault="00EA3CA1" w:rsidP="00EA3CA1">
      <w:pPr>
        <w:pStyle w:val="SingleTxtG"/>
        <w:rPr>
          <w:i/>
        </w:rPr>
      </w:pPr>
      <w:r w:rsidRPr="00B63159">
        <w:rPr>
          <w:i/>
        </w:rPr>
        <w:t xml:space="preserve">Les paragraphes 2.21.3 à 2.32 </w:t>
      </w:r>
      <w:r w:rsidRPr="00B63159">
        <w:t>deviennent les paragraphes 2.26.3 à 2.37.</w:t>
      </w:r>
      <w:r w:rsidRPr="00B63159">
        <w:rPr>
          <w:i/>
        </w:rPr>
        <w:t xml:space="preserve"> </w:t>
      </w:r>
    </w:p>
    <w:p w:rsidR="00EA3CA1" w:rsidRPr="00B63159" w:rsidRDefault="00EA3CA1" w:rsidP="002D5EDB">
      <w:pPr>
        <w:pStyle w:val="SingleTxtG"/>
        <w:keepNext/>
        <w:keepLines/>
      </w:pPr>
      <w:r w:rsidRPr="00B63159">
        <w:rPr>
          <w:i/>
        </w:rPr>
        <w:t>Ancien paragraphe 2.32</w:t>
      </w:r>
      <w:r w:rsidRPr="00B63159">
        <w:t>, modifier comme suit :</w:t>
      </w:r>
    </w:p>
    <w:p w:rsidR="00EA3CA1" w:rsidRPr="00B63159" w:rsidRDefault="00EA3CA1" w:rsidP="00EA3CA1">
      <w:pPr>
        <w:pStyle w:val="SingleTxtG"/>
        <w:ind w:left="2552" w:hanging="1418"/>
      </w:pPr>
      <w:r w:rsidRPr="00B63159">
        <w:t>« </w:t>
      </w:r>
      <w:r w:rsidRPr="00B63159">
        <w:rPr>
          <w:strike/>
        </w:rPr>
        <w:t>2.32</w:t>
      </w:r>
      <w:r w:rsidR="00B63159">
        <w:rPr>
          <w:strike/>
        </w:rPr>
        <w:t xml:space="preserve"> </w:t>
      </w:r>
      <w:r w:rsidRPr="00B63159">
        <w:rPr>
          <w:b/>
        </w:rPr>
        <w:t>2.37</w:t>
      </w:r>
      <w:r w:rsidRPr="00B63159">
        <w:tab/>
      </w:r>
      <w:r w:rsidR="00137BF7" w:rsidRPr="00B63159">
        <w:t>“</w:t>
      </w:r>
      <w:r w:rsidRPr="00B63159">
        <w:rPr>
          <w:i/>
        </w:rPr>
        <w:t>Indice de charge</w:t>
      </w:r>
      <w:r w:rsidR="00137BF7" w:rsidRPr="00B63159">
        <w:t>”</w:t>
      </w:r>
      <w:r w:rsidRPr="00B63159">
        <w:t xml:space="preserve">, un code numérique qui indique la charge que peut supporter le pneu à la vitesse caractéristique de la catégorie de vitesse dont il relève et lorsqu’il est utilisé conformément aux prescriptions d’utilisation définies par le fabricant </w:t>
      </w:r>
      <w:r w:rsidRPr="00B63159">
        <w:rPr>
          <w:b/>
        </w:rPr>
        <w:t>du pneu d’origine ou le rechapeur</w:t>
      </w:r>
      <w:r w:rsidRPr="00B63159">
        <w:t xml:space="preserve">. </w:t>
      </w:r>
      <w:r w:rsidRPr="00B63159">
        <w:lastRenderedPageBreak/>
        <w:t>Un pneu peut avoir plus d’un indice de charge pour indiquer sa capacité de charge lorsqu’il est utilisé en montage simple ou en montage jumelé, ou pour indiquer une autre capacité de charge (Point unique) pour laquelle une variation</w:t>
      </w:r>
      <w:r w:rsidR="002D5EDB" w:rsidRPr="00B63159">
        <w:t xml:space="preserve"> de charge, selon le paragraphe </w:t>
      </w:r>
      <w:r w:rsidRPr="00B63159">
        <w:rPr>
          <w:strike/>
        </w:rPr>
        <w:t>2.35</w:t>
      </w:r>
      <w:r w:rsidR="00B63159">
        <w:rPr>
          <w:strike/>
        </w:rPr>
        <w:t xml:space="preserve"> </w:t>
      </w:r>
      <w:r w:rsidRPr="00B63159">
        <w:rPr>
          <w:b/>
        </w:rPr>
        <w:t>2.40</w:t>
      </w:r>
      <w:r w:rsidR="00137BF7" w:rsidRPr="00B63159">
        <w:t xml:space="preserve"> et l’annexe </w:t>
      </w:r>
      <w:r w:rsidRPr="00B63159">
        <w:t>8 du présent Règlement, n’est pas autorisée.</w:t>
      </w:r>
    </w:p>
    <w:p w:rsidR="00EA3CA1" w:rsidRPr="00B63159" w:rsidRDefault="002D5EDB" w:rsidP="002D5EDB">
      <w:pPr>
        <w:pStyle w:val="SingleTxtG"/>
        <w:ind w:left="2552" w:hanging="1418"/>
      </w:pPr>
      <w:r w:rsidRPr="00B63159">
        <w:tab/>
      </w:r>
      <w:r w:rsidR="00EA3CA1" w:rsidRPr="00B63159">
        <w:t>La liste des indices de charge et des masses co</w:t>
      </w:r>
      <w:r w:rsidR="00137BF7" w:rsidRPr="00B63159">
        <w:t>rrespondantes figure à l’annexe 4 du présent Règlement. »</w:t>
      </w:r>
    </w:p>
    <w:p w:rsidR="00EA3CA1" w:rsidRPr="00B63159" w:rsidRDefault="002D5EDB" w:rsidP="00EA3CA1">
      <w:pPr>
        <w:pStyle w:val="SingleTxtG"/>
      </w:pPr>
      <w:r w:rsidRPr="00B63159">
        <w:rPr>
          <w:i/>
        </w:rPr>
        <w:t>Le paragraphe </w:t>
      </w:r>
      <w:r w:rsidR="00EA3CA1" w:rsidRPr="00B63159">
        <w:rPr>
          <w:i/>
        </w:rPr>
        <w:t xml:space="preserve">2.33 </w:t>
      </w:r>
      <w:r w:rsidRPr="00B63159">
        <w:t>devient le paragraphe </w:t>
      </w:r>
      <w:r w:rsidR="00EA3CA1" w:rsidRPr="00B63159">
        <w:t>2.38.</w:t>
      </w:r>
    </w:p>
    <w:p w:rsidR="00EA3CA1" w:rsidRPr="00B63159" w:rsidRDefault="00EA3CA1" w:rsidP="002D5EDB">
      <w:pPr>
        <w:pStyle w:val="SingleTxtG"/>
        <w:keepNext/>
        <w:keepLines/>
      </w:pPr>
      <w:r w:rsidRPr="00B63159">
        <w:rPr>
          <w:i/>
        </w:rPr>
        <w:t>Ancien paragraphe 2.34</w:t>
      </w:r>
      <w:r w:rsidRPr="00B63159">
        <w:t>, modifier comme suit :</w:t>
      </w:r>
    </w:p>
    <w:p w:rsidR="00EA3CA1" w:rsidRPr="00B63159" w:rsidRDefault="00EA3CA1" w:rsidP="00EA3CA1">
      <w:pPr>
        <w:pStyle w:val="SingleTxtG"/>
        <w:ind w:left="2552" w:hanging="1418"/>
      </w:pPr>
      <w:r w:rsidRPr="00B63159">
        <w:rPr>
          <w:bCs/>
        </w:rPr>
        <w:t>« </w:t>
      </w:r>
      <w:r w:rsidRPr="00B63159">
        <w:rPr>
          <w:bCs/>
          <w:strike/>
        </w:rPr>
        <w:t>2.34</w:t>
      </w:r>
      <w:r w:rsidR="00B63159">
        <w:rPr>
          <w:bCs/>
          <w:strike/>
        </w:rPr>
        <w:t xml:space="preserve"> </w:t>
      </w:r>
      <w:r w:rsidRPr="00B63159">
        <w:rPr>
          <w:b/>
          <w:bCs/>
        </w:rPr>
        <w:t>2.39</w:t>
      </w:r>
      <w:r w:rsidRPr="00B63159">
        <w:rPr>
          <w:b/>
          <w:bCs/>
        </w:rPr>
        <w:tab/>
      </w:r>
      <w:r w:rsidR="002D5EDB" w:rsidRPr="00B63159">
        <w:t>“</w:t>
      </w:r>
      <w:r w:rsidRPr="005C0E63">
        <w:rPr>
          <w:b/>
          <w:bCs/>
          <w:i/>
        </w:rPr>
        <w:t>Point unique</w:t>
      </w:r>
      <w:r w:rsidR="002D5EDB" w:rsidRPr="00B63159">
        <w:t>”</w:t>
      </w:r>
      <w:r w:rsidRPr="00B63159">
        <w:rPr>
          <w:bCs/>
        </w:rPr>
        <w:t xml:space="preserve">, la description de service supplémentaire inscrite à côté de la description de service normale. Elle ne doit pas être utilisée pour calculer une variation de capacité de charge </w:t>
      </w:r>
      <w:r w:rsidR="002D5EDB" w:rsidRPr="00B63159">
        <w:rPr>
          <w:bCs/>
        </w:rPr>
        <w:t>telle que définie au paragraphe </w:t>
      </w:r>
      <w:r w:rsidRPr="00B63159">
        <w:rPr>
          <w:bCs/>
          <w:strike/>
        </w:rPr>
        <w:t>2.35</w:t>
      </w:r>
      <w:r w:rsidR="00B63159">
        <w:rPr>
          <w:bCs/>
          <w:strike/>
        </w:rPr>
        <w:t xml:space="preserve"> </w:t>
      </w:r>
      <w:r w:rsidRPr="00B63159">
        <w:rPr>
          <w:b/>
          <w:bCs/>
        </w:rPr>
        <w:t>2.39</w:t>
      </w:r>
      <w:r w:rsidRPr="00B63159">
        <w:rPr>
          <w:bCs/>
        </w:rPr>
        <w:t xml:space="preserve"> et dans l’a</w:t>
      </w:r>
      <w:r w:rsidR="002D5EDB" w:rsidRPr="00B63159">
        <w:rPr>
          <w:bCs/>
        </w:rPr>
        <w:t>nnexe 8 du présent Règlement. »</w:t>
      </w:r>
    </w:p>
    <w:p w:rsidR="00EA3CA1" w:rsidRPr="00B63159" w:rsidRDefault="00EA3CA1" w:rsidP="00EA3CA1">
      <w:pPr>
        <w:pStyle w:val="SingleTxtG"/>
      </w:pPr>
      <w:r w:rsidRPr="00B63159">
        <w:rPr>
          <w:i/>
        </w:rPr>
        <w:t xml:space="preserve">Les paragraphes 2.35 à 2.52 </w:t>
      </w:r>
      <w:r w:rsidRPr="00B63159">
        <w:t>deviennent les paragraphes 2.40 à 2.57.</w:t>
      </w:r>
    </w:p>
    <w:p w:rsidR="00EA3CA1" w:rsidRPr="00B63159" w:rsidRDefault="002D5EDB" w:rsidP="002D5EDB">
      <w:pPr>
        <w:pStyle w:val="SingleTxtG"/>
        <w:keepNext/>
        <w:keepLines/>
      </w:pPr>
      <w:r w:rsidRPr="00B63159">
        <w:rPr>
          <w:i/>
        </w:rPr>
        <w:t>Paragraphe </w:t>
      </w:r>
      <w:r w:rsidR="00EA3CA1" w:rsidRPr="00B63159">
        <w:rPr>
          <w:i/>
        </w:rPr>
        <w:t>3.2.1</w:t>
      </w:r>
      <w:r w:rsidR="00EA3CA1" w:rsidRPr="00B63159">
        <w:t>, modifier comme suit :</w:t>
      </w:r>
    </w:p>
    <w:p w:rsidR="00EA3CA1" w:rsidRPr="00B63159" w:rsidRDefault="00EA3CA1" w:rsidP="00EA3CA1">
      <w:pPr>
        <w:pStyle w:val="SingleTxtG"/>
        <w:ind w:left="2552" w:hanging="1418"/>
      </w:pPr>
      <w:r w:rsidRPr="00B63159">
        <w:t xml:space="preserve">« 3.2.1 </w:t>
      </w:r>
      <w:r w:rsidRPr="00B63159">
        <w:tab/>
      </w:r>
      <w:r w:rsidRPr="00B63159">
        <w:rPr>
          <w:b/>
        </w:rPr>
        <w:t xml:space="preserve">Le nom du rechapeur ou </w:t>
      </w:r>
      <w:r w:rsidRPr="00B63159">
        <w:rPr>
          <w:strike/>
        </w:rPr>
        <w:t>L</w:t>
      </w:r>
      <w:r w:rsidRPr="00B63159">
        <w:rPr>
          <w:b/>
        </w:rPr>
        <w:t>l</w:t>
      </w:r>
      <w:r w:rsidRPr="00B63159">
        <w:t xml:space="preserve">e nom de fabrique </w:t>
      </w:r>
      <w:r w:rsidRPr="00B63159">
        <w:rPr>
          <w:strike/>
        </w:rPr>
        <w:t>ou</w:t>
      </w:r>
      <w:r w:rsidR="002D5EDB" w:rsidRPr="00B63159">
        <w:t>/la marque de commerce ; »</w:t>
      </w:r>
    </w:p>
    <w:p w:rsidR="00EA3CA1" w:rsidRPr="00B63159" w:rsidRDefault="00EA3CA1" w:rsidP="002D5EDB">
      <w:pPr>
        <w:pStyle w:val="SingleTxtG"/>
        <w:keepNext/>
        <w:keepLines/>
      </w:pPr>
      <w:r w:rsidRPr="00B63159">
        <w:rPr>
          <w:i/>
        </w:rPr>
        <w:t>Ajouter un nouveau paragraphe 3.2.2</w:t>
      </w:r>
      <w:r w:rsidRPr="00B63159">
        <w:t>, libellé comme suit :</w:t>
      </w:r>
    </w:p>
    <w:p w:rsidR="00EA3CA1" w:rsidRPr="00B63159" w:rsidRDefault="00EA3CA1" w:rsidP="00EA3CA1">
      <w:pPr>
        <w:pStyle w:val="SingleTxtG"/>
        <w:ind w:left="2552" w:hanging="1418"/>
        <w:rPr>
          <w:b/>
        </w:rPr>
      </w:pPr>
      <w:r w:rsidRPr="00B63159">
        <w:t>« </w:t>
      </w:r>
      <w:r w:rsidRPr="00B63159">
        <w:rPr>
          <w:b/>
        </w:rPr>
        <w:t xml:space="preserve">3.2.2 </w:t>
      </w:r>
      <w:r w:rsidRPr="00B63159">
        <w:rPr>
          <w:b/>
        </w:rPr>
        <w:tab/>
        <w:t>La désignation commercia</w:t>
      </w:r>
      <w:r w:rsidR="002D5EDB" w:rsidRPr="00B63159">
        <w:rPr>
          <w:b/>
        </w:rPr>
        <w:t>le/le nom commercial (voir par. </w:t>
      </w:r>
      <w:r w:rsidRPr="00B63159">
        <w:rPr>
          <w:b/>
        </w:rPr>
        <w:t>2.6 du présent Règlement). Cependant, la désignation commerciale n’est pas requise quand elle est identique au nom de marque/à la marque de fabrique. </w:t>
      </w:r>
      <w:r w:rsidR="002D5EDB" w:rsidRPr="00B63159">
        <w:t>»</w:t>
      </w:r>
    </w:p>
    <w:p w:rsidR="00EA3CA1" w:rsidRPr="00B63159" w:rsidRDefault="00EA3CA1" w:rsidP="00EA3CA1">
      <w:pPr>
        <w:pStyle w:val="SingleTxtG"/>
      </w:pPr>
      <w:r w:rsidRPr="00B63159">
        <w:rPr>
          <w:i/>
        </w:rPr>
        <w:t xml:space="preserve">Les paragraphes 3.2.2 à 3.2.4 </w:t>
      </w:r>
      <w:r w:rsidRPr="00B63159">
        <w:t>deviennent les paragraphes 3.2.3 à 3.2.5.</w:t>
      </w:r>
    </w:p>
    <w:p w:rsidR="00EA3CA1" w:rsidRPr="00B63159" w:rsidRDefault="00EA3CA1" w:rsidP="002D5EDB">
      <w:pPr>
        <w:pStyle w:val="SingleTxtG"/>
        <w:keepNext/>
        <w:keepLines/>
      </w:pPr>
      <w:r w:rsidRPr="00B63159">
        <w:rPr>
          <w:i/>
        </w:rPr>
        <w:t>Ancien paragraphe 3.2.2</w:t>
      </w:r>
      <w:r w:rsidRPr="00B63159">
        <w:t>, modifier comme suit :</w:t>
      </w:r>
    </w:p>
    <w:p w:rsidR="00EA3CA1" w:rsidRPr="00B63159" w:rsidRDefault="00EA3CA1" w:rsidP="00EA3CA1">
      <w:pPr>
        <w:pStyle w:val="SingleTxtG"/>
        <w:ind w:left="2552" w:hanging="1418"/>
      </w:pPr>
      <w:r w:rsidRPr="00B63159">
        <w:t>« </w:t>
      </w:r>
      <w:r w:rsidRPr="00B63159">
        <w:rPr>
          <w:strike/>
        </w:rPr>
        <w:t>3.2.2</w:t>
      </w:r>
      <w:r w:rsidR="00B63159">
        <w:rPr>
          <w:strike/>
        </w:rPr>
        <w:t xml:space="preserve"> </w:t>
      </w:r>
      <w:r w:rsidRPr="00B63159">
        <w:rPr>
          <w:b/>
        </w:rPr>
        <w:t>3.2.3</w:t>
      </w:r>
      <w:r w:rsidRPr="00B63159">
        <w:rPr>
          <w:b/>
        </w:rPr>
        <w:tab/>
      </w:r>
      <w:r w:rsidRPr="00B63159">
        <w:t>La désignation de la dimension du pneu telle qu’elle</w:t>
      </w:r>
      <w:r w:rsidR="00B63159" w:rsidRPr="00B63159">
        <w:t xml:space="preserve"> est définie au paragraphe </w:t>
      </w:r>
      <w:r w:rsidR="00B63159" w:rsidRPr="00B63159">
        <w:rPr>
          <w:strike/>
        </w:rPr>
        <w:t>2.21</w:t>
      </w:r>
      <w:r w:rsidR="00B63159">
        <w:rPr>
          <w:strike/>
        </w:rPr>
        <w:t xml:space="preserve"> </w:t>
      </w:r>
      <w:r w:rsidRPr="00B63159">
        <w:rPr>
          <w:b/>
        </w:rPr>
        <w:t>2.26</w:t>
      </w:r>
      <w:r w:rsidR="0008166C">
        <w:t> ; »</w:t>
      </w:r>
    </w:p>
    <w:p w:rsidR="00EA3CA1" w:rsidRPr="00B63159" w:rsidRDefault="00EA3CA1" w:rsidP="002D5EDB">
      <w:pPr>
        <w:pStyle w:val="SingleTxtG"/>
        <w:keepNext/>
        <w:keepLines/>
      </w:pPr>
      <w:r w:rsidRPr="00B63159">
        <w:rPr>
          <w:i/>
        </w:rPr>
        <w:t>Anciens paragraphes 3.2.4.1 à 3.2.5.2</w:t>
      </w:r>
      <w:r w:rsidRPr="00B63159">
        <w:t>, modifier comme suit :</w:t>
      </w:r>
    </w:p>
    <w:p w:rsidR="00EA3CA1" w:rsidRPr="00B63159" w:rsidRDefault="00EA3CA1" w:rsidP="00EA3CA1">
      <w:pPr>
        <w:pStyle w:val="SingleTxtG"/>
        <w:ind w:left="2552" w:hanging="1418"/>
      </w:pPr>
      <w:r w:rsidRPr="00B63159">
        <w:t>« </w:t>
      </w:r>
      <w:r w:rsidRPr="00B63159">
        <w:rPr>
          <w:strike/>
        </w:rPr>
        <w:t>3.2.4.1</w:t>
      </w:r>
      <w:r w:rsidRPr="00B63159">
        <w:t xml:space="preserve"> </w:t>
      </w:r>
      <w:r w:rsidRPr="00B63159">
        <w:rPr>
          <w:b/>
        </w:rPr>
        <w:t>3.2.5.1</w:t>
      </w:r>
      <w:r w:rsidRPr="00B63159">
        <w:rPr>
          <w:b/>
        </w:rPr>
        <w:tab/>
      </w:r>
      <w:r w:rsidRPr="00B63159">
        <w:t xml:space="preserve">Une indication de la (des) capacité(s) nominale(s) de charge du pneu sous forme de l’indice (des) indice(s) de charge prescrit(s) au paragraphe </w:t>
      </w:r>
      <w:r w:rsidRPr="00B63159">
        <w:rPr>
          <w:strike/>
        </w:rPr>
        <w:t>2.32</w:t>
      </w:r>
      <w:r w:rsidRPr="00B63159">
        <w:t xml:space="preserve"> </w:t>
      </w:r>
      <w:r w:rsidRPr="00B63159">
        <w:rPr>
          <w:b/>
        </w:rPr>
        <w:t>2.37</w:t>
      </w:r>
      <w:r w:rsidRPr="00B63159">
        <w:t> ;</w:t>
      </w:r>
    </w:p>
    <w:p w:rsidR="00EA3CA1" w:rsidRPr="00B63159" w:rsidRDefault="00EA3CA1" w:rsidP="00EA3CA1">
      <w:pPr>
        <w:pStyle w:val="SingleTxtG"/>
        <w:ind w:left="2552" w:hanging="1418"/>
      </w:pPr>
      <w:r w:rsidRPr="00B63159">
        <w:rPr>
          <w:strike/>
        </w:rPr>
        <w:t>3.2.4.2</w:t>
      </w:r>
      <w:r w:rsidRPr="00B63159">
        <w:t xml:space="preserve"> </w:t>
      </w:r>
      <w:r w:rsidRPr="00B63159">
        <w:rPr>
          <w:b/>
        </w:rPr>
        <w:t>3.2.5.2</w:t>
      </w:r>
      <w:r w:rsidRPr="00B63159">
        <w:tab/>
        <w:t xml:space="preserve">Une indication de la catégorie de vitesse nominale du pneu sous forme du code prescrit au paragraphe </w:t>
      </w:r>
      <w:r w:rsidRPr="00B63159">
        <w:rPr>
          <w:strike/>
        </w:rPr>
        <w:t xml:space="preserve">2.33 </w:t>
      </w:r>
      <w:r w:rsidRPr="00B63159">
        <w:rPr>
          <w:b/>
        </w:rPr>
        <w:t>2.38 </w:t>
      </w:r>
      <w:r w:rsidRPr="00B63159">
        <w:t xml:space="preserve">; </w:t>
      </w:r>
    </w:p>
    <w:p w:rsidR="00EA3CA1" w:rsidRPr="00B63159" w:rsidRDefault="00EA3CA1" w:rsidP="00EA3CA1">
      <w:pPr>
        <w:pStyle w:val="SingleTxtG"/>
        <w:ind w:left="2552" w:hanging="1418"/>
      </w:pPr>
      <w:r w:rsidRPr="00B63159">
        <w:rPr>
          <w:strike/>
        </w:rPr>
        <w:t>3.2.5</w:t>
      </w:r>
      <w:r w:rsidRPr="00B63159">
        <w:t xml:space="preserve"> </w:t>
      </w:r>
      <w:r w:rsidRPr="00B63159">
        <w:rPr>
          <w:b/>
        </w:rPr>
        <w:t>3.2.6</w:t>
      </w:r>
      <w:r w:rsidRPr="00B63159">
        <w:tab/>
        <w:t>Le cas échéant, une description de service supplémentaire, le Point unique, comportant :</w:t>
      </w:r>
    </w:p>
    <w:p w:rsidR="00EA3CA1" w:rsidRPr="00B63159" w:rsidRDefault="00EA3CA1" w:rsidP="00EA3CA1">
      <w:pPr>
        <w:pStyle w:val="SingleTxtG"/>
        <w:ind w:left="2552" w:hanging="1418"/>
      </w:pPr>
      <w:r w:rsidRPr="00B63159">
        <w:rPr>
          <w:strike/>
        </w:rPr>
        <w:t>3.2.5.1</w:t>
      </w:r>
      <w:r w:rsidRPr="00B63159">
        <w:t xml:space="preserve"> </w:t>
      </w:r>
      <w:r w:rsidRPr="00B63159">
        <w:rPr>
          <w:b/>
        </w:rPr>
        <w:t>3.2.6.1</w:t>
      </w:r>
      <w:r w:rsidRPr="00B63159">
        <w:tab/>
        <w:t xml:space="preserve">Une indication de la (des) capacité(s) de charge du pneu sous forme de l’indice ou des indices de charge prescrits au paragraphe </w:t>
      </w:r>
      <w:r w:rsidRPr="00B63159">
        <w:rPr>
          <w:strike/>
        </w:rPr>
        <w:t>2.32</w:t>
      </w:r>
      <w:r w:rsidRPr="00B63159">
        <w:t xml:space="preserve"> </w:t>
      </w:r>
      <w:r w:rsidRPr="00B63159">
        <w:rPr>
          <w:b/>
        </w:rPr>
        <w:t>2.37</w:t>
      </w:r>
      <w:r w:rsidRPr="00B63159">
        <w:t> ;</w:t>
      </w:r>
    </w:p>
    <w:p w:rsidR="00EA3CA1" w:rsidRPr="00B63159" w:rsidRDefault="00EA3CA1" w:rsidP="00EA3CA1">
      <w:pPr>
        <w:pStyle w:val="SingleTxtG"/>
        <w:ind w:left="2552" w:hanging="1418"/>
      </w:pPr>
      <w:r w:rsidRPr="00B63159">
        <w:rPr>
          <w:strike/>
        </w:rPr>
        <w:t>3.2.5.2</w:t>
      </w:r>
      <w:r w:rsidRPr="00B63159">
        <w:t xml:space="preserve"> </w:t>
      </w:r>
      <w:r w:rsidRPr="00B63159">
        <w:rPr>
          <w:b/>
        </w:rPr>
        <w:t>3.2.6.2</w:t>
      </w:r>
      <w:r w:rsidRPr="00B63159">
        <w:tab/>
        <w:t xml:space="preserve">Une indication de la catégorie de vitesse sous forme du code prescrit au paragraphe </w:t>
      </w:r>
      <w:r w:rsidRPr="00B63159">
        <w:rPr>
          <w:strike/>
        </w:rPr>
        <w:t>2.33</w:t>
      </w:r>
      <w:r w:rsidRPr="00B63159">
        <w:t xml:space="preserve"> </w:t>
      </w:r>
      <w:r w:rsidRPr="00B63159">
        <w:rPr>
          <w:b/>
        </w:rPr>
        <w:t>2.38</w:t>
      </w:r>
      <w:r w:rsidR="00B63159" w:rsidRPr="00B63159">
        <w:t>. »</w:t>
      </w:r>
    </w:p>
    <w:p w:rsidR="00EA3CA1" w:rsidRPr="00B63159" w:rsidRDefault="00EA3CA1" w:rsidP="002D5EDB">
      <w:pPr>
        <w:pStyle w:val="SingleTxtG"/>
        <w:keepNext/>
        <w:keepLines/>
      </w:pPr>
      <w:r w:rsidRPr="00B63159">
        <w:rPr>
          <w:i/>
        </w:rPr>
        <w:t xml:space="preserve">Les paragraphes 3.2.6 et 3.2.7 </w:t>
      </w:r>
      <w:r w:rsidRPr="00B63159">
        <w:t>deviennent les paragraphes 3.2.7 et 3.2.8.</w:t>
      </w:r>
    </w:p>
    <w:p w:rsidR="00EA3CA1" w:rsidRPr="00B63159" w:rsidRDefault="00EA3CA1" w:rsidP="002D5EDB">
      <w:pPr>
        <w:pStyle w:val="SingleTxtG"/>
        <w:keepNext/>
        <w:keepLines/>
      </w:pPr>
      <w:r w:rsidRPr="00B63159">
        <w:rPr>
          <w:i/>
        </w:rPr>
        <w:t>Anciens paragraphes 3.2.8 à 3.2.8.2</w:t>
      </w:r>
      <w:r w:rsidRPr="00B63159">
        <w:t>, modifier comme suit :</w:t>
      </w:r>
    </w:p>
    <w:p w:rsidR="00EA3CA1" w:rsidRPr="00B63159" w:rsidRDefault="00EA3CA1" w:rsidP="002D5EDB">
      <w:pPr>
        <w:pStyle w:val="SingleTxtG"/>
        <w:ind w:left="2552" w:hanging="1418"/>
      </w:pPr>
      <w:r w:rsidRPr="00B63159">
        <w:t>« </w:t>
      </w:r>
      <w:r w:rsidRPr="00B63159">
        <w:rPr>
          <w:strike/>
        </w:rPr>
        <w:t>3.2.8</w:t>
      </w:r>
      <w:r w:rsidRPr="00B63159">
        <w:t xml:space="preserve"> </w:t>
      </w:r>
      <w:r w:rsidRPr="00B63159">
        <w:rPr>
          <w:b/>
        </w:rPr>
        <w:t>3.2.9</w:t>
      </w:r>
      <w:r w:rsidRPr="00B63159">
        <w:tab/>
        <w:t>La date du rechapage, comme suit :</w:t>
      </w:r>
    </w:p>
    <w:p w:rsidR="00EA3CA1" w:rsidRPr="00B63159" w:rsidRDefault="00EA3CA1" w:rsidP="00EA3CA1">
      <w:pPr>
        <w:pStyle w:val="SingleTxtG"/>
        <w:ind w:left="2552" w:hanging="1418"/>
      </w:pPr>
      <w:r w:rsidRPr="00B63159">
        <w:rPr>
          <w:strike/>
        </w:rPr>
        <w:t>3.2.8.1</w:t>
      </w:r>
      <w:r w:rsidRPr="00B63159">
        <w:t xml:space="preserve"> </w:t>
      </w:r>
      <w:r w:rsidRPr="00B63159">
        <w:rPr>
          <w:b/>
        </w:rPr>
        <w:t>3.2.9.1</w:t>
      </w:r>
      <w:r w:rsidR="002D5EDB" w:rsidRPr="00B63159">
        <w:tab/>
        <w:t>Jusqu’au 31 </w:t>
      </w:r>
      <w:r w:rsidRPr="00B63159">
        <w:t xml:space="preserve">décembre 1999 ; soit comme il est prescrit au paragraphe </w:t>
      </w:r>
      <w:r w:rsidRPr="00B63159">
        <w:rPr>
          <w:strike/>
        </w:rPr>
        <w:t>3.2.8.2</w:t>
      </w:r>
      <w:r w:rsidR="00B63159">
        <w:rPr>
          <w:strike/>
        </w:rPr>
        <w:t xml:space="preserve"> </w:t>
      </w:r>
      <w:r w:rsidRPr="00B63159">
        <w:rPr>
          <w:b/>
        </w:rPr>
        <w:t>3.2.9.2</w:t>
      </w:r>
      <w:r w:rsidRPr="00B63159">
        <w:t>, soit sous forme d’un groupe de trois chiffres, les deux premiers indiquant la semaine et le dernier le millésime de la décennie de fabrication. Le code de date peut désigner la période de fabrication à partir de la semaine indiquée par son chiffre jusqu’à la troisième semaine suivante, inclusivement désignée. Par exemple, l’inscription </w:t>
      </w:r>
      <w:r w:rsidR="002D5EDB" w:rsidRPr="00B63159">
        <w:t>“</w:t>
      </w:r>
      <w:r w:rsidRPr="00B63159">
        <w:t>2503</w:t>
      </w:r>
      <w:r w:rsidR="00B63159" w:rsidRPr="00B63159">
        <w:t>”</w:t>
      </w:r>
      <w:r w:rsidRPr="00B63159">
        <w:t xml:space="preserve"> peut désigner un pneu rechapé pendant les 25</w:t>
      </w:r>
      <w:r w:rsidR="00B63159">
        <w:rPr>
          <w:vertAlign w:val="superscript"/>
        </w:rPr>
        <w:t>e</w:t>
      </w:r>
      <w:r w:rsidRPr="00B63159">
        <w:t>, 26</w:t>
      </w:r>
      <w:r w:rsidRPr="00B63159">
        <w:rPr>
          <w:vertAlign w:val="superscript"/>
        </w:rPr>
        <w:t>e</w:t>
      </w:r>
      <w:r w:rsidRPr="00B63159">
        <w:t>, 27</w:t>
      </w:r>
      <w:r w:rsidRPr="00B63159">
        <w:rPr>
          <w:vertAlign w:val="superscript"/>
        </w:rPr>
        <w:t>e</w:t>
      </w:r>
      <w:r w:rsidRPr="00B63159">
        <w:t xml:space="preserve"> ou 28</w:t>
      </w:r>
      <w:r w:rsidRPr="00B63159">
        <w:rPr>
          <w:vertAlign w:val="superscript"/>
        </w:rPr>
        <w:t>e</w:t>
      </w:r>
      <w:r w:rsidR="00B63159">
        <w:t> semaines de l’année </w:t>
      </w:r>
      <w:r w:rsidRPr="00B63159">
        <w:t>1993.</w:t>
      </w:r>
    </w:p>
    <w:p w:rsidR="00EA3CA1" w:rsidRPr="00B63159" w:rsidRDefault="00B63159" w:rsidP="00EA3CA1">
      <w:pPr>
        <w:pStyle w:val="SingleTxtG"/>
        <w:ind w:left="2552" w:hanging="1418"/>
      </w:pPr>
      <w:r>
        <w:tab/>
      </w:r>
      <w:r w:rsidR="00EA3CA1" w:rsidRPr="00B63159">
        <w:t>Le code de date peut n’être inscrit que sur un flanc.</w:t>
      </w:r>
    </w:p>
    <w:p w:rsidR="00EA3CA1" w:rsidRPr="00B63159" w:rsidRDefault="00EA3CA1" w:rsidP="002D5EDB">
      <w:pPr>
        <w:pStyle w:val="SingleTxtG"/>
        <w:keepNext/>
        <w:keepLines/>
      </w:pPr>
      <w:r w:rsidRPr="00B63159">
        <w:rPr>
          <w:strike/>
        </w:rPr>
        <w:t>3.2.8.2</w:t>
      </w:r>
      <w:r w:rsidRPr="00B63159">
        <w:t xml:space="preserve"> </w:t>
      </w:r>
      <w:r w:rsidRPr="00B63159">
        <w:rPr>
          <w:b/>
        </w:rPr>
        <w:t>3.2.9.2</w:t>
      </w:r>
      <w:r w:rsidRPr="00B63159">
        <w:tab/>
        <w:t>À compter du 1</w:t>
      </w:r>
      <w:r w:rsidRPr="00B63159">
        <w:rPr>
          <w:vertAlign w:val="superscript"/>
        </w:rPr>
        <w:t>er</w:t>
      </w:r>
      <w:r w:rsidRPr="00B63159">
        <w:t xml:space="preserve"> janvier 2000</w:t>
      </w:r>
      <w:r w:rsidR="00B63159">
        <w:t> ; sous forme d’un groupe de… »</w:t>
      </w:r>
    </w:p>
    <w:p w:rsidR="00EA3CA1" w:rsidRPr="00B63159" w:rsidRDefault="00EA3CA1" w:rsidP="00EA3CA1">
      <w:pPr>
        <w:pStyle w:val="SingleTxtG"/>
      </w:pPr>
      <w:r w:rsidRPr="00B63159">
        <w:rPr>
          <w:i/>
        </w:rPr>
        <w:t xml:space="preserve">Les paragraphes 3.2.9 à 3.2.13 </w:t>
      </w:r>
      <w:r w:rsidRPr="00B63159">
        <w:t>deviennent les paragraphes 3.2.10 à 3.2.14.</w:t>
      </w:r>
    </w:p>
    <w:p w:rsidR="00EA3CA1" w:rsidRPr="00B63159" w:rsidRDefault="00EA3CA1" w:rsidP="002D5EDB">
      <w:pPr>
        <w:pStyle w:val="SingleTxtG"/>
        <w:keepNext/>
        <w:keepLines/>
      </w:pPr>
      <w:r w:rsidRPr="00B63159">
        <w:rPr>
          <w:i/>
        </w:rPr>
        <w:t>Anciens paragraphes 3.2.13 et 3.2.14</w:t>
      </w:r>
      <w:r w:rsidRPr="00B63159">
        <w:t>, modifier comme suit :</w:t>
      </w:r>
    </w:p>
    <w:p w:rsidR="00EA3CA1" w:rsidRPr="00B63159" w:rsidRDefault="00EA3CA1" w:rsidP="00EA3CA1">
      <w:pPr>
        <w:pStyle w:val="SingleTxtG"/>
        <w:ind w:left="2552" w:hanging="1418"/>
      </w:pPr>
      <w:r w:rsidRPr="00B63159">
        <w:t>« </w:t>
      </w:r>
      <w:r w:rsidRPr="00B63159">
        <w:rPr>
          <w:strike/>
        </w:rPr>
        <w:t>3.2.13</w:t>
      </w:r>
      <w:r w:rsidRPr="00B63159">
        <w:t xml:space="preserve"> </w:t>
      </w:r>
      <w:r w:rsidRPr="00B63159">
        <w:rPr>
          <w:b/>
        </w:rPr>
        <w:t>3.2.14</w:t>
      </w:r>
      <w:r w:rsidRPr="00B63159">
        <w:tab/>
      </w:r>
      <w:r w:rsidRPr="00B63159">
        <w:rPr>
          <w:strike/>
        </w:rPr>
        <w:t>Deux ans au plus après l’entrée en vigueur du présent amendement, l</w:t>
      </w:r>
      <w:r w:rsidRPr="00B63159">
        <w:rPr>
          <w:b/>
        </w:rPr>
        <w:t>L</w:t>
      </w:r>
      <w:r w:rsidRPr="00B63159">
        <w:t xml:space="preserve">es pneus </w:t>
      </w:r>
      <w:r w:rsidRPr="00B63159">
        <w:rPr>
          <w:strike/>
        </w:rPr>
        <w:t>fabriqués</w:t>
      </w:r>
      <w:r w:rsidRPr="00B63159">
        <w:t xml:space="preserve"> </w:t>
      </w:r>
      <w:r w:rsidRPr="00B63159">
        <w:rPr>
          <w:b/>
        </w:rPr>
        <w:t>rechapés</w:t>
      </w:r>
      <w:r w:rsidRPr="00B63159">
        <w:t xml:space="preserve"> par le procédé </w:t>
      </w:r>
      <w:r w:rsidR="00B63159">
        <w:rPr>
          <w:lang w:val="en-US"/>
        </w:rPr>
        <w:t>“</w:t>
      </w:r>
      <w:r w:rsidRPr="00B63159">
        <w:t>talon à talon</w:t>
      </w:r>
      <w:r w:rsidR="00B63159">
        <w:rPr>
          <w:lang w:val="en-US"/>
        </w:rPr>
        <w:t>”</w:t>
      </w:r>
      <w:r w:rsidRPr="00B63159">
        <w:t xml:space="preserve"> défini au paragraphe </w:t>
      </w:r>
      <w:r w:rsidRPr="00B63159">
        <w:rPr>
          <w:strike/>
        </w:rPr>
        <w:t>2.37.3</w:t>
      </w:r>
      <w:r w:rsidRPr="00B63159">
        <w:t xml:space="preserve"> </w:t>
      </w:r>
      <w:r w:rsidRPr="00B63159">
        <w:rPr>
          <w:b/>
        </w:rPr>
        <w:t xml:space="preserve">2.42.3 </w:t>
      </w:r>
      <w:r w:rsidRPr="00B63159">
        <w:t xml:space="preserve">ou par tout procédé dans lequel le matériau de la paroi est renouvelé doivent porter le symbole d’identification visé au paragraphe </w:t>
      </w:r>
      <w:r w:rsidRPr="005C0E63">
        <w:rPr>
          <w:strike/>
        </w:rPr>
        <w:t>2.21.4</w:t>
      </w:r>
      <w:r w:rsidRPr="00B63159">
        <w:t xml:space="preserve"> </w:t>
      </w:r>
      <w:r w:rsidRPr="00B63159">
        <w:rPr>
          <w:b/>
        </w:rPr>
        <w:t>2.26.4</w:t>
      </w:r>
      <w:r w:rsidRPr="00B63159">
        <w:t xml:space="preserve">, immédiatement après l’indication du diamètre de la jante telle que définie au paragraphe </w:t>
      </w:r>
      <w:r w:rsidRPr="00B63159">
        <w:rPr>
          <w:strike/>
        </w:rPr>
        <w:t>2.21.3</w:t>
      </w:r>
      <w:r w:rsidRPr="00B63159">
        <w:t xml:space="preserve"> </w:t>
      </w:r>
      <w:r w:rsidRPr="00B63159">
        <w:rPr>
          <w:b/>
        </w:rPr>
        <w:t>2.26.3</w:t>
      </w:r>
      <w:r w:rsidRPr="00B63159">
        <w:t>.</w:t>
      </w:r>
    </w:p>
    <w:p w:rsidR="00EA3CA1" w:rsidRPr="00B63159" w:rsidRDefault="00EA3CA1" w:rsidP="00B63159">
      <w:pPr>
        <w:pStyle w:val="SingleTxtG"/>
        <w:ind w:left="2552" w:hanging="1418"/>
      </w:pPr>
      <w:bookmarkStart w:id="1" w:name="A0_S3_2_13"/>
      <w:r w:rsidRPr="00B63159">
        <w:rPr>
          <w:strike/>
        </w:rPr>
        <w:t>3.2.14</w:t>
      </w:r>
      <w:bookmarkEnd w:id="1"/>
      <w:r w:rsidRPr="00B63159">
        <w:t xml:space="preserve"> </w:t>
      </w:r>
      <w:r w:rsidRPr="00B63159">
        <w:rPr>
          <w:b/>
        </w:rPr>
        <w:t>3.2.15</w:t>
      </w:r>
      <w:r w:rsidRPr="00B63159">
        <w:rPr>
          <w:b/>
        </w:rPr>
        <w:tab/>
      </w:r>
      <w:r w:rsidRPr="00B63159">
        <w:t xml:space="preserve">La mention </w:t>
      </w:r>
      <w:r w:rsidR="00B63159">
        <w:rPr>
          <w:lang w:val="en-US"/>
        </w:rPr>
        <w:t>“</w:t>
      </w:r>
      <w:r w:rsidRPr="00B63159">
        <w:t>LT</w:t>
      </w:r>
      <w:r w:rsidR="00B63159">
        <w:rPr>
          <w:lang w:val="en-US"/>
        </w:rPr>
        <w:t>”</w:t>
      </w:r>
      <w:r w:rsidRPr="00B63159">
        <w:t xml:space="preserve"> avant ou </w:t>
      </w:r>
      <w:r w:rsidR="00B63159">
        <w:rPr>
          <w:lang w:val="en-US"/>
        </w:rPr>
        <w:t>“</w:t>
      </w:r>
      <w:r w:rsidRPr="00B63159">
        <w:t>C</w:t>
      </w:r>
      <w:r w:rsidR="00B63159">
        <w:rPr>
          <w:lang w:val="en-US"/>
        </w:rPr>
        <w:t>”</w:t>
      </w:r>
      <w:r w:rsidRPr="00B63159">
        <w:t xml:space="preserve"> ou </w:t>
      </w:r>
      <w:r w:rsidR="00B63159">
        <w:rPr>
          <w:lang w:val="en-US"/>
        </w:rPr>
        <w:t>“</w:t>
      </w:r>
      <w:r w:rsidRPr="00B63159">
        <w:t>LT</w:t>
      </w:r>
      <w:r w:rsidR="00B63159">
        <w:rPr>
          <w:lang w:val="en-US"/>
        </w:rPr>
        <w:t>”</w:t>
      </w:r>
      <w:r w:rsidRPr="00B63159">
        <w:t xml:space="preserve"> après la marque du diamètre de la jante visée au paragraphe </w:t>
      </w:r>
      <w:r w:rsidRPr="00B63159">
        <w:rPr>
          <w:strike/>
        </w:rPr>
        <w:t>2.21.3</w:t>
      </w:r>
      <w:r w:rsidRPr="00B63159">
        <w:t xml:space="preserve"> </w:t>
      </w:r>
      <w:r w:rsidRPr="00B63159">
        <w:rPr>
          <w:b/>
        </w:rPr>
        <w:t>2.26.3</w:t>
      </w:r>
      <w:r w:rsidRPr="00B63159">
        <w:t xml:space="preserve"> et, le cas échéant, après le symbole de la configuration du montage du pneu sur la jante visé au paragraphe </w:t>
      </w:r>
      <w:r w:rsidRPr="00B63159">
        <w:rPr>
          <w:strike/>
        </w:rPr>
        <w:t>2.21.4</w:t>
      </w:r>
      <w:r w:rsidRPr="00B63159">
        <w:t xml:space="preserve"> </w:t>
      </w:r>
      <w:r w:rsidRPr="00B63159">
        <w:rPr>
          <w:b/>
        </w:rPr>
        <w:t>2.26.4</w:t>
      </w:r>
      <w:r w:rsidRPr="00B63159">
        <w:t xml:space="preserve">, ou la mention </w:t>
      </w:r>
      <w:r w:rsidR="00B63159">
        <w:rPr>
          <w:lang w:val="en-US"/>
        </w:rPr>
        <w:t>“</w:t>
      </w:r>
      <w:r w:rsidRPr="00B63159">
        <w:t>LT</w:t>
      </w:r>
      <w:r w:rsidR="00B63159">
        <w:rPr>
          <w:lang w:val="en-US"/>
        </w:rPr>
        <w:t>”</w:t>
      </w:r>
      <w:r w:rsidRPr="00B63159">
        <w:t xml:space="preserve"> apr</w:t>
      </w:r>
      <w:r w:rsidR="00B63159">
        <w:t>ès la description de service. »</w:t>
      </w:r>
    </w:p>
    <w:p w:rsidR="00EA3CA1" w:rsidRPr="00B63159" w:rsidRDefault="00EA3CA1" w:rsidP="00B63159">
      <w:pPr>
        <w:pStyle w:val="SingleTxtG"/>
        <w:keepNext/>
        <w:keepLines/>
      </w:pPr>
      <w:r w:rsidRPr="00B63159">
        <w:rPr>
          <w:i/>
        </w:rPr>
        <w:t xml:space="preserve">Les paragraphes 3.2.14.1 et 3.2.14.2 </w:t>
      </w:r>
      <w:r w:rsidRPr="00B63159">
        <w:t>deviennent les paragraphes 3.2.15.1 et 3.2.15.2.</w:t>
      </w:r>
    </w:p>
    <w:p w:rsidR="00EA3CA1" w:rsidRPr="00B63159" w:rsidRDefault="00EA3CA1" w:rsidP="00B63159">
      <w:pPr>
        <w:pStyle w:val="SingleTxtG"/>
        <w:keepNext/>
        <w:keepLines/>
      </w:pPr>
      <w:r w:rsidRPr="00B63159">
        <w:rPr>
          <w:i/>
        </w:rPr>
        <w:t>Ancien paragraphe 3.2.15</w:t>
      </w:r>
      <w:r w:rsidRPr="00B63159">
        <w:t>, modifier comme suit :</w:t>
      </w:r>
    </w:p>
    <w:p w:rsidR="00EA3CA1" w:rsidRPr="00B63159" w:rsidRDefault="00EA3CA1" w:rsidP="00B63159">
      <w:pPr>
        <w:pStyle w:val="SingleTxtG"/>
        <w:ind w:left="2552" w:hanging="1418"/>
      </w:pPr>
      <w:r w:rsidRPr="00B63159">
        <w:t>« </w:t>
      </w:r>
      <w:r w:rsidRPr="002773C4">
        <w:rPr>
          <w:strike/>
        </w:rPr>
        <w:t>3.2.15</w:t>
      </w:r>
      <w:r w:rsidRPr="00B63159">
        <w:t xml:space="preserve"> </w:t>
      </w:r>
      <w:r w:rsidRPr="00B63159">
        <w:rPr>
          <w:b/>
        </w:rPr>
        <w:t>3.2.16</w:t>
      </w:r>
      <w:r w:rsidRPr="00B63159">
        <w:tab/>
        <w:t xml:space="preserve">La mention </w:t>
      </w:r>
      <w:r w:rsidR="00B63159">
        <w:rPr>
          <w:lang w:val="en-US"/>
        </w:rPr>
        <w:t>“</w:t>
      </w:r>
      <w:r w:rsidRPr="00B63159">
        <w:t>CP</w:t>
      </w:r>
      <w:r w:rsidR="00B63159">
        <w:rPr>
          <w:lang w:val="en-US"/>
        </w:rPr>
        <w:t>”</w:t>
      </w:r>
      <w:r w:rsidRPr="00B63159">
        <w:t xml:space="preserve"> après la marque du diamètre de la jante visée au paragraphe </w:t>
      </w:r>
      <w:r w:rsidRPr="00B63159">
        <w:rPr>
          <w:strike/>
        </w:rPr>
        <w:t>2.21.3</w:t>
      </w:r>
      <w:r w:rsidRPr="00B63159">
        <w:t xml:space="preserve"> </w:t>
      </w:r>
      <w:r w:rsidRPr="00B63159">
        <w:rPr>
          <w:b/>
        </w:rPr>
        <w:t>2.26.3</w:t>
      </w:r>
      <w:r w:rsidRPr="00B63159">
        <w:t xml:space="preserve"> et, le cas échéant, après le symbole de la configuration du montage du pneu sur la jante visé au paragraphe </w:t>
      </w:r>
      <w:r w:rsidRPr="00B63159">
        <w:rPr>
          <w:strike/>
        </w:rPr>
        <w:t>2.21.4</w:t>
      </w:r>
      <w:r w:rsidRPr="00B63159">
        <w:t xml:space="preserve"> </w:t>
      </w:r>
      <w:r w:rsidRPr="00B63159">
        <w:rPr>
          <w:b/>
        </w:rPr>
        <w:t>2.26.4</w:t>
      </w:r>
      <w:r w:rsidRPr="00B63159">
        <w:t>. Cette indication est obligatoire pour les pneus montés sur jantes à base creuse à épaulement de 5°, dont l’indice de capacité de charge en m</w:t>
      </w:r>
      <w:r w:rsidR="00B63159">
        <w:t>ontage simple est au maximum de </w:t>
      </w:r>
      <w:r w:rsidRPr="00B63159">
        <w:t>121 et qui sont conçus spécifique</w:t>
      </w:r>
      <w:r w:rsidR="00B63159">
        <w:t>ment pour les autocaravanes. »</w:t>
      </w:r>
    </w:p>
    <w:p w:rsidR="00EA3CA1" w:rsidRPr="00B63159" w:rsidRDefault="00EA3CA1" w:rsidP="00B63159">
      <w:pPr>
        <w:pStyle w:val="SingleTxtG"/>
        <w:keepNext/>
        <w:keepLines/>
      </w:pPr>
      <w:r w:rsidRPr="00B63159">
        <w:rPr>
          <w:i/>
        </w:rPr>
        <w:t xml:space="preserve">Le paragraphe 3.2.16 </w:t>
      </w:r>
      <w:r w:rsidRPr="00B63159">
        <w:t>devient le paragraphe 3.2.17.</w:t>
      </w:r>
      <w:r w:rsidRPr="00B63159">
        <w:rPr>
          <w:i/>
        </w:rPr>
        <w:t xml:space="preserve"> </w:t>
      </w:r>
    </w:p>
    <w:p w:rsidR="00EA3CA1" w:rsidRPr="00B63159" w:rsidRDefault="00EA3CA1" w:rsidP="00B63159">
      <w:pPr>
        <w:pStyle w:val="SingleTxtG"/>
        <w:keepNext/>
        <w:keepLines/>
      </w:pPr>
      <w:r w:rsidRPr="00B63159">
        <w:rPr>
          <w:i/>
        </w:rPr>
        <w:t>Paragraphe 4.1</w:t>
      </w:r>
      <w:r w:rsidRPr="00B63159">
        <w:t>, modifier comme suit :</w:t>
      </w:r>
    </w:p>
    <w:p w:rsidR="00EA3CA1" w:rsidRPr="00B63159" w:rsidRDefault="00EA3CA1" w:rsidP="00B63159">
      <w:pPr>
        <w:pStyle w:val="SingleTxtG"/>
        <w:ind w:left="2552" w:hanging="1418"/>
      </w:pPr>
      <w:bookmarkStart w:id="2" w:name="A0_S4_1_"/>
      <w:r w:rsidRPr="00B63159">
        <w:t>« 4.1</w:t>
      </w:r>
      <w:bookmarkEnd w:id="2"/>
      <w:r w:rsidRPr="00B63159">
        <w:t xml:space="preserve"> </w:t>
      </w:r>
      <w:r w:rsidRPr="00B63159">
        <w:tab/>
        <w:t xml:space="preserve">La demande d’homologation d’une entreprise de rechapage est présentée soit par le </w:t>
      </w:r>
      <w:r w:rsidRPr="00B63159">
        <w:rPr>
          <w:b/>
        </w:rPr>
        <w:t xml:space="preserve">rechapeur </w:t>
      </w:r>
      <w:r w:rsidRPr="008A3D4A">
        <w:rPr>
          <w:strike/>
        </w:rPr>
        <w:t>détenteur de la marque de fabrique ou de commerce</w:t>
      </w:r>
      <w:r w:rsidRPr="00B63159">
        <w:t>, soit par son représentant dûment accrédité. Elle précise :</w:t>
      </w:r>
    </w:p>
    <w:p w:rsidR="00EA3CA1" w:rsidRPr="00B63159" w:rsidRDefault="008A3D4A" w:rsidP="00B63159">
      <w:pPr>
        <w:pStyle w:val="SingleTxtG"/>
        <w:ind w:left="2552" w:hanging="1418"/>
      </w:pPr>
      <w:r>
        <w:tab/>
        <w:t>... »</w:t>
      </w:r>
    </w:p>
    <w:p w:rsidR="00EA3CA1" w:rsidRPr="00B63159" w:rsidRDefault="00EA3CA1" w:rsidP="00EA3CA1">
      <w:pPr>
        <w:pStyle w:val="SingleTxtG"/>
      </w:pPr>
      <w:r w:rsidRPr="00B63159">
        <w:rPr>
          <w:i/>
        </w:rPr>
        <w:t>Paragraphe 4.1.3</w:t>
      </w:r>
      <w:r w:rsidRPr="00B63159">
        <w:t>, modifier comme suit :</w:t>
      </w:r>
    </w:p>
    <w:p w:rsidR="00EA3CA1" w:rsidRPr="00B63159" w:rsidRDefault="00EA3CA1" w:rsidP="00B63159">
      <w:pPr>
        <w:pStyle w:val="SingleTxtG"/>
        <w:ind w:left="2552" w:hanging="1418"/>
      </w:pPr>
      <w:r w:rsidRPr="00B63159">
        <w:t xml:space="preserve">« 4.1.3 </w:t>
      </w:r>
      <w:r w:rsidRPr="00B63159">
        <w:tab/>
      </w:r>
      <w:r w:rsidRPr="008A3D4A">
        <w:rPr>
          <w:strike/>
        </w:rPr>
        <w:t>Les noms ou marques de commerce</w:t>
      </w:r>
      <w:r w:rsidRPr="00B63159">
        <w:t xml:space="preserve"> </w:t>
      </w:r>
      <w:r w:rsidR="00292773">
        <w:rPr>
          <w:b/>
        </w:rPr>
        <w:t>Le(s) nom(s) de marque/</w:t>
      </w:r>
      <w:r w:rsidRPr="00B63159">
        <w:rPr>
          <w:b/>
        </w:rPr>
        <w:t>la/les marque(s) de fabrique</w:t>
      </w:r>
      <w:r w:rsidRPr="00B63159">
        <w:t xml:space="preserve"> à appl</w:t>
      </w:r>
      <w:r w:rsidR="008A3D4A">
        <w:t>iquer sur les pneus rechapés. »</w:t>
      </w:r>
    </w:p>
    <w:p w:rsidR="00EA3CA1" w:rsidRPr="00B63159" w:rsidRDefault="00EA3CA1" w:rsidP="00EA3CA1">
      <w:pPr>
        <w:pStyle w:val="SingleTxtG"/>
      </w:pPr>
      <w:r w:rsidRPr="00B63159">
        <w:rPr>
          <w:i/>
        </w:rPr>
        <w:t>Ajouter un nouveau paragraphe 4.1.4</w:t>
      </w:r>
      <w:r w:rsidRPr="00B63159">
        <w:t>, libellé comme suit :</w:t>
      </w:r>
    </w:p>
    <w:p w:rsidR="00EA3CA1" w:rsidRPr="00B63159" w:rsidRDefault="00EA3CA1" w:rsidP="00B63159">
      <w:pPr>
        <w:pStyle w:val="SingleTxtG"/>
        <w:ind w:left="2552" w:hanging="1418"/>
      </w:pPr>
      <w:r w:rsidRPr="00B63159">
        <w:t xml:space="preserve">« 4.1.4 </w:t>
      </w:r>
      <w:r w:rsidRPr="00B63159">
        <w:tab/>
      </w:r>
      <w:r w:rsidRPr="00B63159">
        <w:rPr>
          <w:b/>
        </w:rPr>
        <w:t>La o</w:t>
      </w:r>
      <w:r w:rsidR="00C4013A">
        <w:rPr>
          <w:b/>
        </w:rPr>
        <w:t>u les désignations commerciales/</w:t>
      </w:r>
      <w:r w:rsidRPr="00B63159">
        <w:rPr>
          <w:b/>
        </w:rPr>
        <w:t>le ou les noms commerciaux (voir</w:t>
      </w:r>
      <w:r w:rsidR="00E55084">
        <w:rPr>
          <w:b/>
        </w:rPr>
        <w:t xml:space="preserve"> par. </w:t>
      </w:r>
      <w:r w:rsidRPr="00B63159">
        <w:rPr>
          <w:b/>
        </w:rPr>
        <w:t>2.6) qui pourraient être appliqués sur les pneus rechapés.</w:t>
      </w:r>
      <w:r w:rsidR="00E55084">
        <w:t> »</w:t>
      </w:r>
    </w:p>
    <w:p w:rsidR="00EA3CA1" w:rsidRPr="00B63159" w:rsidRDefault="00EA3CA1" w:rsidP="00EA3CA1">
      <w:pPr>
        <w:pStyle w:val="SingleTxtG"/>
        <w:rPr>
          <w:i/>
        </w:rPr>
      </w:pPr>
      <w:r w:rsidRPr="00B63159">
        <w:rPr>
          <w:i/>
        </w:rPr>
        <w:t>Le paragraphe 4.1.4 et ses sous-paragraphes deviennent le paragraphe 4.1.5 et ses sous-paragraphes.</w:t>
      </w:r>
    </w:p>
    <w:p w:rsidR="00EA3CA1" w:rsidRPr="00B63159" w:rsidRDefault="00EA3CA1" w:rsidP="00E55084">
      <w:pPr>
        <w:pStyle w:val="SingleTxtG"/>
        <w:keepNext/>
        <w:keepLines/>
      </w:pPr>
      <w:r w:rsidRPr="00B63159">
        <w:rPr>
          <w:i/>
        </w:rPr>
        <w:t>Ancien paragraphe 4.1.4.4</w:t>
      </w:r>
      <w:r w:rsidRPr="00B63159">
        <w:t>, modifier comme suit :</w:t>
      </w:r>
    </w:p>
    <w:p w:rsidR="00EA3CA1" w:rsidRPr="00B63159" w:rsidRDefault="00EA3CA1" w:rsidP="00B63159">
      <w:pPr>
        <w:pStyle w:val="SingleTxtG"/>
        <w:ind w:left="2552" w:hanging="1418"/>
      </w:pPr>
      <w:r w:rsidRPr="00B63159">
        <w:t>« </w:t>
      </w:r>
      <w:r w:rsidRPr="00E55084">
        <w:rPr>
          <w:strike/>
        </w:rPr>
        <w:t>4.1.4.4</w:t>
      </w:r>
      <w:r w:rsidRPr="00B63159">
        <w:t xml:space="preserve"> </w:t>
      </w:r>
      <w:r w:rsidRPr="00B63159">
        <w:rPr>
          <w:b/>
        </w:rPr>
        <w:t>4.1.5.4</w:t>
      </w:r>
      <w:r w:rsidRPr="00B63159">
        <w:t xml:space="preserve"> Le système de rechapage et la méthode d’application des matériaux neufs, selon les paragraphes </w:t>
      </w:r>
      <w:r w:rsidRPr="00E55084">
        <w:rPr>
          <w:strike/>
        </w:rPr>
        <w:t>2.37</w:t>
      </w:r>
      <w:r w:rsidRPr="00B63159">
        <w:t xml:space="preserve"> </w:t>
      </w:r>
      <w:r w:rsidRPr="00B63159">
        <w:rPr>
          <w:b/>
        </w:rPr>
        <w:t>2.42</w:t>
      </w:r>
      <w:r w:rsidRPr="00B63159">
        <w:t xml:space="preserve"> et </w:t>
      </w:r>
      <w:r w:rsidRPr="00E55084">
        <w:rPr>
          <w:strike/>
        </w:rPr>
        <w:t>2.41</w:t>
      </w:r>
      <w:r w:rsidRPr="00B63159">
        <w:t xml:space="preserve"> </w:t>
      </w:r>
      <w:r w:rsidRPr="00B63159">
        <w:rPr>
          <w:b/>
        </w:rPr>
        <w:t>2.46</w:t>
      </w:r>
      <w:r w:rsidR="008A3D4A">
        <w:t> ; »</w:t>
      </w:r>
    </w:p>
    <w:p w:rsidR="00EA3CA1" w:rsidRPr="00B63159" w:rsidRDefault="00EA3CA1" w:rsidP="00E55084">
      <w:pPr>
        <w:pStyle w:val="SingleTxtG"/>
        <w:keepNext/>
        <w:keepLines/>
      </w:pPr>
      <w:r w:rsidRPr="00B63159">
        <w:rPr>
          <w:i/>
        </w:rPr>
        <w:t>Paragraphe 4.2.1</w:t>
      </w:r>
      <w:r w:rsidRPr="00B63159">
        <w:t>, modifier comme suit :</w:t>
      </w:r>
    </w:p>
    <w:p w:rsidR="00EA3CA1" w:rsidRPr="00B63159" w:rsidRDefault="00EA3CA1" w:rsidP="00B63159">
      <w:pPr>
        <w:pStyle w:val="SingleTxtG"/>
        <w:ind w:left="2552" w:hanging="1418"/>
      </w:pPr>
      <w:r w:rsidRPr="00B63159">
        <w:t>« 4.2.1</w:t>
      </w:r>
      <w:r w:rsidRPr="00B63159">
        <w:tab/>
        <w:t xml:space="preserve">D’informations détaillées sur les principales caractéristiques, y compris celles de la bande de roulement, en ce qui concerne leurs incidences sur les capacités d’adhérence sur neige des pneus de différentes dimensions répertoriés comme requis au paragraphe </w:t>
      </w:r>
      <w:r w:rsidRPr="00E55084">
        <w:rPr>
          <w:strike/>
        </w:rPr>
        <w:t>4.1.4.3.1</w:t>
      </w:r>
      <w:r w:rsidRPr="00B63159">
        <w:t xml:space="preserve"> </w:t>
      </w:r>
      <w:r w:rsidRPr="00B63159">
        <w:rPr>
          <w:b/>
        </w:rPr>
        <w:t>4.1.5.3.1</w:t>
      </w:r>
      <w:r w:rsidR="00E5255C">
        <w:t>… »</w:t>
      </w:r>
    </w:p>
    <w:p w:rsidR="00EA3CA1" w:rsidRPr="00B63159" w:rsidRDefault="00EA3CA1" w:rsidP="00EA3CA1">
      <w:pPr>
        <w:pStyle w:val="SingleTxtG"/>
      </w:pPr>
      <w:r w:rsidRPr="00B63159">
        <w:rPr>
          <w:i/>
        </w:rPr>
        <w:t>Paragraphe 5.5</w:t>
      </w:r>
      <w:r w:rsidRPr="00B63159">
        <w:t>, modifier comme suit :</w:t>
      </w:r>
    </w:p>
    <w:p w:rsidR="00EA3CA1" w:rsidRPr="00B63159" w:rsidRDefault="00EA3CA1" w:rsidP="00B63159">
      <w:pPr>
        <w:pStyle w:val="SingleTxtG"/>
        <w:ind w:left="2552" w:hanging="1418"/>
      </w:pPr>
      <w:r w:rsidRPr="00B63159">
        <w:t>« 5.5</w:t>
      </w:r>
      <w:r w:rsidRPr="00B63159">
        <w:tab/>
        <w:t xml:space="preserve">Pour chaque défaillance constatée pendant l’essai, deux échantillons supplémentaires d’un pneu ayant les mêmes spécifications seront soumis à l’essai. Si l’un ou l’autre de ces deux autres échantillons connaît une défaillance, un dernier prélèvement de deux échantillons sera soumis à l’essai. En cas de défaillance de </w:t>
      </w:r>
      <w:r w:rsidRPr="00122024">
        <w:rPr>
          <w:b/>
        </w:rPr>
        <w:t>l’un</w:t>
      </w:r>
      <w:r w:rsidRPr="00B63159">
        <w:t xml:space="preserve"> </w:t>
      </w:r>
      <w:r w:rsidRPr="00E55084">
        <w:rPr>
          <w:strike/>
        </w:rPr>
        <w:t>ou l’autre</w:t>
      </w:r>
      <w:r w:rsidRPr="00B63159">
        <w:t xml:space="preserve"> de ces deux derniers échantillons, la demande d’homologation de l’entrepri</w:t>
      </w:r>
      <w:r w:rsidR="00E55084">
        <w:t>se de rechapage sera refusée. »</w:t>
      </w:r>
    </w:p>
    <w:p w:rsidR="00EA3CA1" w:rsidRPr="00B63159" w:rsidRDefault="00EA3CA1" w:rsidP="00EA3CA1">
      <w:pPr>
        <w:pStyle w:val="SingleTxtG"/>
      </w:pPr>
      <w:r w:rsidRPr="00B63159">
        <w:rPr>
          <w:i/>
        </w:rPr>
        <w:t>Paragraphe 6.3.7</w:t>
      </w:r>
      <w:r w:rsidRPr="00B63159">
        <w:t xml:space="preserve"> (modification sans objet en français)</w:t>
      </w:r>
      <w:r w:rsidR="00E55084">
        <w:t>.</w:t>
      </w:r>
    </w:p>
    <w:p w:rsidR="00EA3CA1" w:rsidRPr="00B63159" w:rsidRDefault="00E55084" w:rsidP="00EA3CA1">
      <w:pPr>
        <w:pStyle w:val="SingleTxtG"/>
      </w:pPr>
      <w:r>
        <w:rPr>
          <w:i/>
        </w:rPr>
        <w:t>Paragraphe </w:t>
      </w:r>
      <w:r w:rsidR="00EA3CA1" w:rsidRPr="00B63159">
        <w:rPr>
          <w:i/>
        </w:rPr>
        <w:t>6.4.1</w:t>
      </w:r>
      <w:r w:rsidR="00EA3CA1" w:rsidRPr="00B63159">
        <w:t>, modifier comme suit :</w:t>
      </w:r>
    </w:p>
    <w:p w:rsidR="00EA3CA1" w:rsidRPr="00B63159" w:rsidRDefault="00EA3CA1" w:rsidP="00B63159">
      <w:pPr>
        <w:pStyle w:val="SingleTxtG"/>
        <w:ind w:left="2552" w:hanging="1418"/>
      </w:pPr>
      <w:r w:rsidRPr="00B63159">
        <w:t xml:space="preserve">« 6 4.1 </w:t>
      </w:r>
      <w:r w:rsidRPr="00B63159">
        <w:tab/>
        <w:t xml:space="preserve">Le rechapeur doit veiller à ce que le fabricant </w:t>
      </w:r>
      <w:r w:rsidRPr="00B63159">
        <w:rPr>
          <w:b/>
        </w:rPr>
        <w:t>du matériau</w:t>
      </w:r>
      <w:r w:rsidRPr="00B63159">
        <w:t xml:space="preserve"> ou le fournisseur des matériaux de réparation, y compris les emplâtres, se charge des tâches suivantes :</w:t>
      </w:r>
    </w:p>
    <w:p w:rsidR="00EA3CA1" w:rsidRPr="00B63159" w:rsidRDefault="00EA3CA1" w:rsidP="00B63159">
      <w:pPr>
        <w:pStyle w:val="SingleTxtG"/>
        <w:ind w:left="2552" w:hanging="1418"/>
      </w:pPr>
      <w:r w:rsidRPr="00B63159">
        <w:tab/>
        <w:t>…</w:t>
      </w:r>
    </w:p>
    <w:p w:rsidR="00EA3CA1" w:rsidRPr="00B63159" w:rsidRDefault="00E55084" w:rsidP="00B63159">
      <w:pPr>
        <w:pStyle w:val="SingleTxtG"/>
        <w:ind w:left="2552" w:hanging="1418"/>
      </w:pPr>
      <w:r>
        <w:tab/>
      </w:r>
      <w:r w:rsidR="00EA3CA1" w:rsidRPr="00B63159">
        <w:t xml:space="preserve">d) </w:t>
      </w:r>
      <w:r>
        <w:tab/>
      </w:r>
      <w:r w:rsidR="00EA3CA1" w:rsidRPr="00B63159">
        <w:t xml:space="preserve">S’assurer que tous les emplâtres sont capables de supporter le double de la pression de gonflage maximum préconisée par le fabricant du pneu </w:t>
      </w:r>
      <w:r w:rsidR="00EA3CA1" w:rsidRPr="00B63159">
        <w:rPr>
          <w:b/>
        </w:rPr>
        <w:t>d’origine</w:t>
      </w:r>
      <w:r>
        <w:t> ; »</w:t>
      </w:r>
    </w:p>
    <w:p w:rsidR="00EA3CA1" w:rsidRPr="00B63159" w:rsidRDefault="00EA3CA1" w:rsidP="00E55084">
      <w:pPr>
        <w:pStyle w:val="SingleTxtG"/>
        <w:keepNext/>
        <w:keepLines/>
      </w:pPr>
      <w:r w:rsidRPr="00B63159">
        <w:rPr>
          <w:i/>
        </w:rPr>
        <w:t>Paragraphe 6.4.4</w:t>
      </w:r>
      <w:r w:rsidRPr="00B63159">
        <w:t>, modifier comme suit :</w:t>
      </w:r>
    </w:p>
    <w:p w:rsidR="00EA3CA1" w:rsidRPr="00B63159" w:rsidRDefault="00EA3CA1" w:rsidP="00B63159">
      <w:pPr>
        <w:pStyle w:val="SingleTxtG"/>
        <w:ind w:left="2552" w:hanging="1418"/>
      </w:pPr>
      <w:r w:rsidRPr="00B63159">
        <w:t>« 6.4.4</w:t>
      </w:r>
      <w:r w:rsidRPr="00B63159">
        <w:tab/>
        <w:t xml:space="preserve">Le rechapeur doit assurer que le fabricant </w:t>
      </w:r>
      <w:r w:rsidRPr="00B63159">
        <w:rPr>
          <w:b/>
        </w:rPr>
        <w:t>du matériau</w:t>
      </w:r>
      <w:r w:rsidRPr="00B63159">
        <w:t xml:space="preserve"> ou le fournisseur du matériau utilisé pour la bande de roulement et les flancs définit les conditions d’entreposage et d’utilisation de ce matériau afin d’en préserver les qualités. Sur demande de l’entreprise de rechapage, cette information doit être fournie dans la langue officielle du pays où le matériau doit être utilisé. </w:t>
      </w:r>
    </w:p>
    <w:p w:rsidR="00EA3CA1" w:rsidRPr="00B63159" w:rsidRDefault="00EA3CA1" w:rsidP="00B63159">
      <w:pPr>
        <w:pStyle w:val="SingleTxtG"/>
        <w:ind w:left="2552" w:hanging="1418"/>
      </w:pPr>
      <w:r w:rsidRPr="00B63159">
        <w:t xml:space="preserve">6.4.4.1 </w:t>
      </w:r>
      <w:r w:rsidRPr="00B63159">
        <w:tab/>
        <w:t xml:space="preserve">Pour les pneus rechapés en utilisant du matériel de rechapage prévulcanisé, présentant une sculpture non visée au paragraphe 6.4.4.2 et devant répondre </w:t>
      </w:r>
      <w:r w:rsidR="00E55084">
        <w:t>aux prescriptions du paragraphe </w:t>
      </w:r>
      <w:r w:rsidRPr="00B63159">
        <w:t xml:space="preserve">7.2*, le rechapeur doit veiller à ce que le fabricant </w:t>
      </w:r>
      <w:r w:rsidRPr="00B63159">
        <w:rPr>
          <w:b/>
        </w:rPr>
        <w:t>du matériau</w:t>
      </w:r>
      <w:r w:rsidRPr="00B63159">
        <w:t xml:space="preserve"> ou le fournisseur du matériel de rechapage prévulcanisé fournisse</w:t>
      </w:r>
      <w:r w:rsidRPr="00B63159">
        <w:rPr>
          <w:b/>
        </w:rPr>
        <w:t>, soit directement à l’autorité d’homologation de type (ou au service technique), soit au rechapeur </w:t>
      </w:r>
      <w:r w:rsidRPr="00B63159">
        <w:t>:</w:t>
      </w:r>
    </w:p>
    <w:p w:rsidR="00EA3CA1" w:rsidRPr="00B63159" w:rsidRDefault="00E55084" w:rsidP="00B63159">
      <w:pPr>
        <w:pStyle w:val="SingleTxtG"/>
        <w:ind w:left="2552" w:hanging="1418"/>
      </w:pPr>
      <w:r>
        <w:tab/>
      </w:r>
      <w:r w:rsidR="00EA3CA1" w:rsidRPr="00B63159">
        <w:t xml:space="preserve">a) </w:t>
      </w:r>
      <w:r>
        <w:tab/>
      </w:r>
      <w:r w:rsidR="00EA3CA1" w:rsidRPr="00B63159">
        <w:t>Un exemplaire du (des) procès-verbal(aux) d’essai sur la (les) dimension(s) de pneu représentative(s) (</w:t>
      </w:r>
      <w:r w:rsidR="00EA3CA1" w:rsidRPr="00E55084">
        <w:rPr>
          <w:strike/>
        </w:rPr>
        <w:t>2.46</w:t>
      </w:r>
      <w:r w:rsidR="00EA3CA1" w:rsidRPr="00B63159">
        <w:t xml:space="preserve"> </w:t>
      </w:r>
      <w:r w:rsidR="00EA3CA1" w:rsidRPr="00B63159">
        <w:rPr>
          <w:b/>
        </w:rPr>
        <w:t>2.51</w:t>
      </w:r>
      <w:r w:rsidR="00EA3CA1" w:rsidRPr="00B63159">
        <w:t>),</w:t>
      </w:r>
      <w:r>
        <w:t xml:space="preserve"> comme indiqué dans l’appendice </w:t>
      </w:r>
      <w:r w:rsidR="00EA3CA1" w:rsidRPr="00B63159">
        <w:t>3 de l’annexe</w:t>
      </w:r>
      <w:r>
        <w:t> </w:t>
      </w:r>
      <w:r w:rsidR="00EA3CA1" w:rsidRPr="00B63159">
        <w:t>10, prouvant la conformité des bandes de roulement prévulcanisées aux pre</w:t>
      </w:r>
      <w:r>
        <w:t>scriptions du paragraphe 7.2… »</w:t>
      </w:r>
    </w:p>
    <w:p w:rsidR="00EA3CA1" w:rsidRPr="00B63159" w:rsidRDefault="00EA3CA1" w:rsidP="00E55084">
      <w:pPr>
        <w:pStyle w:val="SingleTxtG"/>
        <w:keepNext/>
        <w:keepLines/>
      </w:pPr>
      <w:r w:rsidRPr="00B63159">
        <w:rPr>
          <w:i/>
        </w:rPr>
        <w:t>Paragraphe 7.1.1.1</w:t>
      </w:r>
      <w:r w:rsidRPr="00B63159">
        <w:t>, modifier comme suit :</w:t>
      </w:r>
    </w:p>
    <w:p w:rsidR="00EA3CA1" w:rsidRPr="00B63159" w:rsidRDefault="00EA3CA1" w:rsidP="00292773">
      <w:pPr>
        <w:pStyle w:val="SingleTxtG"/>
        <w:keepNext/>
        <w:keepLines/>
        <w:ind w:left="2552" w:hanging="1418"/>
      </w:pPr>
      <w:r w:rsidRPr="00B63159">
        <w:t>« 7.1.1.1</w:t>
      </w:r>
      <w:r w:rsidRPr="00B63159">
        <w:tab/>
        <w:t>La grosseur du boudin est obtenue en utilisant la formule suivante :</w:t>
      </w:r>
    </w:p>
    <w:p w:rsidR="00EA3CA1" w:rsidRPr="00B63159" w:rsidRDefault="00E55084" w:rsidP="00E55084">
      <w:pPr>
        <w:pStyle w:val="SingleTxtG"/>
        <w:ind w:left="2552" w:hanging="1418"/>
      </w:pPr>
      <w:r>
        <w:tab/>
      </w:r>
      <w:r w:rsidR="00EA3CA1" w:rsidRPr="00B63159">
        <w:t>S = S</w:t>
      </w:r>
      <w:r w:rsidR="00EA3CA1" w:rsidRPr="00B63159">
        <w:rPr>
          <w:vertAlign w:val="subscript"/>
        </w:rPr>
        <w:t>1</w:t>
      </w:r>
      <w:r w:rsidR="00EA3CA1" w:rsidRPr="00B63159">
        <w:t xml:space="preserve"> + K (A - A</w:t>
      </w:r>
      <w:r w:rsidR="00EA3CA1" w:rsidRPr="00B63159">
        <w:rPr>
          <w:vertAlign w:val="subscript"/>
        </w:rPr>
        <w:t>1</w:t>
      </w:r>
      <w:r w:rsidR="00EA3CA1" w:rsidRPr="00B63159">
        <w:t>)</w:t>
      </w:r>
    </w:p>
    <w:p w:rsidR="00EA3CA1" w:rsidRPr="00B63159" w:rsidRDefault="00EA3CA1" w:rsidP="00E55084">
      <w:pPr>
        <w:pStyle w:val="SingleTxtG"/>
        <w:ind w:left="2552" w:hanging="1418"/>
      </w:pPr>
      <w:r w:rsidRPr="00B63159">
        <w:tab/>
        <w:t>où :</w:t>
      </w:r>
    </w:p>
    <w:p w:rsidR="00EA3CA1" w:rsidRPr="00B63159" w:rsidRDefault="00E55084" w:rsidP="00E55084">
      <w:pPr>
        <w:pStyle w:val="SingleTxtG"/>
        <w:ind w:left="3119" w:hanging="567"/>
      </w:pPr>
      <w:r>
        <w:t>S </w:t>
      </w:r>
      <w:r w:rsidR="00EA3CA1" w:rsidRPr="00B63159">
        <w:t>:</w:t>
      </w:r>
      <w:r w:rsidR="00EA3CA1" w:rsidRPr="00B63159">
        <w:tab/>
        <w:t>est la grosseur réelle du boudin</w:t>
      </w:r>
      <w:r w:rsidR="00EA3CA1" w:rsidRPr="00E55084">
        <w:rPr>
          <w:strike/>
        </w:rPr>
        <w:t>, exprimée en millimètres</w:t>
      </w:r>
      <w:r w:rsidR="00EA3CA1" w:rsidRPr="00B63159">
        <w:t xml:space="preserve">, </w:t>
      </w:r>
      <w:r w:rsidR="00EA3CA1" w:rsidRPr="00B63159">
        <w:rPr>
          <w:b/>
        </w:rPr>
        <w:t>arrondie au millimètre le plus proche et</w:t>
      </w:r>
      <w:r w:rsidR="00EA3CA1" w:rsidRPr="00B63159">
        <w:t xml:space="preserve"> mesurée sur la jante d’essai : </w:t>
      </w:r>
    </w:p>
    <w:p w:rsidR="00EA3CA1" w:rsidRPr="00B63159" w:rsidRDefault="00EA3CA1" w:rsidP="00E55084">
      <w:pPr>
        <w:pStyle w:val="SingleTxtG"/>
        <w:ind w:left="3119" w:hanging="567"/>
      </w:pPr>
      <w:r w:rsidRPr="00B63159">
        <w:t>S</w:t>
      </w:r>
      <w:r w:rsidRPr="00B63159">
        <w:rPr>
          <w:vertAlign w:val="subscript"/>
        </w:rPr>
        <w:t>1</w:t>
      </w:r>
      <w:r w:rsidR="00E55084">
        <w:rPr>
          <w:vertAlign w:val="subscript"/>
        </w:rPr>
        <w:t> </w:t>
      </w:r>
      <w:r w:rsidR="00E55084">
        <w:t>:</w:t>
      </w:r>
      <w:r w:rsidRPr="00B63159">
        <w:tab/>
        <w:t xml:space="preserve">est la valeur de la </w:t>
      </w:r>
      <w:r w:rsidR="00E55084">
        <w:rPr>
          <w:lang w:val="en-US"/>
        </w:rPr>
        <w:t>“</w:t>
      </w:r>
      <w:r w:rsidRPr="00B63159">
        <w:t>grosseur de boudin théorique</w:t>
      </w:r>
      <w:r w:rsidR="00E55084">
        <w:rPr>
          <w:lang w:val="en-US"/>
        </w:rPr>
        <w:t>”</w:t>
      </w:r>
      <w:r w:rsidRPr="00B63159">
        <w:t xml:space="preserve"> par rapport à la jante de mesure, selon la Norme internationale sur les pneus spécifiée par l’entreprise de rechapage pour la taille de pneu en question ;</w:t>
      </w:r>
    </w:p>
    <w:p w:rsidR="00EA3CA1" w:rsidRPr="00B63159" w:rsidRDefault="00E55084" w:rsidP="00E55084">
      <w:pPr>
        <w:pStyle w:val="SingleTxtG"/>
        <w:ind w:left="3119" w:hanging="567"/>
      </w:pPr>
      <w:r>
        <w:t>A :</w:t>
      </w:r>
      <w:r w:rsidR="00EA3CA1" w:rsidRPr="00B63159">
        <w:tab/>
        <w:t>est la largeur de la jante d’essai, exprimée en millimètres ;</w:t>
      </w:r>
    </w:p>
    <w:p w:rsidR="00EA3CA1" w:rsidRPr="00B63159" w:rsidRDefault="00EA3CA1" w:rsidP="00E55084">
      <w:pPr>
        <w:pStyle w:val="SingleTxtG"/>
        <w:ind w:left="3119" w:hanging="567"/>
      </w:pPr>
      <w:r w:rsidRPr="00B63159">
        <w:t>A</w:t>
      </w:r>
      <w:r w:rsidRPr="00B63159">
        <w:rPr>
          <w:vertAlign w:val="subscript"/>
        </w:rPr>
        <w:t>1</w:t>
      </w:r>
      <w:r w:rsidR="00E55084">
        <w:rPr>
          <w:vertAlign w:val="subscript"/>
        </w:rPr>
        <w:t> </w:t>
      </w:r>
      <w:r w:rsidR="00E55084">
        <w:t>:</w:t>
      </w:r>
      <w:r w:rsidRPr="00B63159">
        <w:tab/>
        <w:t>est la largeur exprimée en millimètres de la jante de mesure selon la Norme internationale sur les pneumatiques spécifiée par l’entreprise de rechapage pour la taille de pneu en question ;</w:t>
      </w:r>
    </w:p>
    <w:p w:rsidR="00EA3CA1" w:rsidRPr="00B63159" w:rsidRDefault="00E55084" w:rsidP="00E55084">
      <w:pPr>
        <w:pStyle w:val="SingleTxtG"/>
        <w:ind w:left="3119" w:hanging="567"/>
      </w:pPr>
      <w:r>
        <w:t>K :</w:t>
      </w:r>
      <w:r w:rsidR="00EA3CA1" w:rsidRPr="00B63159">
        <w:tab/>
        <w:t xml:space="preserve">est un facteur, qui sera considéré comme égal à 0,4. </w:t>
      </w:r>
    </w:p>
    <w:p w:rsidR="00EA3CA1" w:rsidRPr="00B63159" w:rsidRDefault="00EA3CA1" w:rsidP="00B63159">
      <w:pPr>
        <w:pStyle w:val="SingleTxtG"/>
        <w:ind w:left="2552" w:hanging="1418"/>
      </w:pPr>
      <w:r w:rsidRPr="00B63159">
        <w:t>7.1.1.1.1</w:t>
      </w:r>
      <w:r w:rsidRPr="00B63159">
        <w:tab/>
        <w:t>Sur les pneus ayant une configuration de</w:t>
      </w:r>
      <w:r w:rsidR="00E55084">
        <w:t xml:space="preserve"> montage de type </w:t>
      </w:r>
      <w:r w:rsidR="00E55084">
        <w:rPr>
          <w:lang w:val="en-US"/>
        </w:rPr>
        <w:t>“</w:t>
      </w:r>
      <w:r w:rsidR="00E55084">
        <w:t>A</w:t>
      </w:r>
      <w:r w:rsidR="00E55084">
        <w:rPr>
          <w:lang w:val="en-US"/>
        </w:rPr>
        <w:t>”</w:t>
      </w:r>
      <w:r w:rsidR="00E55084">
        <w:t xml:space="preserve"> (voir par. </w:t>
      </w:r>
      <w:r w:rsidRPr="00E55084">
        <w:rPr>
          <w:strike/>
        </w:rPr>
        <w:t>2.21.4</w:t>
      </w:r>
      <w:r w:rsidRPr="00B63159">
        <w:t xml:space="preserve"> </w:t>
      </w:r>
      <w:r w:rsidRPr="00B63159">
        <w:rPr>
          <w:b/>
        </w:rPr>
        <w:t>2.26.4.1</w:t>
      </w:r>
      <w:r w:rsidRPr="00B63159">
        <w:t xml:space="preserve">), le facteur </w:t>
      </w:r>
      <w:r w:rsidR="00E55084">
        <w:rPr>
          <w:lang w:val="en-US"/>
        </w:rPr>
        <w:t>“</w:t>
      </w:r>
      <w:r w:rsidRPr="00B63159">
        <w:t>K</w:t>
      </w:r>
      <w:r w:rsidR="00E55084">
        <w:rPr>
          <w:lang w:val="en-US"/>
        </w:rPr>
        <w:t>”</w:t>
      </w:r>
      <w:r w:rsidR="00E55084">
        <w:t xml:space="preserve"> doit être égal à 0,6. »</w:t>
      </w:r>
    </w:p>
    <w:p w:rsidR="00EA3CA1" w:rsidRPr="00B63159" w:rsidRDefault="00EA3CA1" w:rsidP="00E55084">
      <w:pPr>
        <w:pStyle w:val="SingleTxtG"/>
        <w:keepNext/>
        <w:keepLines/>
      </w:pPr>
      <w:r w:rsidRPr="00B63159">
        <w:rPr>
          <w:i/>
        </w:rPr>
        <w:t>Paragraphe 7.1.2.1</w:t>
      </w:r>
      <w:r w:rsidRPr="00B63159">
        <w:t>, modifier comme suit :</w:t>
      </w:r>
    </w:p>
    <w:p w:rsidR="00EA3CA1" w:rsidRPr="00B63159" w:rsidRDefault="00EA3CA1" w:rsidP="00292773">
      <w:pPr>
        <w:pStyle w:val="SingleTxtG"/>
        <w:keepNext/>
        <w:keepLines/>
        <w:ind w:left="2552" w:hanging="1418"/>
      </w:pPr>
      <w:r w:rsidRPr="00B63159">
        <w:t>« 7.1.2.1</w:t>
      </w:r>
      <w:r w:rsidRPr="00B63159">
        <w:tab/>
        <w:t>Le diamètre extérieur théorique d’un pneu rechapé est obtenu en utilisant la formule suivante :</w:t>
      </w:r>
    </w:p>
    <w:p w:rsidR="00EA3CA1" w:rsidRPr="00B63159" w:rsidRDefault="00EA3CA1" w:rsidP="00E55084">
      <w:pPr>
        <w:pStyle w:val="SingleTxtG"/>
        <w:ind w:left="3119" w:hanging="567"/>
      </w:pPr>
      <w:r w:rsidRPr="00B63159">
        <w:t>D = d + 2H</w:t>
      </w:r>
    </w:p>
    <w:p w:rsidR="00EA3CA1" w:rsidRPr="00B63159" w:rsidRDefault="00EA3CA1" w:rsidP="00E55084">
      <w:pPr>
        <w:pStyle w:val="SingleTxtG"/>
        <w:ind w:left="3119" w:hanging="567"/>
      </w:pPr>
      <w:r w:rsidRPr="00B63159">
        <w:t>où :</w:t>
      </w:r>
    </w:p>
    <w:p w:rsidR="00EA3CA1" w:rsidRPr="00B63159" w:rsidRDefault="00EA3CA1" w:rsidP="00E55084">
      <w:pPr>
        <w:pStyle w:val="SingleTxtG"/>
        <w:ind w:left="3119" w:hanging="567"/>
      </w:pPr>
      <w:r w:rsidRPr="00B63159">
        <w:t>D :</w:t>
      </w:r>
      <w:r w:rsidRPr="00B63159">
        <w:tab/>
        <w:t>est le diamètre extérieur théorique exprimé en millimètres ;</w:t>
      </w:r>
    </w:p>
    <w:p w:rsidR="00EA3CA1" w:rsidRPr="00B63159" w:rsidRDefault="00EA3CA1" w:rsidP="00E55084">
      <w:pPr>
        <w:pStyle w:val="SingleTxtG"/>
        <w:ind w:left="3119" w:hanging="567"/>
      </w:pPr>
      <w:r w:rsidRPr="00B63159">
        <w:t>d:</w:t>
      </w:r>
      <w:r w:rsidRPr="00B63159">
        <w:tab/>
        <w:t xml:space="preserve">est le nombre conventionnel défini au paragraphe </w:t>
      </w:r>
      <w:r w:rsidRPr="00E55084">
        <w:rPr>
          <w:strike/>
        </w:rPr>
        <w:t>2.21.3</w:t>
      </w:r>
      <w:r w:rsidRPr="00B63159">
        <w:t xml:space="preserve"> </w:t>
      </w:r>
      <w:r w:rsidRPr="00B63159">
        <w:rPr>
          <w:b/>
        </w:rPr>
        <w:t>2.26.3</w:t>
      </w:r>
      <w:r w:rsidRPr="00B63159">
        <w:t>, exprimé en millimètres ;</w:t>
      </w:r>
    </w:p>
    <w:p w:rsidR="00EA3CA1" w:rsidRPr="00B63159" w:rsidRDefault="00EA3CA1" w:rsidP="00E55084">
      <w:pPr>
        <w:pStyle w:val="SingleTxtG"/>
        <w:ind w:left="3119" w:hanging="567"/>
      </w:pPr>
      <w:r w:rsidRPr="00B63159">
        <w:t>H :</w:t>
      </w:r>
      <w:r w:rsidRPr="00B63159">
        <w:tab/>
        <w:t xml:space="preserve">est la hauteur nominale du boudin </w:t>
      </w:r>
      <w:r w:rsidRPr="00B63159">
        <w:rPr>
          <w:b/>
        </w:rPr>
        <w:t>arrondie au millimètre le plus proche</w:t>
      </w:r>
      <w:r w:rsidRPr="00B63159">
        <w:t xml:space="preserve"> </w:t>
      </w:r>
      <w:r w:rsidRPr="00E55084">
        <w:rPr>
          <w:strike/>
        </w:rPr>
        <w:t>exprimée en millimètres</w:t>
      </w:r>
      <w:r w:rsidRPr="00B63159">
        <w:t xml:space="preserve"> et égale à S</w:t>
      </w:r>
      <w:r w:rsidRPr="00B63159">
        <w:rPr>
          <w:vertAlign w:val="subscript"/>
        </w:rPr>
        <w:t>n</w:t>
      </w:r>
      <w:r w:rsidR="00E55084">
        <w:t xml:space="preserve"> multiplié par 0,01 </w:t>
      </w:r>
      <w:r w:rsidRPr="00B63159">
        <w:t>Ra</w:t>
      </w:r>
    </w:p>
    <w:p w:rsidR="00EA3CA1" w:rsidRPr="00B63159" w:rsidRDefault="00EA3CA1" w:rsidP="00E55084">
      <w:pPr>
        <w:pStyle w:val="SingleTxtG"/>
        <w:ind w:left="3119" w:hanging="567"/>
      </w:pPr>
      <w:r w:rsidRPr="00B63159">
        <w:t>où :</w:t>
      </w:r>
    </w:p>
    <w:p w:rsidR="00EA3CA1" w:rsidRPr="00B63159" w:rsidRDefault="00EA3CA1" w:rsidP="00E55084">
      <w:pPr>
        <w:pStyle w:val="SingleTxtG"/>
        <w:ind w:left="3119" w:hanging="567"/>
      </w:pPr>
      <w:r w:rsidRPr="00B63159">
        <w:t>S</w:t>
      </w:r>
      <w:r w:rsidRPr="00B63159">
        <w:rPr>
          <w:vertAlign w:val="subscript"/>
        </w:rPr>
        <w:t>n </w:t>
      </w:r>
      <w:r w:rsidRPr="00B63159">
        <w:t>:</w:t>
      </w:r>
      <w:r w:rsidRPr="00B63159">
        <w:tab/>
        <w:t>est la grosseur nominale du boudin exprimée en millimètres ;</w:t>
      </w:r>
    </w:p>
    <w:p w:rsidR="00EA3CA1" w:rsidRPr="00B63159" w:rsidRDefault="00EA3CA1" w:rsidP="00E55084">
      <w:pPr>
        <w:pStyle w:val="SingleTxtG"/>
        <w:ind w:left="3119" w:hanging="567"/>
      </w:pPr>
      <w:r w:rsidRPr="00B63159">
        <w:t>Ra :</w:t>
      </w:r>
      <w:r w:rsidRPr="00B63159">
        <w:tab/>
        <w:t>est le rapport nominal d’aspect.</w:t>
      </w:r>
    </w:p>
    <w:p w:rsidR="00EA3CA1" w:rsidRPr="00B63159" w:rsidRDefault="00EA3CA1" w:rsidP="00E55084">
      <w:pPr>
        <w:pStyle w:val="SingleTxtG"/>
        <w:ind w:left="2552"/>
      </w:pPr>
      <w:r w:rsidRPr="00B63159">
        <w:t xml:space="preserve">La totalité des symboles ci-dessus sont tels que figurant sur le flanc du pneu dans la désignation de celui-ci conformément aux prescriptions du paragraphe </w:t>
      </w:r>
      <w:r w:rsidRPr="00E55084">
        <w:rPr>
          <w:strike/>
        </w:rPr>
        <w:t>3.2.2</w:t>
      </w:r>
      <w:r w:rsidRPr="00B63159">
        <w:t xml:space="preserve"> </w:t>
      </w:r>
      <w:r w:rsidRPr="00B63159">
        <w:rPr>
          <w:b/>
        </w:rPr>
        <w:t xml:space="preserve">3.2.3 </w:t>
      </w:r>
      <w:r w:rsidRPr="00B63159">
        <w:t xml:space="preserve">et selon le paragraphe </w:t>
      </w:r>
      <w:r w:rsidRPr="00E55084">
        <w:rPr>
          <w:strike/>
        </w:rPr>
        <w:t>2.21</w:t>
      </w:r>
      <w:r w:rsidRPr="00B63159">
        <w:t xml:space="preserve"> </w:t>
      </w:r>
      <w:r w:rsidRPr="00B63159">
        <w:rPr>
          <w:b/>
        </w:rPr>
        <w:t>2.26</w:t>
      </w:r>
      <w:r w:rsidRPr="00B63159">
        <w:t xml:space="preserve">. </w:t>
      </w:r>
    </w:p>
    <w:p w:rsidR="00EA3CA1" w:rsidRPr="00B63159" w:rsidRDefault="00EA3CA1" w:rsidP="00E55084">
      <w:pPr>
        <w:pStyle w:val="SingleTxtG"/>
        <w:keepNext/>
        <w:keepLines/>
      </w:pPr>
      <w:r w:rsidRPr="00B63159">
        <w:rPr>
          <w:i/>
        </w:rPr>
        <w:t>Paragraphe 7.1.2.3</w:t>
      </w:r>
      <w:r w:rsidRPr="00B63159">
        <w:t>, modifier comme suit :</w:t>
      </w:r>
    </w:p>
    <w:p w:rsidR="00EA3CA1" w:rsidRPr="00B63159" w:rsidRDefault="00EA3CA1" w:rsidP="00B63159">
      <w:pPr>
        <w:pStyle w:val="SingleTxtG"/>
        <w:ind w:left="2552" w:hanging="1418"/>
      </w:pPr>
      <w:r w:rsidRPr="00B63159">
        <w:t xml:space="preserve">« 7.1.2.3 </w:t>
      </w:r>
      <w:r w:rsidRPr="00B63159">
        <w:tab/>
        <w:t xml:space="preserve">Sur les pneus ayant une configuration de montage de type </w:t>
      </w:r>
      <w:r w:rsidR="00E55084">
        <w:rPr>
          <w:lang w:val="en-US"/>
        </w:rPr>
        <w:t>“</w:t>
      </w:r>
      <w:r w:rsidRPr="00B63159">
        <w:t>A</w:t>
      </w:r>
      <w:r w:rsidR="00E55084">
        <w:rPr>
          <w:lang w:val="en-US"/>
        </w:rPr>
        <w:t>”</w:t>
      </w:r>
      <w:r w:rsidR="00E55084">
        <w:t xml:space="preserve"> (voir par. </w:t>
      </w:r>
      <w:r w:rsidRPr="00E55084">
        <w:rPr>
          <w:strike/>
        </w:rPr>
        <w:t>2.21.4</w:t>
      </w:r>
      <w:r w:rsidRPr="00B63159">
        <w:t xml:space="preserve"> </w:t>
      </w:r>
      <w:r w:rsidRPr="00B63159">
        <w:rPr>
          <w:b/>
        </w:rPr>
        <w:t>2.26.4</w:t>
      </w:r>
      <w:r w:rsidRPr="00B63159">
        <w:t xml:space="preserve">), le diamètre extérieur est celui qui est indiqué dans la désignation de dimension du pneu </w:t>
      </w:r>
      <w:r w:rsidR="00E55084">
        <w:t>qui figure sur son flan. »</w:t>
      </w:r>
    </w:p>
    <w:p w:rsidR="00EA3CA1" w:rsidRPr="00B63159" w:rsidRDefault="00E55084" w:rsidP="00E55084">
      <w:pPr>
        <w:pStyle w:val="SingleTxtG"/>
        <w:keepNext/>
        <w:keepLines/>
      </w:pPr>
      <w:r>
        <w:rPr>
          <w:i/>
        </w:rPr>
        <w:t>Paragraphe </w:t>
      </w:r>
      <w:r w:rsidR="00EA3CA1" w:rsidRPr="00B63159">
        <w:rPr>
          <w:i/>
        </w:rPr>
        <w:t>7.1.4.2</w:t>
      </w:r>
      <w:r w:rsidR="00EA3CA1" w:rsidRPr="00B63159">
        <w:t>, modifier comme suit :</w:t>
      </w:r>
    </w:p>
    <w:p w:rsidR="00EA3CA1" w:rsidRPr="00B63159" w:rsidRDefault="00EA3CA1" w:rsidP="00B63159">
      <w:pPr>
        <w:pStyle w:val="SingleTxtG"/>
        <w:ind w:left="2552" w:hanging="1418"/>
      </w:pPr>
      <w:r w:rsidRPr="00B63159">
        <w:t>« 7.1.4.2</w:t>
      </w:r>
      <w:r w:rsidRPr="00B63159">
        <w:tab/>
        <w:t>Elle pe</w:t>
      </w:r>
      <w:r w:rsidR="00E55084">
        <w:t>ut dépasser cette valeur de 5,5 </w:t>
      </w:r>
      <w:r w:rsidRPr="00B63159">
        <w:t xml:space="preserve">% dans le cas des pneus </w:t>
      </w:r>
      <w:r w:rsidR="00E55084">
        <w:t>à structure radiale et de 8 </w:t>
      </w:r>
      <w:r w:rsidRPr="00B63159">
        <w:t xml:space="preserve">% dans le cas des pneus à structure diagonale. Toutefois, pour les pneus </w:t>
      </w:r>
      <w:r w:rsidRPr="00E55084">
        <w:rPr>
          <w:strike/>
        </w:rPr>
        <w:t>dont la grosseur de boudi</w:t>
      </w:r>
      <w:r w:rsidR="00E55084" w:rsidRPr="00E55084">
        <w:rPr>
          <w:strike/>
        </w:rPr>
        <w:t>n nominale est supérieure à 305 </w:t>
      </w:r>
      <w:r w:rsidRPr="00E55084">
        <w:rPr>
          <w:strike/>
        </w:rPr>
        <w:t>mm</w:t>
      </w:r>
      <w:r w:rsidRPr="00B63159">
        <w:t xml:space="preserve"> qui sont destinés à un montage jumelé, </w:t>
      </w:r>
      <w:r w:rsidR="00E55084">
        <w:rPr>
          <w:b/>
        </w:rPr>
        <w:t>énumérés dans la colonne </w:t>
      </w:r>
      <w:r w:rsidRPr="00B63159">
        <w:rPr>
          <w:b/>
        </w:rPr>
        <w:t>A du tableau ci-après, la grosseur hors tout du pneu peut être supérieure à</w:t>
      </w:r>
      <w:r w:rsidRPr="00B63159">
        <w:t xml:space="preserve"> la valeur nominale déterminée conformément au paragraphe 7.1.1 ci-dessus </w:t>
      </w:r>
      <w:r w:rsidRPr="00B63159">
        <w:rPr>
          <w:b/>
        </w:rPr>
        <w:t>compte tenu des tolé</w:t>
      </w:r>
      <w:r w:rsidR="00E55084">
        <w:rPr>
          <w:b/>
        </w:rPr>
        <w:t>rances figurant dans la colonne </w:t>
      </w:r>
      <w:r w:rsidRPr="00B63159">
        <w:rPr>
          <w:b/>
        </w:rPr>
        <w:t>B</w:t>
      </w:r>
      <w:r w:rsidRPr="00B63159">
        <w:t xml:space="preserve"> </w:t>
      </w:r>
      <w:r w:rsidRPr="00E55084">
        <w:rPr>
          <w:strike/>
        </w:rPr>
        <w:t>ne doit pas être dépassée de plus de 3,5 % pour les pneumatiques à structure radiale ayant un rapport nominal d’aspect supérieur à 60, ou de plus de 4 % pour les pneumatiques à structure diagonale</w:t>
      </w:r>
      <w:r w:rsidRPr="00B63159">
        <w:t xml:space="preserve">. </w:t>
      </w:r>
      <w:r w:rsidRPr="00B63159">
        <w:rPr>
          <w:b/>
        </w:rPr>
        <w:t>Les valeurs limites respectives doivent être arrondies au millimètre le plus proche</w:t>
      </w:r>
      <w:r w:rsidRPr="00B63159">
        <w:t>.</w:t>
      </w:r>
    </w:p>
    <w:tbl>
      <w:tblPr>
        <w:tblW w:w="5954" w:type="dxa"/>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9"/>
        <w:gridCol w:w="1125"/>
      </w:tblGrid>
      <w:tr w:rsidR="00EA3CA1" w:rsidRPr="00633472" w:rsidTr="00633472">
        <w:trPr>
          <w:tblHeader/>
        </w:trPr>
        <w:tc>
          <w:tcPr>
            <w:tcW w:w="5982" w:type="dxa"/>
            <w:shd w:val="clear" w:color="auto" w:fill="auto"/>
            <w:vAlign w:val="bottom"/>
          </w:tcPr>
          <w:p w:rsidR="00EA3CA1" w:rsidRPr="00633472" w:rsidRDefault="00EA3CA1" w:rsidP="00633472">
            <w:pPr>
              <w:spacing w:before="60" w:after="60"/>
              <w:ind w:left="57" w:right="57"/>
              <w:jc w:val="center"/>
              <w:rPr>
                <w:b/>
              </w:rPr>
            </w:pPr>
            <w:r w:rsidRPr="00633472">
              <w:rPr>
                <w:b/>
              </w:rPr>
              <w:t>A</w:t>
            </w:r>
          </w:p>
        </w:tc>
        <w:tc>
          <w:tcPr>
            <w:tcW w:w="1388" w:type="dxa"/>
            <w:shd w:val="clear" w:color="auto" w:fill="auto"/>
            <w:vAlign w:val="bottom"/>
          </w:tcPr>
          <w:p w:rsidR="00EA3CA1" w:rsidRPr="00633472" w:rsidRDefault="00EA3CA1" w:rsidP="00633472">
            <w:pPr>
              <w:spacing w:before="60" w:after="60"/>
              <w:ind w:left="57" w:right="57"/>
              <w:jc w:val="center"/>
              <w:rPr>
                <w:b/>
              </w:rPr>
            </w:pPr>
            <w:r w:rsidRPr="00633472">
              <w:rPr>
                <w:b/>
              </w:rPr>
              <w:t>B</w:t>
            </w:r>
          </w:p>
        </w:tc>
      </w:tr>
      <w:tr w:rsidR="00EA3CA1" w:rsidRPr="00633472" w:rsidTr="00633472">
        <w:tc>
          <w:tcPr>
            <w:tcW w:w="5982" w:type="dxa"/>
            <w:shd w:val="clear" w:color="auto" w:fill="auto"/>
          </w:tcPr>
          <w:p w:rsidR="00EA3CA1" w:rsidRPr="00633472" w:rsidRDefault="00EA3CA1" w:rsidP="00633472">
            <w:pPr>
              <w:spacing w:before="60" w:after="60"/>
              <w:ind w:left="57" w:right="57"/>
              <w:rPr>
                <w:b/>
              </w:rPr>
            </w:pPr>
            <w:r w:rsidRPr="00633472">
              <w:rPr>
                <w:b/>
              </w:rPr>
              <w:t>Pneus à structure radiale dont la grosseur de boudin nominale est supérieure à 305 mm et ayant un rappo</w:t>
            </w:r>
            <w:r w:rsidR="00633472" w:rsidRPr="00633472">
              <w:rPr>
                <w:b/>
              </w:rPr>
              <w:t>rt nominal d’aspect supérieur à </w:t>
            </w:r>
            <w:r w:rsidRPr="00633472">
              <w:rPr>
                <w:b/>
              </w:rPr>
              <w:t>60</w:t>
            </w:r>
          </w:p>
        </w:tc>
        <w:tc>
          <w:tcPr>
            <w:tcW w:w="1388" w:type="dxa"/>
            <w:shd w:val="clear" w:color="auto" w:fill="auto"/>
          </w:tcPr>
          <w:p w:rsidR="00EA3CA1" w:rsidRPr="00633472" w:rsidRDefault="00633472" w:rsidP="00633472">
            <w:pPr>
              <w:spacing w:before="60" w:after="60"/>
              <w:ind w:left="57" w:right="57"/>
              <w:jc w:val="right"/>
              <w:rPr>
                <w:b/>
              </w:rPr>
            </w:pPr>
            <w:r w:rsidRPr="00633472">
              <w:rPr>
                <w:b/>
              </w:rPr>
              <w:t>3,5 </w:t>
            </w:r>
            <w:r w:rsidR="00EA3CA1" w:rsidRPr="00633472">
              <w:rPr>
                <w:b/>
              </w:rPr>
              <w:t>%</w:t>
            </w:r>
          </w:p>
        </w:tc>
      </w:tr>
      <w:tr w:rsidR="00EA3CA1" w:rsidRPr="00633472" w:rsidTr="00633472">
        <w:tc>
          <w:tcPr>
            <w:tcW w:w="5982" w:type="dxa"/>
            <w:shd w:val="clear" w:color="auto" w:fill="auto"/>
          </w:tcPr>
          <w:p w:rsidR="00EA3CA1" w:rsidRPr="00633472" w:rsidRDefault="00EA3CA1" w:rsidP="00633472">
            <w:pPr>
              <w:spacing w:before="60" w:after="60"/>
              <w:ind w:left="57" w:right="57"/>
              <w:rPr>
                <w:b/>
              </w:rPr>
            </w:pPr>
            <w:r w:rsidRPr="00633472">
              <w:rPr>
                <w:b/>
              </w:rPr>
              <w:t>Pneus à structure radiale énumérés à l’annexe 5 dont la grosseur</w:t>
            </w:r>
            <w:r w:rsidR="00633472" w:rsidRPr="00633472">
              <w:rPr>
                <w:b/>
              </w:rPr>
              <w:t xml:space="preserve"> de boudin est supérieure à 305 </w:t>
            </w:r>
            <w:r w:rsidRPr="00633472">
              <w:rPr>
                <w:b/>
              </w:rPr>
              <w:t>mm</w:t>
            </w:r>
          </w:p>
        </w:tc>
        <w:tc>
          <w:tcPr>
            <w:tcW w:w="1388" w:type="dxa"/>
            <w:shd w:val="clear" w:color="auto" w:fill="auto"/>
          </w:tcPr>
          <w:p w:rsidR="00EA3CA1" w:rsidRPr="00633472" w:rsidRDefault="00633472" w:rsidP="00633472">
            <w:pPr>
              <w:spacing w:before="60" w:after="60"/>
              <w:ind w:left="57" w:right="57"/>
              <w:jc w:val="right"/>
              <w:rPr>
                <w:b/>
              </w:rPr>
            </w:pPr>
            <w:r w:rsidRPr="00633472">
              <w:rPr>
                <w:b/>
              </w:rPr>
              <w:t>3,5 </w:t>
            </w:r>
            <w:r w:rsidR="00EA3CA1" w:rsidRPr="00633472">
              <w:rPr>
                <w:b/>
              </w:rPr>
              <w:t>%</w:t>
            </w:r>
          </w:p>
        </w:tc>
      </w:tr>
      <w:tr w:rsidR="00EA3CA1" w:rsidRPr="00633472" w:rsidTr="00633472">
        <w:tc>
          <w:tcPr>
            <w:tcW w:w="5982" w:type="dxa"/>
            <w:shd w:val="clear" w:color="auto" w:fill="auto"/>
          </w:tcPr>
          <w:p w:rsidR="00EA3CA1" w:rsidRPr="00633472" w:rsidRDefault="00EA3CA1" w:rsidP="00633472">
            <w:pPr>
              <w:spacing w:before="60" w:after="60"/>
              <w:ind w:left="57" w:right="57"/>
              <w:rPr>
                <w:b/>
              </w:rPr>
            </w:pPr>
            <w:r w:rsidRPr="00633472">
              <w:rPr>
                <w:b/>
              </w:rPr>
              <w:t>Pneus à structure diagonale dont la grosseur de boudi</w:t>
            </w:r>
            <w:r w:rsidR="00633472" w:rsidRPr="00633472">
              <w:rPr>
                <w:b/>
              </w:rPr>
              <w:t>n nominale est supérieure à 305 </w:t>
            </w:r>
            <w:r w:rsidRPr="00633472">
              <w:rPr>
                <w:b/>
              </w:rPr>
              <w:t>mm</w:t>
            </w:r>
          </w:p>
        </w:tc>
        <w:tc>
          <w:tcPr>
            <w:tcW w:w="1388" w:type="dxa"/>
            <w:shd w:val="clear" w:color="auto" w:fill="auto"/>
          </w:tcPr>
          <w:p w:rsidR="00EA3CA1" w:rsidRPr="00633472" w:rsidRDefault="00633472" w:rsidP="00633472">
            <w:pPr>
              <w:spacing w:before="60" w:after="60"/>
              <w:ind w:left="57" w:right="57"/>
              <w:jc w:val="right"/>
              <w:rPr>
                <w:b/>
              </w:rPr>
            </w:pPr>
            <w:r w:rsidRPr="00633472">
              <w:rPr>
                <w:b/>
              </w:rPr>
              <w:t>4 </w:t>
            </w:r>
            <w:r w:rsidR="00EA3CA1" w:rsidRPr="00633472">
              <w:rPr>
                <w:b/>
              </w:rPr>
              <w:t>%</w:t>
            </w:r>
          </w:p>
        </w:tc>
      </w:tr>
      <w:tr w:rsidR="00EA3CA1" w:rsidRPr="00633472" w:rsidTr="00633472">
        <w:tc>
          <w:tcPr>
            <w:tcW w:w="5982" w:type="dxa"/>
            <w:shd w:val="clear" w:color="auto" w:fill="auto"/>
          </w:tcPr>
          <w:p w:rsidR="00EA3CA1" w:rsidRPr="00633472" w:rsidRDefault="00EA3CA1" w:rsidP="00633472">
            <w:pPr>
              <w:spacing w:before="60" w:after="60"/>
              <w:ind w:left="57" w:right="57"/>
              <w:rPr>
                <w:b/>
              </w:rPr>
            </w:pPr>
            <w:r w:rsidRPr="00633472">
              <w:rPr>
                <w:b/>
              </w:rPr>
              <w:t>Pneus à structure diagonale énumérés à l’annexe 5 dont la grosseur</w:t>
            </w:r>
            <w:r w:rsidR="00633472" w:rsidRPr="00633472">
              <w:rPr>
                <w:b/>
              </w:rPr>
              <w:t xml:space="preserve"> de boudin est supérieure à 305 </w:t>
            </w:r>
            <w:r w:rsidRPr="00633472">
              <w:rPr>
                <w:b/>
              </w:rPr>
              <w:t>mm</w:t>
            </w:r>
          </w:p>
        </w:tc>
        <w:tc>
          <w:tcPr>
            <w:tcW w:w="1388" w:type="dxa"/>
            <w:shd w:val="clear" w:color="auto" w:fill="auto"/>
          </w:tcPr>
          <w:p w:rsidR="00EA3CA1" w:rsidRPr="00633472" w:rsidRDefault="00633472" w:rsidP="00633472">
            <w:pPr>
              <w:spacing w:before="60" w:after="60"/>
              <w:ind w:left="57" w:right="57"/>
              <w:jc w:val="right"/>
              <w:rPr>
                <w:b/>
              </w:rPr>
            </w:pPr>
            <w:r w:rsidRPr="00633472">
              <w:rPr>
                <w:b/>
              </w:rPr>
              <w:t>4 </w:t>
            </w:r>
            <w:r w:rsidR="00EA3CA1" w:rsidRPr="00633472">
              <w:rPr>
                <w:b/>
              </w:rPr>
              <w:t>%</w:t>
            </w:r>
          </w:p>
        </w:tc>
      </w:tr>
    </w:tbl>
    <w:p w:rsidR="00EA3CA1" w:rsidRPr="00B63159" w:rsidRDefault="00EA3CA1" w:rsidP="00633472">
      <w:pPr>
        <w:pStyle w:val="SingleTxtG"/>
        <w:spacing w:before="120" w:after="240"/>
        <w:jc w:val="right"/>
      </w:pPr>
      <w:r w:rsidRPr="00B63159">
        <w:t>».</w:t>
      </w:r>
    </w:p>
    <w:p w:rsidR="00EA3CA1" w:rsidRPr="00B63159" w:rsidRDefault="00EA3CA1" w:rsidP="00633472">
      <w:pPr>
        <w:pStyle w:val="SingleTxtG"/>
        <w:keepNext/>
        <w:keepLines/>
      </w:pPr>
      <w:r w:rsidRPr="00B63159">
        <w:rPr>
          <w:i/>
        </w:rPr>
        <w:t>Paragraphe 7.1.4.3</w:t>
      </w:r>
      <w:r w:rsidRPr="00B63159">
        <w:t>, modifier comme suit :</w:t>
      </w:r>
    </w:p>
    <w:p w:rsidR="00EA3CA1" w:rsidRPr="00B63159" w:rsidRDefault="00EA3CA1" w:rsidP="00B63159">
      <w:pPr>
        <w:pStyle w:val="SingleTxtG"/>
        <w:ind w:left="2552" w:hanging="1418"/>
      </w:pPr>
      <w:r w:rsidRPr="00B63159">
        <w:t xml:space="preserve">« 7.1.4.3 </w:t>
      </w:r>
      <w:r w:rsidRPr="00B63159">
        <w:tab/>
        <w:t xml:space="preserve">Sur les pneus ayant une configuration de montage de type </w:t>
      </w:r>
      <w:r w:rsidR="00633472">
        <w:rPr>
          <w:lang w:val="en-US"/>
        </w:rPr>
        <w:t>“</w:t>
      </w:r>
      <w:r w:rsidRPr="00B63159">
        <w:t>A</w:t>
      </w:r>
      <w:r w:rsidR="00633472">
        <w:rPr>
          <w:lang w:val="en-US"/>
        </w:rPr>
        <w:t>”</w:t>
      </w:r>
      <w:r w:rsidR="00633472">
        <w:t xml:space="preserve"> (voir par. </w:t>
      </w:r>
      <w:r w:rsidRPr="00633472">
        <w:rPr>
          <w:strike/>
        </w:rPr>
        <w:t>2.21.4</w:t>
      </w:r>
      <w:r w:rsidRPr="00B63159">
        <w:t xml:space="preserve"> </w:t>
      </w:r>
      <w:r w:rsidRPr="00B63159">
        <w:rPr>
          <w:b/>
        </w:rPr>
        <w:t>2.26.4</w:t>
      </w:r>
      <w:r w:rsidRPr="00B63159">
        <w:t>), la grosseur hors tout du pneu, dans sa zone basse, est égale à la largeur nominale d</w:t>
      </w:r>
      <w:r w:rsidR="00633472">
        <w:t>e la jante de mesure (voir par. </w:t>
      </w:r>
      <w:r w:rsidRPr="00633472">
        <w:rPr>
          <w:strike/>
        </w:rPr>
        <w:t>2.24</w:t>
      </w:r>
      <w:r w:rsidRPr="00B63159">
        <w:t xml:space="preserve"> </w:t>
      </w:r>
      <w:r w:rsidRPr="00B63159">
        <w:rPr>
          <w:b/>
        </w:rPr>
        <w:t>2.29</w:t>
      </w:r>
      <w:r w:rsidR="00633472">
        <w:t>), majorée de 27 mm. »</w:t>
      </w:r>
    </w:p>
    <w:p w:rsidR="00EA3CA1" w:rsidRPr="00B63159" w:rsidRDefault="00633472" w:rsidP="00633472">
      <w:pPr>
        <w:pStyle w:val="SingleTxtG"/>
        <w:keepNext/>
        <w:keepLines/>
      </w:pPr>
      <w:r>
        <w:rPr>
          <w:i/>
        </w:rPr>
        <w:t>Paragraphe </w:t>
      </w:r>
      <w:r w:rsidR="00EA3CA1" w:rsidRPr="00B63159">
        <w:rPr>
          <w:i/>
        </w:rPr>
        <w:t>7.1.5.1</w:t>
      </w:r>
      <w:r w:rsidR="00EA3CA1" w:rsidRPr="00B63159">
        <w:t>, modifier comme suit :</w:t>
      </w:r>
    </w:p>
    <w:p w:rsidR="00EA3CA1" w:rsidRPr="00B63159" w:rsidRDefault="00EA3CA1" w:rsidP="00292773">
      <w:pPr>
        <w:pStyle w:val="SingleTxtG"/>
        <w:keepNext/>
        <w:keepLines/>
        <w:ind w:left="2552" w:hanging="1418"/>
      </w:pPr>
      <w:r w:rsidRPr="00B63159">
        <w:t>« 7.1.5.1</w:t>
      </w:r>
      <w:r w:rsidRPr="00B63159">
        <w:tab/>
        <w:t>Le diamètre extérieur effectif d’un pneu rechapé ne doit pas excéder les valeurs D</w:t>
      </w:r>
      <w:r w:rsidRPr="005331FE">
        <w:rPr>
          <w:vertAlign w:val="subscript"/>
        </w:rPr>
        <w:t>min</w:t>
      </w:r>
      <w:r w:rsidRPr="00B63159">
        <w:t xml:space="preserve"> et D</w:t>
      </w:r>
      <w:r w:rsidRPr="005331FE">
        <w:rPr>
          <w:vertAlign w:val="subscript"/>
        </w:rPr>
        <w:t>max</w:t>
      </w:r>
      <w:r w:rsidRPr="00B63159">
        <w:t xml:space="preserve"> obtenues avec les formules suivantes :</w:t>
      </w:r>
    </w:p>
    <w:p w:rsidR="00EA3CA1" w:rsidRPr="00B63159" w:rsidRDefault="00EA3CA1" w:rsidP="00633472">
      <w:pPr>
        <w:pStyle w:val="SingleTxtG"/>
        <w:ind w:left="3119" w:hanging="567"/>
      </w:pPr>
      <w:r w:rsidRPr="00B63159">
        <w:t>D</w:t>
      </w:r>
      <w:r w:rsidRPr="00AE606A">
        <w:rPr>
          <w:vertAlign w:val="subscript"/>
        </w:rPr>
        <w:t>min</w:t>
      </w:r>
      <w:r w:rsidRPr="00B63159">
        <w:t xml:space="preserve"> = d + </w:t>
      </w:r>
      <w:r w:rsidRPr="00633472">
        <w:rPr>
          <w:strike/>
        </w:rPr>
        <w:t>(2H x a)</w:t>
      </w:r>
      <w:r w:rsidRPr="00B63159">
        <w:t xml:space="preserve"> </w:t>
      </w:r>
      <w:r w:rsidRPr="00B63159">
        <w:rPr>
          <w:b/>
        </w:rPr>
        <w:t>2 • H</w:t>
      </w:r>
      <w:r w:rsidRPr="00B63159">
        <w:rPr>
          <w:b/>
          <w:vertAlign w:val="subscript"/>
        </w:rPr>
        <w:t>min</w:t>
      </w:r>
    </w:p>
    <w:p w:rsidR="00EA3CA1" w:rsidRPr="00B63159" w:rsidRDefault="00EA3CA1" w:rsidP="00633472">
      <w:pPr>
        <w:pStyle w:val="SingleTxtG"/>
        <w:ind w:left="3119" w:hanging="567"/>
      </w:pPr>
      <w:r w:rsidRPr="00B63159">
        <w:t>D</w:t>
      </w:r>
      <w:r w:rsidRPr="00AE606A">
        <w:rPr>
          <w:vertAlign w:val="subscript"/>
        </w:rPr>
        <w:t>max</w:t>
      </w:r>
      <w:r w:rsidRPr="00B63159">
        <w:t xml:space="preserve"> = 1,015 x [d + </w:t>
      </w:r>
      <w:r w:rsidRPr="00633472">
        <w:rPr>
          <w:strike/>
        </w:rPr>
        <w:t>(2H x b)</w:t>
      </w:r>
      <w:r w:rsidRPr="00B63159">
        <w:t xml:space="preserve"> </w:t>
      </w:r>
      <w:r w:rsidRPr="00B63159">
        <w:rPr>
          <w:b/>
        </w:rPr>
        <w:t>2 • H</w:t>
      </w:r>
      <w:r w:rsidRPr="00B63159">
        <w:rPr>
          <w:b/>
          <w:vertAlign w:val="subscript"/>
        </w:rPr>
        <w:t>max</w:t>
      </w:r>
      <w:r w:rsidRPr="00B63159">
        <w:t>]</w:t>
      </w:r>
    </w:p>
    <w:p w:rsidR="00EA3CA1" w:rsidRPr="00B63159" w:rsidRDefault="00EA3CA1" w:rsidP="0018386E">
      <w:pPr>
        <w:pStyle w:val="SingleTxtG"/>
        <w:keepNext/>
        <w:keepLines/>
        <w:ind w:left="3119" w:hanging="567"/>
      </w:pPr>
      <w:r w:rsidRPr="00B63159">
        <w:t>dans lesquelles :</w:t>
      </w:r>
    </w:p>
    <w:p w:rsidR="00EA3CA1" w:rsidRPr="00B63159" w:rsidRDefault="00EA3CA1" w:rsidP="00633472">
      <w:pPr>
        <w:pStyle w:val="SingleTxtG"/>
        <w:ind w:left="3119" w:hanging="567"/>
      </w:pPr>
      <w:r w:rsidRPr="00B63159">
        <w:rPr>
          <w:b/>
          <w:bCs/>
        </w:rPr>
        <w:t>H</w:t>
      </w:r>
      <w:r w:rsidRPr="00B63159">
        <w:rPr>
          <w:b/>
          <w:bCs/>
          <w:vertAlign w:val="subscript"/>
        </w:rPr>
        <w:t>min</w:t>
      </w:r>
      <w:r w:rsidRPr="00B63159">
        <w:rPr>
          <w:b/>
          <w:bCs/>
        </w:rPr>
        <w:t xml:space="preserve"> = H • a arrondi au millimètre le plus proche </w:t>
      </w:r>
    </w:p>
    <w:p w:rsidR="00EA3CA1" w:rsidRPr="00B63159" w:rsidRDefault="00EA3CA1" w:rsidP="00633472">
      <w:pPr>
        <w:pStyle w:val="SingleTxtG"/>
        <w:ind w:left="3119" w:hanging="567"/>
        <w:rPr>
          <w:b/>
          <w:bCs/>
        </w:rPr>
      </w:pPr>
      <w:r w:rsidRPr="00B63159">
        <w:rPr>
          <w:b/>
          <w:bCs/>
        </w:rPr>
        <w:t>H</w:t>
      </w:r>
      <w:r w:rsidRPr="00B63159">
        <w:rPr>
          <w:b/>
          <w:bCs/>
          <w:vertAlign w:val="subscript"/>
        </w:rPr>
        <w:t>max</w:t>
      </w:r>
      <w:r w:rsidRPr="00B63159">
        <w:rPr>
          <w:b/>
          <w:bCs/>
        </w:rPr>
        <w:t xml:space="preserve"> = H • b arrondi au millimètre le plus proche</w:t>
      </w:r>
    </w:p>
    <w:p w:rsidR="00EA3CA1" w:rsidRPr="00B63159" w:rsidRDefault="00EA3CA1" w:rsidP="00633472">
      <w:pPr>
        <w:pStyle w:val="SingleTxtG"/>
        <w:ind w:left="3119" w:hanging="567"/>
        <w:rPr>
          <w:b/>
          <w:bCs/>
        </w:rPr>
      </w:pPr>
      <w:r w:rsidRPr="00B63159">
        <w:rPr>
          <w:b/>
          <w:bCs/>
        </w:rPr>
        <w:t xml:space="preserve">et : </w:t>
      </w:r>
    </w:p>
    <w:p w:rsidR="00EA3CA1" w:rsidRPr="00B63159" w:rsidRDefault="00EA3CA1" w:rsidP="00633472">
      <w:pPr>
        <w:pStyle w:val="SingleTxtG"/>
        <w:ind w:left="3119" w:hanging="567"/>
        <w:jc w:val="right"/>
      </w:pPr>
      <w:r w:rsidRPr="00B63159">
        <w:t>».</w:t>
      </w:r>
    </w:p>
    <w:p w:rsidR="00EA3CA1" w:rsidRPr="00B63159" w:rsidRDefault="00EA3CA1" w:rsidP="00E93689">
      <w:pPr>
        <w:pStyle w:val="SingleTxtG"/>
        <w:keepNext/>
        <w:keepLines/>
      </w:pPr>
      <w:r w:rsidRPr="00B63159">
        <w:rPr>
          <w:i/>
        </w:rPr>
        <w:t>Paragraphe 7.1.5.1.2</w:t>
      </w:r>
      <w:r w:rsidRPr="00B63159">
        <w:t>, modifier comme suit :</w:t>
      </w:r>
    </w:p>
    <w:p w:rsidR="00EA3CA1" w:rsidRPr="00B63159" w:rsidRDefault="00EA3CA1" w:rsidP="00B63159">
      <w:pPr>
        <w:pStyle w:val="SingleTxtG"/>
        <w:ind w:left="2552" w:hanging="1418"/>
      </w:pPr>
      <w:r w:rsidRPr="00B63159">
        <w:t>« 7.1.5.1.2</w:t>
      </w:r>
      <w:r w:rsidRPr="00B63159">
        <w:tab/>
        <w:t>Pour les dimensions visées au paragraphe 7.1.2.2 et pour les pneus ayant une configuration de</w:t>
      </w:r>
      <w:r w:rsidR="00E93689">
        <w:t xml:space="preserve"> montage de type </w:t>
      </w:r>
      <w:r w:rsidR="00E93689">
        <w:rPr>
          <w:lang w:val="en-US"/>
        </w:rPr>
        <w:t>“</w:t>
      </w:r>
      <w:r w:rsidR="00E93689">
        <w:t>A</w:t>
      </w:r>
      <w:r w:rsidR="00E93689">
        <w:rPr>
          <w:lang w:val="en-US"/>
        </w:rPr>
        <w:t>”</w:t>
      </w:r>
      <w:r w:rsidR="00E93689">
        <w:t xml:space="preserve"> (voir par. </w:t>
      </w:r>
      <w:r w:rsidRPr="00E93689">
        <w:rPr>
          <w:strike/>
        </w:rPr>
        <w:t>2.21.4</w:t>
      </w:r>
      <w:r w:rsidRPr="00B63159">
        <w:t xml:space="preserve"> </w:t>
      </w:r>
      <w:r w:rsidRPr="00B63159">
        <w:rPr>
          <w:b/>
        </w:rPr>
        <w:t>2.26.4</w:t>
      </w:r>
      <w:r w:rsidRPr="00B63159">
        <w:t xml:space="preserve">), la hauteur nominale </w:t>
      </w:r>
      <w:r w:rsidR="00E93689">
        <w:rPr>
          <w:lang w:val="en-US"/>
        </w:rPr>
        <w:t>“</w:t>
      </w:r>
      <w:r w:rsidRPr="00B63159">
        <w:t>H</w:t>
      </w:r>
      <w:r w:rsidR="00E93689">
        <w:rPr>
          <w:lang w:val="en-US"/>
        </w:rPr>
        <w:t>”</w:t>
      </w:r>
      <w:r w:rsidRPr="00B63159">
        <w:t xml:space="preserve"> du boudin est égale à :</w:t>
      </w:r>
    </w:p>
    <w:p w:rsidR="00EA3CA1" w:rsidRPr="00B63159" w:rsidRDefault="00EA3CA1" w:rsidP="00E93689">
      <w:pPr>
        <w:pStyle w:val="SingleTxtG"/>
        <w:ind w:left="3119" w:hanging="567"/>
      </w:pPr>
      <w:r w:rsidRPr="00B63159">
        <w:t xml:space="preserve">H = 0.5(D </w:t>
      </w:r>
      <w:r w:rsidR="0018386E">
        <w:t>-</w:t>
      </w:r>
      <w:r w:rsidRPr="00B63159">
        <w:t xml:space="preserve"> d)</w:t>
      </w:r>
      <w:r w:rsidRPr="00B63159">
        <w:rPr>
          <w:b/>
          <w:bCs/>
        </w:rPr>
        <w:t xml:space="preserve">, </w:t>
      </w:r>
      <w:r w:rsidRPr="00B63159">
        <w:rPr>
          <w:b/>
        </w:rPr>
        <w:t>la valeur étant arrondie au millimètre le plus proche</w:t>
      </w:r>
    </w:p>
    <w:p w:rsidR="00EA3CA1" w:rsidRPr="00B63159" w:rsidRDefault="00EA3CA1" w:rsidP="00E93689">
      <w:pPr>
        <w:pStyle w:val="SingleTxtG"/>
        <w:ind w:left="3119" w:hanging="567"/>
      </w:pPr>
      <w:r w:rsidRPr="00B63159">
        <w:t xml:space="preserve">où </w:t>
      </w:r>
      <w:r w:rsidR="00E93689">
        <w:rPr>
          <w:lang w:val="en-US"/>
        </w:rPr>
        <w:t>“</w:t>
      </w:r>
      <w:r w:rsidRPr="00B63159">
        <w:t>D</w:t>
      </w:r>
      <w:r w:rsidR="00E93689">
        <w:rPr>
          <w:lang w:val="en-US"/>
        </w:rPr>
        <w:t>”</w:t>
      </w:r>
      <w:r w:rsidRPr="00B63159">
        <w:t xml:space="preserve"> et </w:t>
      </w:r>
      <w:r w:rsidR="00E93689">
        <w:rPr>
          <w:lang w:val="en-US"/>
        </w:rPr>
        <w:t>“</w:t>
      </w:r>
      <w:r w:rsidRPr="00B63159">
        <w:t>d</w:t>
      </w:r>
      <w:r w:rsidR="00E93689">
        <w:rPr>
          <w:lang w:val="en-US"/>
        </w:rPr>
        <w:t>”</w:t>
      </w:r>
      <w:r w:rsidRPr="00B63159">
        <w:t xml:space="preserve"> sont tels que d</w:t>
      </w:r>
      <w:r w:rsidR="00E93689">
        <w:t>éfinis au paragraphe 7.1.2.1. »</w:t>
      </w:r>
    </w:p>
    <w:p w:rsidR="00EA3CA1" w:rsidRPr="00B63159" w:rsidRDefault="00E93689" w:rsidP="00E93689">
      <w:pPr>
        <w:pStyle w:val="SingleTxtG"/>
        <w:keepNext/>
        <w:keepLines/>
      </w:pPr>
      <w:r>
        <w:rPr>
          <w:i/>
        </w:rPr>
        <w:t>Paragraphe </w:t>
      </w:r>
      <w:r w:rsidR="00EA3CA1" w:rsidRPr="00B63159">
        <w:rPr>
          <w:i/>
        </w:rPr>
        <w:t>12</w:t>
      </w:r>
      <w:r w:rsidR="00EA3CA1" w:rsidRPr="00B63159">
        <w:t>, modifier comme suit :</w:t>
      </w:r>
    </w:p>
    <w:p w:rsidR="00EA3CA1" w:rsidRPr="00B63159" w:rsidRDefault="00EA3CA1" w:rsidP="00B63159">
      <w:pPr>
        <w:pStyle w:val="SingleTxtG"/>
        <w:ind w:left="2552" w:hanging="1418"/>
        <w:rPr>
          <w:b/>
          <w:bCs/>
        </w:rPr>
      </w:pPr>
      <w:bookmarkStart w:id="3" w:name="A0_S12_"/>
      <w:r w:rsidRPr="00B63159">
        <w:rPr>
          <w:bCs/>
        </w:rPr>
        <w:t>« 12.</w:t>
      </w:r>
      <w:bookmarkEnd w:id="3"/>
      <w:r w:rsidRPr="00B63159">
        <w:rPr>
          <w:bCs/>
        </w:rPr>
        <w:t xml:space="preserve"> </w:t>
      </w:r>
      <w:r w:rsidRPr="00B63159">
        <w:rPr>
          <w:bCs/>
        </w:rPr>
        <w:tab/>
        <w:t xml:space="preserve">Noms et adresses des services techniques chargés des essais d’homologation, des laboratoires d’essais et des </w:t>
      </w:r>
      <w:r w:rsidRPr="00E93689">
        <w:rPr>
          <w:bCs/>
          <w:strike/>
        </w:rPr>
        <w:t>services administratifs</w:t>
      </w:r>
      <w:r w:rsidRPr="00B63159">
        <w:rPr>
          <w:bCs/>
        </w:rPr>
        <w:t xml:space="preserve"> </w:t>
      </w:r>
      <w:r w:rsidRPr="00B63159">
        <w:rPr>
          <w:b/>
          <w:bCs/>
        </w:rPr>
        <w:t>autorités d’homologation.</w:t>
      </w:r>
    </w:p>
    <w:p w:rsidR="00EA3CA1" w:rsidRPr="00B63159" w:rsidRDefault="00EA3CA1" w:rsidP="00B63159">
      <w:pPr>
        <w:pStyle w:val="SingleTxtG"/>
        <w:ind w:left="2552" w:hanging="1418"/>
      </w:pPr>
      <w:bookmarkStart w:id="4" w:name="A0_S12_1_"/>
      <w:r w:rsidRPr="00B63159">
        <w:t>12.1</w:t>
      </w:r>
      <w:bookmarkEnd w:id="4"/>
      <w:r w:rsidRPr="00B63159">
        <w:t xml:space="preserve"> </w:t>
      </w:r>
      <w:r w:rsidRPr="00B63159">
        <w:tab/>
        <w:t xml:space="preserve">Les Parties </w:t>
      </w:r>
      <w:r w:rsidRPr="00B63159">
        <w:rPr>
          <w:b/>
        </w:rPr>
        <w:t xml:space="preserve">contractantes </w:t>
      </w:r>
      <w:r w:rsidRPr="00B63159">
        <w:t xml:space="preserve">à l’Accord de 1958 appliquant le présent Règlement communiquent au Secrétariat de l’Organisation des Nations Unies les noms et adresses des services techniques chargés des essais d’homologation et, le cas échéant, des laboratoires d’essais agréés, ainsi que ceux des </w:t>
      </w:r>
      <w:r w:rsidRPr="00E93689">
        <w:rPr>
          <w:strike/>
        </w:rPr>
        <w:t>services administratifs</w:t>
      </w:r>
      <w:r w:rsidRPr="00B63159">
        <w:t xml:space="preserve"> </w:t>
      </w:r>
      <w:r w:rsidRPr="00B63159">
        <w:rPr>
          <w:b/>
        </w:rPr>
        <w:t>autorités d’homologation</w:t>
      </w:r>
      <w:r w:rsidRPr="00B63159">
        <w:t xml:space="preserve"> qui délivrent l’homologation et auxquels doivent être envoyés les fiches d’homologation et </w:t>
      </w:r>
      <w:r w:rsidRPr="00B63159">
        <w:rPr>
          <w:b/>
        </w:rPr>
        <w:t>d’extension ou</w:t>
      </w:r>
      <w:r w:rsidRPr="00B63159">
        <w:t xml:space="preserve"> de refus ou de retrait d’homologation ou d’arrêt définitif de la production émises dans les autres pays.</w:t>
      </w:r>
    </w:p>
    <w:p w:rsidR="00EA3CA1" w:rsidRPr="00B63159" w:rsidRDefault="00EA3CA1" w:rsidP="00B63159">
      <w:pPr>
        <w:pStyle w:val="SingleTxtG"/>
        <w:ind w:left="2552" w:hanging="1418"/>
      </w:pPr>
      <w:bookmarkStart w:id="5" w:name="A0_S12_2_"/>
      <w:r w:rsidRPr="00B63159">
        <w:t>12.2</w:t>
      </w:r>
      <w:bookmarkEnd w:id="5"/>
      <w:r w:rsidRPr="00B63159">
        <w:t xml:space="preserve"> </w:t>
      </w:r>
      <w:r w:rsidRPr="00B63159">
        <w:tab/>
        <w:t xml:space="preserve">Les Parties </w:t>
      </w:r>
      <w:r w:rsidRPr="00B63159">
        <w:rPr>
          <w:b/>
        </w:rPr>
        <w:t>contractantes</w:t>
      </w:r>
      <w:r w:rsidRPr="00B63159">
        <w:t xml:space="preserve"> à l’Accord de 1958 appliquant le présent Règlement peuvent </w:t>
      </w:r>
      <w:r w:rsidRPr="00E93689">
        <w:rPr>
          <w:strike/>
        </w:rPr>
        <w:t>utiliser</w:t>
      </w:r>
      <w:r w:rsidRPr="00B63159">
        <w:t xml:space="preserve"> </w:t>
      </w:r>
      <w:r w:rsidRPr="00B63159">
        <w:rPr>
          <w:b/>
        </w:rPr>
        <w:t>désigner</w:t>
      </w:r>
      <w:r w:rsidRPr="00B63159">
        <w:t xml:space="preserve"> les laboratoires des fabricants de pneumatiques ou des entreprises de rechapage </w:t>
      </w:r>
      <w:r w:rsidRPr="00E93689">
        <w:rPr>
          <w:strike/>
        </w:rPr>
        <w:t>et désigner</w:t>
      </w:r>
      <w:r w:rsidRPr="00B63159">
        <w:t xml:space="preserve">, </w:t>
      </w:r>
      <w:r w:rsidRPr="00E93689">
        <w:t>comme laboratoires d’essais agréés</w:t>
      </w:r>
      <w:r w:rsidRPr="00B63159">
        <w:t xml:space="preserve"> </w:t>
      </w:r>
      <w:r w:rsidRPr="00E93689">
        <w:rPr>
          <w:strike/>
        </w:rPr>
        <w:t>ceux d’entre eux qui sont situés sur leur propre territoire ou sur le territoire d’une des Parties appliquant l’Accord de 1958, sous réserve d’un accord préliminaire à cette procédure par le département administratif compétent de cette dernière</w:t>
      </w:r>
      <w:r w:rsidRPr="00E93689">
        <w:t>.</w:t>
      </w:r>
    </w:p>
    <w:p w:rsidR="00EA3CA1" w:rsidRPr="00B63159" w:rsidRDefault="00EA3CA1" w:rsidP="00B63159">
      <w:pPr>
        <w:pStyle w:val="SingleTxtG"/>
        <w:ind w:left="2552" w:hanging="1418"/>
      </w:pPr>
      <w:bookmarkStart w:id="6" w:name="A0_S12_3_"/>
      <w:r w:rsidRPr="00B63159">
        <w:t>12.3</w:t>
      </w:r>
      <w:bookmarkEnd w:id="6"/>
      <w:r w:rsidRPr="00B63159">
        <w:t xml:space="preserve"> </w:t>
      </w:r>
      <w:r w:rsidRPr="00B63159">
        <w:tab/>
        <w:t xml:space="preserve">Dans le cas où une Partie </w:t>
      </w:r>
      <w:r w:rsidRPr="00B63159">
        <w:rPr>
          <w:b/>
        </w:rPr>
        <w:t>contractante</w:t>
      </w:r>
      <w:r w:rsidRPr="00B63159">
        <w:t xml:space="preserve"> à l’Accord de 1958 fait usage du paragraphe 12.2 </w:t>
      </w:r>
      <w:r w:rsidRPr="00B63159">
        <w:rPr>
          <w:b/>
        </w:rPr>
        <w:t>ci-dessus</w:t>
      </w:r>
      <w:r w:rsidRPr="00B63159">
        <w:t xml:space="preserve">, elle peut se faire représenter aux essais </w:t>
      </w:r>
      <w:r w:rsidRPr="00B63159">
        <w:rPr>
          <w:b/>
        </w:rPr>
        <w:t>par une ou plusieurs personnes de son choix</w:t>
      </w:r>
      <w:r w:rsidR="00E93689">
        <w:t>. »</w:t>
      </w:r>
    </w:p>
    <w:p w:rsidR="00EA3CA1" w:rsidRPr="00B63159" w:rsidRDefault="00E93689" w:rsidP="00E93689">
      <w:pPr>
        <w:pStyle w:val="SingleTxtG"/>
        <w:keepNext/>
        <w:keepLines/>
      </w:pPr>
      <w:r>
        <w:rPr>
          <w:i/>
        </w:rPr>
        <w:br w:type="page"/>
      </w:r>
      <w:r w:rsidR="00EA3CA1" w:rsidRPr="00B63159">
        <w:rPr>
          <w:i/>
        </w:rPr>
        <w:t>Annexe</w:t>
      </w:r>
      <w:r>
        <w:rPr>
          <w:i/>
        </w:rPr>
        <w:t> </w:t>
      </w:r>
      <w:r w:rsidR="00EA3CA1" w:rsidRPr="00B63159">
        <w:rPr>
          <w:i/>
        </w:rPr>
        <w:t>1</w:t>
      </w:r>
      <w:r w:rsidR="00EA3CA1" w:rsidRPr="00B63159">
        <w:t>, modifier comme suit :</w:t>
      </w:r>
    </w:p>
    <w:p w:rsidR="00EA3CA1" w:rsidRPr="00B63159" w:rsidRDefault="00E93689" w:rsidP="00E93689">
      <w:pPr>
        <w:pStyle w:val="H1G"/>
      </w:pPr>
      <w:r>
        <w:tab/>
      </w:r>
      <w:r>
        <w:tab/>
      </w:r>
      <w:r w:rsidR="00EA3CA1" w:rsidRPr="00E93689">
        <w:rPr>
          <w:b w:val="0"/>
          <w:sz w:val="20"/>
        </w:rPr>
        <w:t>« </w:t>
      </w:r>
      <w:r w:rsidR="00EA3CA1" w:rsidRPr="00B63159">
        <w:t>Communication</w:t>
      </w:r>
    </w:p>
    <w:p w:rsidR="00EA3CA1" w:rsidRPr="00B63159" w:rsidRDefault="00EA3CA1" w:rsidP="00EA3CA1">
      <w:pPr>
        <w:pStyle w:val="SingleTxtG"/>
      </w:pPr>
      <w:r w:rsidRPr="00B63159">
        <w:t>…</w:t>
      </w:r>
    </w:p>
    <w:p w:rsidR="00EA3CA1" w:rsidRPr="00B63159" w:rsidRDefault="00EA3CA1" w:rsidP="00EA3CA1">
      <w:pPr>
        <w:pStyle w:val="SingleTxtG"/>
      </w:pPr>
      <w:r w:rsidRPr="00B63159">
        <w:t>Émanant de : Nom de l’</w:t>
      </w:r>
      <w:r w:rsidRPr="00E93689">
        <w:rPr>
          <w:strike/>
        </w:rPr>
        <w:t xml:space="preserve">administration </w:t>
      </w:r>
      <w:r w:rsidRPr="00B63159">
        <w:rPr>
          <w:b/>
        </w:rPr>
        <w:t>autorité d’homologation de type</w:t>
      </w:r>
      <w:r w:rsidRPr="00B63159">
        <w:t> :</w:t>
      </w:r>
    </w:p>
    <w:p w:rsidR="00EA3CA1" w:rsidRPr="00B63159" w:rsidRDefault="00E93689" w:rsidP="00EA3CA1">
      <w:pPr>
        <w:pStyle w:val="SingleTxtG"/>
      </w:pPr>
      <w:r>
        <w:t>…</w:t>
      </w:r>
    </w:p>
    <w:p w:rsidR="00EA3CA1" w:rsidRPr="00B63159" w:rsidRDefault="00E93689" w:rsidP="00EA3CA1">
      <w:pPr>
        <w:pStyle w:val="SingleTxtG"/>
      </w:pPr>
      <w:r>
        <w:t>…</w:t>
      </w:r>
    </w:p>
    <w:p w:rsidR="00EA3CA1" w:rsidRPr="00B63159" w:rsidRDefault="00EA3CA1" w:rsidP="00EA3CA1">
      <w:pPr>
        <w:pStyle w:val="SingleTxtG"/>
      </w:pPr>
      <w:r w:rsidRPr="00B63159">
        <w:t xml:space="preserve">d’une usine de rechapage, en application du Règlement </w:t>
      </w:r>
      <w:r w:rsidR="007265D5" w:rsidRPr="002D76F4">
        <w:rPr>
          <w:rFonts w:eastAsia="MS Mincho"/>
          <w:szCs w:val="22"/>
        </w:rPr>
        <w:t>n</w:t>
      </w:r>
      <w:r w:rsidR="007265D5" w:rsidRPr="002D76F4">
        <w:rPr>
          <w:rFonts w:eastAsia="MS Mincho"/>
          <w:szCs w:val="22"/>
          <w:vertAlign w:val="superscript"/>
        </w:rPr>
        <w:t>o</w:t>
      </w:r>
      <w:r w:rsidR="007265D5">
        <w:rPr>
          <w:rFonts w:eastAsia="MS Mincho"/>
          <w:szCs w:val="22"/>
          <w:vertAlign w:val="superscript"/>
        </w:rPr>
        <w:t> </w:t>
      </w:r>
      <w:r w:rsidRPr="00B63159">
        <w:t>109</w:t>
      </w:r>
    </w:p>
    <w:p w:rsidR="00EA3CA1" w:rsidRPr="00B63159" w:rsidRDefault="007265D5" w:rsidP="00EA3CA1">
      <w:pPr>
        <w:pStyle w:val="SingleTxtG"/>
      </w:pPr>
      <w:r>
        <w:rPr>
          <w:i/>
        </w:rPr>
        <w:t>Point </w:t>
      </w:r>
      <w:r w:rsidR="00EA3CA1" w:rsidRPr="00B63159">
        <w:rPr>
          <w:i/>
        </w:rPr>
        <w:t>1</w:t>
      </w:r>
      <w:r w:rsidR="00EA3CA1" w:rsidRPr="007265D5">
        <w:t>,</w:t>
      </w:r>
      <w:r w:rsidR="00EA3CA1" w:rsidRPr="00B63159">
        <w:rPr>
          <w:i/>
        </w:rPr>
        <w:t xml:space="preserve"> </w:t>
      </w:r>
      <w:r w:rsidR="00EA3CA1" w:rsidRPr="00B63159">
        <w:t>modifie</w:t>
      </w:r>
      <w:r>
        <w:t>r comme suit :</w:t>
      </w:r>
    </w:p>
    <w:p w:rsidR="00EA3CA1" w:rsidRPr="00B63159" w:rsidRDefault="007265D5" w:rsidP="007265D5">
      <w:pPr>
        <w:pStyle w:val="SingleTxtG"/>
        <w:tabs>
          <w:tab w:val="left" w:pos="567"/>
          <w:tab w:val="left" w:pos="1701"/>
          <w:tab w:val="right" w:leader="dot" w:pos="8505"/>
        </w:tabs>
      </w:pPr>
      <w:r>
        <w:t>1.</w:t>
      </w:r>
      <w:r>
        <w:tab/>
      </w:r>
      <w:r w:rsidR="00EA3CA1" w:rsidRPr="00B63159">
        <w:t xml:space="preserve">Nom </w:t>
      </w:r>
      <w:r w:rsidR="00EA3CA1" w:rsidRPr="007265D5">
        <w:rPr>
          <w:strike/>
        </w:rPr>
        <w:t>ou marque de fabrique</w:t>
      </w:r>
      <w:r w:rsidR="00EA3CA1" w:rsidRPr="00B63159">
        <w:t xml:space="preserve"> </w:t>
      </w:r>
      <w:r w:rsidR="00EA3CA1" w:rsidRPr="00B63159">
        <w:rPr>
          <w:b/>
        </w:rPr>
        <w:t>et adresse</w:t>
      </w:r>
      <w:r w:rsidR="00EA3CA1" w:rsidRPr="00B63159">
        <w:t xml:space="preserve"> de l’entrepr</w:t>
      </w:r>
      <w:r>
        <w:t>ise de rechapage :</w:t>
      </w:r>
      <w:r>
        <w:tab/>
      </w:r>
    </w:p>
    <w:p w:rsidR="00EA3CA1" w:rsidRDefault="007265D5" w:rsidP="00EA3CA1">
      <w:pPr>
        <w:pStyle w:val="SingleTxtG"/>
      </w:pPr>
      <w:r>
        <w:tab/>
      </w:r>
      <w:r w:rsidR="00EA3CA1" w:rsidRPr="00B63159">
        <w:t>…</w:t>
      </w:r>
    </w:p>
    <w:p w:rsidR="007265D5" w:rsidRPr="00B63159" w:rsidRDefault="007265D5" w:rsidP="00EA3CA1">
      <w:pPr>
        <w:pStyle w:val="SingleTxtG"/>
      </w:pPr>
      <w:r>
        <w:tab/>
        <w:t>…</w:t>
      </w:r>
    </w:p>
    <w:p w:rsidR="00EA3CA1" w:rsidRPr="00B63159" w:rsidRDefault="007265D5" w:rsidP="00EA3CA1">
      <w:pPr>
        <w:pStyle w:val="SingleTxtG"/>
      </w:pPr>
      <w:r>
        <w:rPr>
          <w:i/>
        </w:rPr>
        <w:t>Point </w:t>
      </w:r>
      <w:r w:rsidR="00EA3CA1" w:rsidRPr="00B63159">
        <w:rPr>
          <w:i/>
        </w:rPr>
        <w:t>4</w:t>
      </w:r>
      <w:r w:rsidR="00EA3CA1" w:rsidRPr="00B63159">
        <w:t>, modifier comme suit (y compri</w:t>
      </w:r>
      <w:r>
        <w:t>s en ajoutant une nouvelle note </w:t>
      </w:r>
      <w:r w:rsidR="00EA3CA1" w:rsidRPr="00B63159">
        <w:t>3) :</w:t>
      </w:r>
    </w:p>
    <w:p w:rsidR="00EA3CA1" w:rsidRPr="00B63159" w:rsidRDefault="00EA3CA1" w:rsidP="007265D5">
      <w:pPr>
        <w:pStyle w:val="SingleTxtG"/>
        <w:ind w:left="1701" w:hanging="567"/>
      </w:pPr>
      <w:r w:rsidRPr="00B63159">
        <w:t>4.</w:t>
      </w:r>
      <w:r w:rsidRPr="00B63159">
        <w:tab/>
        <w:t xml:space="preserve">Description sommaire </w:t>
      </w:r>
      <w:r w:rsidRPr="00B63159">
        <w:rPr>
          <w:b/>
        </w:rPr>
        <w:t>définie</w:t>
      </w:r>
      <w:r w:rsidRPr="00B63159">
        <w:t xml:space="preserve"> </w:t>
      </w:r>
      <w:r w:rsidRPr="00B63159">
        <w:rPr>
          <w:b/>
        </w:rPr>
        <w:t xml:space="preserve">aux </w:t>
      </w:r>
      <w:r w:rsidRPr="00B63159">
        <w:t>paragraphes 4.1.3</w:t>
      </w:r>
      <w:r w:rsidRPr="003D325E">
        <w:rPr>
          <w:strike/>
        </w:rPr>
        <w:t>. et</w:t>
      </w:r>
      <w:r w:rsidRPr="00B63159">
        <w:t xml:space="preserve">, 4.1.4 </w:t>
      </w:r>
      <w:r w:rsidRPr="00B63159">
        <w:rPr>
          <w:b/>
        </w:rPr>
        <w:t>et 4.1.5</w:t>
      </w:r>
      <w:r w:rsidRPr="00B63159">
        <w:t xml:space="preserve"> du présent Règlement :</w:t>
      </w:r>
    </w:p>
    <w:p w:rsidR="00EA3CA1" w:rsidRPr="00B63159" w:rsidRDefault="00EA3CA1" w:rsidP="007265D5">
      <w:pPr>
        <w:pStyle w:val="SingleTxtG"/>
        <w:tabs>
          <w:tab w:val="left" w:pos="567"/>
          <w:tab w:val="left" w:pos="1701"/>
          <w:tab w:val="right" w:leader="dot" w:pos="8505"/>
        </w:tabs>
        <w:rPr>
          <w:b/>
        </w:rPr>
      </w:pPr>
      <w:r w:rsidRPr="00B63159">
        <w:rPr>
          <w:b/>
        </w:rPr>
        <w:t>4.1</w:t>
      </w:r>
      <w:r w:rsidRPr="00B63159">
        <w:rPr>
          <w:b/>
        </w:rPr>
        <w:tab/>
        <w:t>Nom(s) de marque/marque(s) de fabrique</w:t>
      </w:r>
      <w:r w:rsidRPr="00B63159">
        <w:rPr>
          <w:b/>
          <w:vertAlign w:val="superscript"/>
        </w:rPr>
        <w:t>3 </w:t>
      </w:r>
      <w:r w:rsidRPr="00FD60CA">
        <w:t>:</w:t>
      </w:r>
      <w:r w:rsidRPr="00B63159">
        <w:rPr>
          <w:b/>
        </w:rPr>
        <w:t xml:space="preserve"> </w:t>
      </w:r>
      <w:r w:rsidR="007265D5" w:rsidRPr="007265D5">
        <w:tab/>
      </w:r>
    </w:p>
    <w:p w:rsidR="00EA3CA1" w:rsidRPr="00B63159" w:rsidRDefault="00EA3CA1" w:rsidP="007265D5">
      <w:pPr>
        <w:pStyle w:val="SingleTxtG"/>
        <w:tabs>
          <w:tab w:val="left" w:pos="567"/>
          <w:tab w:val="left" w:pos="1701"/>
          <w:tab w:val="right" w:leader="dot" w:pos="8505"/>
        </w:tabs>
        <w:rPr>
          <w:b/>
        </w:rPr>
      </w:pPr>
      <w:r w:rsidRPr="00B63159">
        <w:rPr>
          <w:b/>
        </w:rPr>
        <w:t>4.2</w:t>
      </w:r>
      <w:r w:rsidRPr="00B63159">
        <w:rPr>
          <w:b/>
        </w:rPr>
        <w:tab/>
        <w:t>Désignation(s) commerciale(s)/nom(s) commercial(aux)</w:t>
      </w:r>
      <w:r w:rsidRPr="00B63159">
        <w:rPr>
          <w:b/>
          <w:vertAlign w:val="superscript"/>
        </w:rPr>
        <w:t>3 </w:t>
      </w:r>
      <w:r w:rsidRPr="00FD60CA">
        <w:t>:</w:t>
      </w:r>
      <w:r w:rsidR="007265D5" w:rsidRPr="007265D5">
        <w:tab/>
      </w:r>
    </w:p>
    <w:p w:rsidR="00EA3CA1" w:rsidRPr="00B63159" w:rsidRDefault="00EA3CA1" w:rsidP="007265D5">
      <w:pPr>
        <w:pStyle w:val="SingleTxtG"/>
        <w:tabs>
          <w:tab w:val="left" w:pos="567"/>
          <w:tab w:val="left" w:pos="1701"/>
          <w:tab w:val="right" w:leader="dot" w:pos="8505"/>
        </w:tabs>
        <w:ind w:left="1701" w:hanging="567"/>
        <w:rPr>
          <w:b/>
        </w:rPr>
      </w:pPr>
      <w:r w:rsidRPr="00B63159">
        <w:rPr>
          <w:b/>
        </w:rPr>
        <w:t>4.3</w:t>
      </w:r>
      <w:r w:rsidRPr="00B63159">
        <w:t xml:space="preserve"> </w:t>
      </w:r>
      <w:r w:rsidRPr="00B63159">
        <w:tab/>
      </w:r>
      <w:r w:rsidRPr="00B63159">
        <w:rPr>
          <w:b/>
        </w:rPr>
        <w:t xml:space="preserve">Renseignements relatifs à la gamme de pneus </w:t>
      </w:r>
      <w:r w:rsidR="00FD60CA">
        <w:rPr>
          <w:b/>
        </w:rPr>
        <w:t>visée au paragraphe </w:t>
      </w:r>
      <w:r w:rsidRPr="00B63159">
        <w:rPr>
          <w:b/>
        </w:rPr>
        <w:t>4.1.5 du présent Règleme</w:t>
      </w:r>
      <w:r w:rsidR="007265D5">
        <w:rPr>
          <w:b/>
        </w:rPr>
        <w:t>nt </w:t>
      </w:r>
      <w:r w:rsidR="007265D5" w:rsidRPr="00FD60CA">
        <w:t>:</w:t>
      </w:r>
      <w:r w:rsidR="007265D5" w:rsidRPr="007265D5">
        <w:tab/>
      </w:r>
    </w:p>
    <w:p w:rsidR="00EA3CA1" w:rsidRPr="00B63159" w:rsidRDefault="00EA3CA1" w:rsidP="00EA3CA1">
      <w:pPr>
        <w:pStyle w:val="SingleTxtG"/>
        <w:rPr>
          <w:b/>
        </w:rPr>
      </w:pPr>
      <w:r w:rsidRPr="00B63159">
        <w:separator/>
      </w:r>
    </w:p>
    <w:p w:rsidR="00EA3CA1" w:rsidRPr="007265D5" w:rsidRDefault="00EA3CA1" w:rsidP="007265D5">
      <w:pPr>
        <w:pStyle w:val="SingleTxtG"/>
        <w:spacing w:after="240"/>
        <w:ind w:firstLine="170"/>
      </w:pPr>
      <w:r w:rsidRPr="00B63159">
        <w:rPr>
          <w:b/>
          <w:vertAlign w:val="superscript"/>
        </w:rPr>
        <w:t>3</w:t>
      </w:r>
      <w:r w:rsidRPr="00B63159">
        <w:rPr>
          <w:b/>
        </w:rPr>
        <w:t xml:space="preserve"> </w:t>
      </w:r>
      <w:r w:rsidR="007265D5">
        <w:rPr>
          <w:b/>
        </w:rPr>
        <w:t xml:space="preserve"> </w:t>
      </w:r>
      <w:r w:rsidRPr="007265D5">
        <w:rPr>
          <w:b/>
          <w:sz w:val="18"/>
          <w:szCs w:val="18"/>
        </w:rPr>
        <w:t>Une liste des noms de marque ou marques de fabrique et des désignations commerciales ou noms commerciaux peut être jointe en annexe à la présente communication.</w:t>
      </w:r>
      <w:r w:rsidR="007265D5" w:rsidRPr="007265D5">
        <w:rPr>
          <w:sz w:val="18"/>
          <w:szCs w:val="18"/>
        </w:rPr>
        <w:t> </w:t>
      </w:r>
      <w:r w:rsidR="007265D5" w:rsidRPr="007265D5">
        <w:t>»</w:t>
      </w:r>
    </w:p>
    <w:p w:rsidR="00EA3CA1" w:rsidRDefault="007265D5" w:rsidP="007265D5">
      <w:pPr>
        <w:pStyle w:val="SingleTxtG"/>
        <w:keepNext/>
        <w:keepLines/>
      </w:pPr>
      <w:r>
        <w:rPr>
          <w:i/>
        </w:rPr>
        <w:t>Annexe </w:t>
      </w:r>
      <w:r w:rsidR="00EA3CA1" w:rsidRPr="00B63159">
        <w:rPr>
          <w:i/>
        </w:rPr>
        <w:t>3</w:t>
      </w:r>
      <w:r w:rsidR="00EA3CA1" w:rsidRPr="00B63159">
        <w:t>,</w:t>
      </w:r>
      <w:r w:rsidR="00EA3CA1" w:rsidRPr="00B63159">
        <w:rPr>
          <w:i/>
        </w:rPr>
        <w:t xml:space="preserve"> </w:t>
      </w:r>
      <w:r w:rsidR="00EA3CA1" w:rsidRPr="00B63159">
        <w:t>modifier comme suit :</w:t>
      </w:r>
    </w:p>
    <w:p w:rsidR="00EA3CA1" w:rsidRPr="00B63159" w:rsidRDefault="00767149" w:rsidP="002E701D">
      <w:pPr>
        <w:pStyle w:val="SingleTxtG"/>
        <w:ind w:left="1701" w:hanging="567"/>
      </w:pPr>
      <w:r w:rsidRPr="00B63159">
        <w:t xml:space="preserve"> </w:t>
      </w:r>
      <w:r w:rsidR="00EA3CA1" w:rsidRPr="00B63159">
        <w:t>« 3.</w:t>
      </w:r>
      <w:r w:rsidR="00EA3CA1" w:rsidRPr="00B63159">
        <w:tab/>
        <w:t>L’emplacement et l’ordre des inscriptions composant la désignation du pneu doivent être les suivants :</w:t>
      </w:r>
    </w:p>
    <w:p w:rsidR="00EA3CA1" w:rsidRPr="00B63159" w:rsidRDefault="00EA3CA1" w:rsidP="002E701D">
      <w:pPr>
        <w:pStyle w:val="SingleTxtG"/>
        <w:ind w:left="2268" w:hanging="567"/>
      </w:pPr>
      <w:r w:rsidRPr="00B63159">
        <w:t>a)</w:t>
      </w:r>
      <w:r w:rsidRPr="00B63159">
        <w:tab/>
        <w:t xml:space="preserve">Les désignations des dimensions définies au paragraphe </w:t>
      </w:r>
      <w:r w:rsidRPr="007265D5">
        <w:rPr>
          <w:strike/>
        </w:rPr>
        <w:t>2.21</w:t>
      </w:r>
      <w:r w:rsidRPr="00B63159">
        <w:t xml:space="preserve"> </w:t>
      </w:r>
      <w:r w:rsidRPr="00B63159">
        <w:rPr>
          <w:b/>
        </w:rPr>
        <w:t>2.26</w:t>
      </w:r>
      <w:r w:rsidRPr="00B63159">
        <w:t xml:space="preserve"> du présent Règlement doivent être groupées comme indiqué dans </w:t>
      </w:r>
      <w:r w:rsidR="007265D5">
        <w:t>les exemples ci-dessus : 295/80 </w:t>
      </w:r>
      <w:r w:rsidRPr="00B63159">
        <w:t xml:space="preserve">R 22.5 ou </w:t>
      </w:r>
      <w:r w:rsidR="007265D5">
        <w:t>235-700 R 450 A ;</w:t>
      </w:r>
    </w:p>
    <w:p w:rsidR="00EA3CA1" w:rsidRPr="00B63159" w:rsidRDefault="00EA3CA1" w:rsidP="002E701D">
      <w:pPr>
        <w:pStyle w:val="SingleTxtG"/>
        <w:ind w:left="2268" w:hanging="567"/>
      </w:pPr>
      <w:r w:rsidRPr="00B63159">
        <w:t>b)</w:t>
      </w:r>
      <w:r w:rsidRPr="00B63159">
        <w:tab/>
        <w:t xml:space="preserve">La description de service comportant l’indice (ou les indices) de charge et le code (ou les codes) de vitesse sont placés immédiatement après la désignation de la dimension définie au paragraphe </w:t>
      </w:r>
      <w:r w:rsidRPr="007265D5">
        <w:rPr>
          <w:strike/>
        </w:rPr>
        <w:t>2.21</w:t>
      </w:r>
      <w:r w:rsidRPr="00B63159">
        <w:t xml:space="preserve"> </w:t>
      </w:r>
      <w:r w:rsidRPr="00B63159">
        <w:rPr>
          <w:b/>
        </w:rPr>
        <w:t xml:space="preserve">2.26 </w:t>
      </w:r>
      <w:r w:rsidRPr="00B63159">
        <w:t>du présent Règlement ;</w:t>
      </w:r>
    </w:p>
    <w:p w:rsidR="00EA3CA1" w:rsidRPr="00B63159" w:rsidRDefault="00EA3CA1" w:rsidP="002E701D">
      <w:pPr>
        <w:pStyle w:val="SingleTxtG"/>
        <w:ind w:left="2268" w:hanging="567"/>
      </w:pPr>
      <w:r w:rsidRPr="00B63159">
        <w:t>c)</w:t>
      </w:r>
      <w:r w:rsidRPr="00B63159">
        <w:tab/>
        <w:t xml:space="preserve"> La mention </w:t>
      </w:r>
      <w:r w:rsidR="007265D5">
        <w:rPr>
          <w:lang w:val="en-US"/>
        </w:rPr>
        <w:t>“</w:t>
      </w:r>
      <w:r w:rsidRPr="00B63159">
        <w:t>TUBELESS</w:t>
      </w:r>
      <w:r w:rsidR="007265D5">
        <w:rPr>
          <w:lang w:val="en-US"/>
        </w:rPr>
        <w:t>”</w:t>
      </w:r>
      <w:r w:rsidRPr="00B63159">
        <w:t xml:space="preserve"> et la mention </w:t>
      </w:r>
      <w:r w:rsidR="007265D5">
        <w:rPr>
          <w:lang w:val="en-US"/>
        </w:rPr>
        <w:t>“</w:t>
      </w:r>
      <w:r w:rsidRPr="00B63159">
        <w:t>M+S</w:t>
      </w:r>
      <w:r w:rsidR="002E701D">
        <w:rPr>
          <w:lang w:val="en-US"/>
        </w:rPr>
        <w:t>”</w:t>
      </w:r>
      <w:r w:rsidRPr="00B63159">
        <w:t xml:space="preserve"> peuvent être à une certaine distance du symbole désignant la dimension ;</w:t>
      </w:r>
    </w:p>
    <w:p w:rsidR="00EA3CA1" w:rsidRPr="00B63159" w:rsidRDefault="00EA3CA1" w:rsidP="002E701D">
      <w:pPr>
        <w:pStyle w:val="SingleTxtG"/>
        <w:ind w:left="2268" w:hanging="567"/>
      </w:pPr>
      <w:r w:rsidRPr="00B63159">
        <w:t>d)</w:t>
      </w:r>
      <w:r w:rsidRPr="00B63159">
        <w:tab/>
        <w:t xml:space="preserve">La mention </w:t>
      </w:r>
      <w:r w:rsidR="002E701D">
        <w:rPr>
          <w:lang w:val="en-US"/>
        </w:rPr>
        <w:t>“</w:t>
      </w:r>
      <w:r w:rsidRPr="00B63159">
        <w:t>RECHAPÉ</w:t>
      </w:r>
      <w:r w:rsidR="002E701D">
        <w:rPr>
          <w:lang w:val="en-US"/>
        </w:rPr>
        <w:t>”</w:t>
      </w:r>
      <w:r w:rsidRPr="00B63159">
        <w:t xml:space="preserve"> peut figurer à une certaine distance du code désignant la dimension ;</w:t>
      </w:r>
    </w:p>
    <w:p w:rsidR="00EA3CA1" w:rsidRPr="00B63159" w:rsidRDefault="00EA3CA1" w:rsidP="002E701D">
      <w:pPr>
        <w:pStyle w:val="SingleTxtG"/>
        <w:ind w:left="2268" w:hanging="567"/>
      </w:pPr>
      <w:r w:rsidRPr="00B63159">
        <w:t>e)</w:t>
      </w:r>
      <w:r w:rsidRPr="00B63159">
        <w:tab/>
        <w:t xml:space="preserve">Si le paragraphe </w:t>
      </w:r>
      <w:r w:rsidRPr="002E701D">
        <w:rPr>
          <w:strike/>
        </w:rPr>
        <w:t>3.2.5</w:t>
      </w:r>
      <w:r w:rsidRPr="00B63159">
        <w:t xml:space="preserve"> </w:t>
      </w:r>
      <w:r w:rsidRPr="00B63159">
        <w:rPr>
          <w:b/>
        </w:rPr>
        <w:t>3.2.6</w:t>
      </w:r>
      <w:r w:rsidRPr="00B63159">
        <w:t xml:space="preserve"> du présent Règlement est appliqué, la description de service supplémentaire (Point unique), comprenant les indices de charge et le code de vitesse, doit apparaître dans un cercle situé près de la description nominale de service qui apparaît sur le flan du pneu. </w:t>
      </w:r>
    </w:p>
    <w:p w:rsidR="00EA3CA1" w:rsidRPr="00B63159" w:rsidRDefault="00EA3CA1" w:rsidP="002E701D">
      <w:pPr>
        <w:pStyle w:val="SingleTxtG"/>
        <w:ind w:left="2268" w:hanging="567"/>
      </w:pPr>
      <w:r w:rsidRPr="00B63159">
        <w:t>… ».</w:t>
      </w:r>
    </w:p>
    <w:p w:rsidR="00EA3CA1" w:rsidRPr="00B63159" w:rsidRDefault="00EA3CA1" w:rsidP="00EA3CA1">
      <w:pPr>
        <w:pStyle w:val="SingleTxtG"/>
      </w:pPr>
      <w:r w:rsidRPr="00B63159">
        <w:rPr>
          <w:i/>
        </w:rPr>
        <w:t>Annexe</w:t>
      </w:r>
      <w:r w:rsidR="002E701D">
        <w:rPr>
          <w:i/>
        </w:rPr>
        <w:t> </w:t>
      </w:r>
      <w:r w:rsidRPr="00B63159">
        <w:rPr>
          <w:i/>
        </w:rPr>
        <w:t>6, titre</w:t>
      </w:r>
      <w:r w:rsidRPr="00B63159">
        <w:t xml:space="preserve"> (modification sans objet en français)</w:t>
      </w:r>
      <w:r w:rsidR="002E701D">
        <w:t>.</w:t>
      </w:r>
    </w:p>
    <w:p w:rsidR="00EA3CA1" w:rsidRPr="00B63159" w:rsidRDefault="002E701D" w:rsidP="002E701D">
      <w:pPr>
        <w:pStyle w:val="SingleTxtG"/>
        <w:keepNext/>
        <w:keepLines/>
      </w:pPr>
      <w:r>
        <w:rPr>
          <w:i/>
        </w:rPr>
        <w:t>Annexe </w:t>
      </w:r>
      <w:r w:rsidR="00EA3CA1" w:rsidRPr="00B63159">
        <w:rPr>
          <w:i/>
        </w:rPr>
        <w:t>7</w:t>
      </w:r>
      <w:r w:rsidR="00EA3CA1" w:rsidRPr="00B63159">
        <w:t>,</w:t>
      </w:r>
      <w:r w:rsidR="00EA3CA1" w:rsidRPr="00B63159">
        <w:rPr>
          <w:i/>
        </w:rPr>
        <w:t xml:space="preserve"> modifier</w:t>
      </w:r>
      <w:r w:rsidR="00EA3CA1" w:rsidRPr="00B63159">
        <w:t xml:space="preserve"> comme suit :</w:t>
      </w:r>
    </w:p>
    <w:p w:rsidR="00EA3CA1" w:rsidRPr="00B63159" w:rsidRDefault="00EA3CA1" w:rsidP="002E701D">
      <w:pPr>
        <w:pStyle w:val="SingleTxtG"/>
        <w:keepNext/>
        <w:keepLines/>
        <w:ind w:left="1701" w:hanging="567"/>
        <w:rPr>
          <w:b/>
          <w:bCs/>
        </w:rPr>
      </w:pPr>
      <w:r w:rsidRPr="00B63159">
        <w:rPr>
          <w:b/>
          <w:bCs/>
        </w:rPr>
        <w:t>1.</w:t>
      </w:r>
      <w:r w:rsidRPr="00B63159">
        <w:rPr>
          <w:b/>
          <w:bCs/>
        </w:rPr>
        <w:tab/>
        <w:t>Préparation du pneu</w:t>
      </w:r>
    </w:p>
    <w:p w:rsidR="00EA3CA1" w:rsidRPr="00B63159" w:rsidRDefault="00A351D3" w:rsidP="002E701D">
      <w:pPr>
        <w:pStyle w:val="SingleTxtG"/>
        <w:ind w:left="1701" w:hanging="567"/>
      </w:pPr>
      <w:r>
        <w:tab/>
      </w:r>
      <w:r w:rsidR="00EA3CA1" w:rsidRPr="00B63159">
        <w:t>…</w:t>
      </w:r>
    </w:p>
    <w:p w:rsidR="00EA3CA1" w:rsidRPr="00B63159" w:rsidRDefault="00EA3CA1" w:rsidP="002E701D">
      <w:pPr>
        <w:pStyle w:val="SingleTxtG"/>
        <w:ind w:left="1701" w:hanging="567"/>
      </w:pPr>
      <w:r w:rsidRPr="00B63159">
        <w:t>1.3</w:t>
      </w:r>
      <w:r w:rsidRPr="00B63159">
        <w:tab/>
        <w:t xml:space="preserve">Gonfler le pneumatique à la pression correspondant à l’indice de pression spécifié au paragraphe </w:t>
      </w:r>
      <w:r w:rsidRPr="002E701D">
        <w:rPr>
          <w:strike/>
        </w:rPr>
        <w:t>3.2.10</w:t>
      </w:r>
      <w:r w:rsidRPr="00B63159">
        <w:t xml:space="preserve"> </w:t>
      </w:r>
      <w:r w:rsidRPr="00B63159">
        <w:rPr>
          <w:b/>
        </w:rPr>
        <w:t>3.2.11</w:t>
      </w:r>
      <w:r w:rsidRPr="00B63159">
        <w:t xml:space="preserve"> du présent Règlement. </w:t>
      </w:r>
    </w:p>
    <w:p w:rsidR="00EA3CA1" w:rsidRPr="00B63159" w:rsidRDefault="00EA3CA1" w:rsidP="002E701D">
      <w:pPr>
        <w:pStyle w:val="SingleTxtG"/>
        <w:ind w:left="1701" w:hanging="567"/>
      </w:pPr>
      <w:r w:rsidRPr="00B63159">
        <w:t>1.4</w:t>
      </w:r>
      <w:r w:rsidRPr="00B63159">
        <w:tab/>
        <w:t>Conditionner l’ensemble pneu et roue à la température ambiante de la salle d’essais pendant au moins 3 heures.</w:t>
      </w:r>
    </w:p>
    <w:p w:rsidR="00EA3CA1" w:rsidRPr="00B63159" w:rsidRDefault="00A351D3" w:rsidP="002E701D">
      <w:pPr>
        <w:pStyle w:val="SingleTxtG"/>
        <w:ind w:left="1701" w:hanging="567"/>
      </w:pPr>
      <w:r>
        <w:tab/>
      </w:r>
      <w:r w:rsidR="00EA3CA1" w:rsidRPr="00B63159">
        <w:t>…</w:t>
      </w:r>
    </w:p>
    <w:p w:rsidR="00EA3CA1" w:rsidRPr="00ED7DEE" w:rsidRDefault="00EA3CA1" w:rsidP="002E701D">
      <w:pPr>
        <w:pStyle w:val="SingleTxtG"/>
        <w:ind w:left="1701" w:hanging="567"/>
        <w:rPr>
          <w:b/>
          <w:bCs/>
          <w:iCs/>
        </w:rPr>
      </w:pPr>
      <w:r w:rsidRPr="00ED7DEE">
        <w:rPr>
          <w:b/>
          <w:bCs/>
          <w:iCs/>
        </w:rPr>
        <w:t>3.</w:t>
      </w:r>
      <w:r w:rsidRPr="00ED7DEE">
        <w:rPr>
          <w:b/>
          <w:bCs/>
          <w:iCs/>
        </w:rPr>
        <w:tab/>
        <w:t>Le programme d’essai charge/vitesse pour les pneus conçus pour rouler à plus de 150</w:t>
      </w:r>
      <w:r w:rsidR="002E701D" w:rsidRPr="00ED7DEE">
        <w:rPr>
          <w:b/>
          <w:bCs/>
          <w:iCs/>
        </w:rPr>
        <w:t> </w:t>
      </w:r>
      <w:r w:rsidRPr="00ED7DEE">
        <w:rPr>
          <w:b/>
          <w:bCs/>
          <w:iCs/>
        </w:rPr>
        <w:t xml:space="preserve">km/h (symbole de la catégorie de vitesse égal ou supérieur à </w:t>
      </w:r>
      <w:r w:rsidR="002E701D" w:rsidRPr="00ED7DEE">
        <w:rPr>
          <w:b/>
          <w:lang w:val="en-US"/>
        </w:rPr>
        <w:t>“</w:t>
      </w:r>
      <w:r w:rsidRPr="00ED7DEE">
        <w:rPr>
          <w:b/>
          <w:bCs/>
          <w:iCs/>
        </w:rPr>
        <w:t>Q</w:t>
      </w:r>
      <w:r w:rsidR="002E701D" w:rsidRPr="00ED7DEE">
        <w:rPr>
          <w:b/>
          <w:bCs/>
          <w:iCs/>
          <w:lang w:val="en-US"/>
        </w:rPr>
        <w:t>”</w:t>
      </w:r>
      <w:r w:rsidRPr="00ED7DEE">
        <w:rPr>
          <w:b/>
          <w:bCs/>
          <w:iCs/>
        </w:rPr>
        <w:t>, p</w:t>
      </w:r>
      <w:r w:rsidR="00DB0656">
        <w:rPr>
          <w:b/>
          <w:bCs/>
          <w:iCs/>
        </w:rPr>
        <w:t>lus </w:t>
      </w:r>
      <w:r w:rsidR="002E701D" w:rsidRPr="00ED7DEE">
        <w:rPr>
          <w:b/>
          <w:lang w:val="en-US"/>
        </w:rPr>
        <w:t>“</w:t>
      </w:r>
      <w:r w:rsidRPr="00ED7DEE">
        <w:rPr>
          <w:b/>
          <w:bCs/>
          <w:iCs/>
        </w:rPr>
        <w:t>H</w:t>
      </w:r>
      <w:r w:rsidR="002E701D" w:rsidRPr="00ED7DEE">
        <w:rPr>
          <w:b/>
          <w:bCs/>
          <w:iCs/>
          <w:lang w:val="en-US"/>
        </w:rPr>
        <w:t>”</w:t>
      </w:r>
      <w:r w:rsidRPr="00ED7DEE">
        <w:rPr>
          <w:b/>
          <w:bCs/>
          <w:iCs/>
        </w:rPr>
        <w:t>).</w:t>
      </w:r>
    </w:p>
    <w:p w:rsidR="00EA3CA1" w:rsidRPr="00B63159" w:rsidRDefault="00A351D3" w:rsidP="002E701D">
      <w:pPr>
        <w:pStyle w:val="SingleTxtG"/>
        <w:ind w:left="1701" w:hanging="567"/>
        <w:rPr>
          <w:iCs/>
        </w:rPr>
      </w:pPr>
      <w:r>
        <w:tab/>
      </w:r>
      <w:r w:rsidR="00EA3CA1" w:rsidRPr="00B63159">
        <w:t>…</w:t>
      </w:r>
    </w:p>
    <w:p w:rsidR="00EA3CA1" w:rsidRPr="00B63159" w:rsidRDefault="00EA3CA1" w:rsidP="002E701D">
      <w:pPr>
        <w:pStyle w:val="SingleTxtG"/>
        <w:ind w:left="1701" w:hanging="567"/>
        <w:rPr>
          <w:iCs/>
        </w:rPr>
      </w:pPr>
      <w:r w:rsidRPr="00B63159">
        <w:rPr>
          <w:iCs/>
        </w:rPr>
        <w:t>3.1.2</w:t>
      </w:r>
      <w:r w:rsidRPr="00B63159">
        <w:rPr>
          <w:iCs/>
        </w:rPr>
        <w:tab/>
        <w:t>Aux pneus dont l’indice de charge en montage simple est au minimum de</w:t>
      </w:r>
      <w:r w:rsidR="002E701D">
        <w:rPr>
          <w:iCs/>
        </w:rPr>
        <w:t> </w:t>
      </w:r>
      <w:r w:rsidRPr="00B63159">
        <w:rPr>
          <w:iCs/>
        </w:rPr>
        <w:t xml:space="preserve">122 et qui portent la mention supplémentaire </w:t>
      </w:r>
      <w:r w:rsidR="002E701D">
        <w:rPr>
          <w:lang w:val="en-US"/>
        </w:rPr>
        <w:t>“</w:t>
      </w:r>
      <w:r w:rsidRPr="00B63159">
        <w:rPr>
          <w:iCs/>
        </w:rPr>
        <w:t>C</w:t>
      </w:r>
      <w:r w:rsidR="002E701D">
        <w:rPr>
          <w:bCs/>
          <w:iCs/>
          <w:lang w:val="en-US"/>
        </w:rPr>
        <w:t>”</w:t>
      </w:r>
      <w:r w:rsidRPr="00B63159">
        <w:rPr>
          <w:iCs/>
        </w:rPr>
        <w:t xml:space="preserve"> ou </w:t>
      </w:r>
      <w:r w:rsidR="002E701D">
        <w:rPr>
          <w:lang w:val="en-US"/>
        </w:rPr>
        <w:t>“</w:t>
      </w:r>
      <w:r w:rsidRPr="00B63159">
        <w:rPr>
          <w:iCs/>
        </w:rPr>
        <w:t>LT</w:t>
      </w:r>
      <w:r w:rsidR="002E701D">
        <w:rPr>
          <w:bCs/>
          <w:iCs/>
          <w:lang w:val="en-US"/>
        </w:rPr>
        <w:t>”</w:t>
      </w:r>
      <w:r w:rsidRPr="00B63159">
        <w:rPr>
          <w:iCs/>
        </w:rPr>
        <w:t xml:space="preserve"> visée au paragraphe </w:t>
      </w:r>
      <w:r w:rsidRPr="002E701D">
        <w:rPr>
          <w:iCs/>
          <w:strike/>
        </w:rPr>
        <w:t>3.2.14</w:t>
      </w:r>
      <w:r w:rsidRPr="00B63159">
        <w:rPr>
          <w:iCs/>
        </w:rPr>
        <w:t xml:space="preserve"> </w:t>
      </w:r>
      <w:r w:rsidRPr="00B63159">
        <w:rPr>
          <w:b/>
          <w:iCs/>
        </w:rPr>
        <w:t>3.2.15</w:t>
      </w:r>
      <w:r w:rsidRPr="00B63159">
        <w:rPr>
          <w:iCs/>
        </w:rPr>
        <w:t xml:space="preserve"> du présent Règlement.</w:t>
      </w:r>
    </w:p>
    <w:p w:rsidR="00EA3CA1" w:rsidRPr="00B63159" w:rsidRDefault="002E701D" w:rsidP="00EA3CA1">
      <w:pPr>
        <w:pStyle w:val="SingleTxtG"/>
        <w:rPr>
          <w:i/>
          <w:iCs/>
        </w:rPr>
      </w:pPr>
      <w:r>
        <w:rPr>
          <w:i/>
          <w:iCs/>
        </w:rPr>
        <w:t>Annexe </w:t>
      </w:r>
      <w:r w:rsidR="00DB0656">
        <w:rPr>
          <w:i/>
          <w:iCs/>
        </w:rPr>
        <w:t>7, a</w:t>
      </w:r>
      <w:r>
        <w:rPr>
          <w:i/>
          <w:iCs/>
        </w:rPr>
        <w:t>ppendice </w:t>
      </w:r>
      <w:r w:rsidR="00955788">
        <w:rPr>
          <w:i/>
          <w:iCs/>
        </w:rPr>
        <w:t>1, n</w:t>
      </w:r>
      <w:r w:rsidR="00EA3CA1" w:rsidRPr="00B63159">
        <w:rPr>
          <w:i/>
          <w:iCs/>
        </w:rPr>
        <w:t>otes</w:t>
      </w:r>
      <w:r w:rsidR="00EA3CA1" w:rsidRPr="00B63159">
        <w:rPr>
          <w:iCs/>
        </w:rPr>
        <w:t>, modifier comme suit :</w:t>
      </w:r>
    </w:p>
    <w:p w:rsidR="00EA3CA1" w:rsidRPr="002E701D" w:rsidRDefault="00EA3CA1" w:rsidP="00B63159">
      <w:pPr>
        <w:pStyle w:val="SingleTxtG"/>
        <w:ind w:left="2552" w:hanging="1418"/>
        <w:rPr>
          <w:iCs/>
          <w:sz w:val="18"/>
          <w:szCs w:val="18"/>
        </w:rPr>
      </w:pPr>
      <w:r w:rsidRPr="002E701D">
        <w:rPr>
          <w:iCs/>
          <w:sz w:val="18"/>
          <w:szCs w:val="18"/>
        </w:rPr>
        <w:t>« </w:t>
      </w:r>
      <w:r w:rsidRPr="006A30B9">
        <w:rPr>
          <w:iCs/>
          <w:sz w:val="18"/>
          <w:szCs w:val="18"/>
        </w:rPr>
        <w:t>Notes</w:t>
      </w:r>
      <w:r w:rsidRPr="002E701D">
        <w:rPr>
          <w:iCs/>
          <w:sz w:val="18"/>
          <w:szCs w:val="18"/>
        </w:rPr>
        <w:t> :</w:t>
      </w:r>
    </w:p>
    <w:p w:rsidR="00EA3CA1" w:rsidRPr="002E701D" w:rsidRDefault="00EA3CA1" w:rsidP="00EA3CA1">
      <w:pPr>
        <w:pStyle w:val="SingleTxtG"/>
        <w:rPr>
          <w:iCs/>
          <w:sz w:val="18"/>
          <w:szCs w:val="18"/>
        </w:rPr>
      </w:pPr>
      <w:r w:rsidRPr="002E701D">
        <w:rPr>
          <w:iCs/>
          <w:sz w:val="18"/>
          <w:szCs w:val="18"/>
        </w:rPr>
        <w:t xml:space="preserve">1) </w:t>
      </w:r>
      <w:r w:rsidR="002E701D">
        <w:rPr>
          <w:iCs/>
          <w:sz w:val="18"/>
          <w:szCs w:val="18"/>
        </w:rPr>
        <w:t xml:space="preserve"> </w:t>
      </w:r>
      <w:r w:rsidRPr="002E701D">
        <w:rPr>
          <w:iCs/>
          <w:sz w:val="18"/>
          <w:szCs w:val="18"/>
        </w:rPr>
        <w:t xml:space="preserve">Les pneus spéciaux (voir par. </w:t>
      </w:r>
      <w:r w:rsidRPr="002E701D">
        <w:rPr>
          <w:iCs/>
          <w:strike/>
          <w:sz w:val="18"/>
          <w:szCs w:val="18"/>
        </w:rPr>
        <w:t>2.3.2</w:t>
      </w:r>
      <w:r w:rsidRPr="002E701D">
        <w:rPr>
          <w:iCs/>
          <w:sz w:val="18"/>
          <w:szCs w:val="18"/>
        </w:rPr>
        <w:t xml:space="preserve"> </w:t>
      </w:r>
      <w:r w:rsidRPr="002E701D">
        <w:rPr>
          <w:b/>
          <w:iCs/>
          <w:sz w:val="18"/>
          <w:szCs w:val="18"/>
        </w:rPr>
        <w:t>2.8.2</w:t>
      </w:r>
      <w:r w:rsidRPr="002E701D">
        <w:rPr>
          <w:iCs/>
          <w:sz w:val="18"/>
          <w:szCs w:val="18"/>
        </w:rPr>
        <w:t xml:space="preserve"> du présent Règlement) doivent être essayés à une vitesse égale à 85 % de la vitesse prescrite pour les pneus normaux équivalents.</w:t>
      </w:r>
    </w:p>
    <w:p w:rsidR="00EA3CA1" w:rsidRPr="002E701D" w:rsidRDefault="00EA3CA1" w:rsidP="002E701D">
      <w:pPr>
        <w:pStyle w:val="SingleTxtG"/>
        <w:spacing w:after="240"/>
        <w:rPr>
          <w:iCs/>
          <w:sz w:val="18"/>
          <w:szCs w:val="18"/>
        </w:rPr>
      </w:pPr>
      <w:r w:rsidRPr="002E701D">
        <w:rPr>
          <w:iCs/>
          <w:sz w:val="18"/>
          <w:szCs w:val="18"/>
        </w:rPr>
        <w:t xml:space="preserve">2) </w:t>
      </w:r>
      <w:r w:rsidR="002E701D">
        <w:rPr>
          <w:iCs/>
          <w:sz w:val="18"/>
          <w:szCs w:val="18"/>
        </w:rPr>
        <w:t xml:space="preserve"> </w:t>
      </w:r>
      <w:r w:rsidRPr="002E701D">
        <w:rPr>
          <w:sz w:val="18"/>
          <w:szCs w:val="18"/>
        </w:rPr>
        <w:t xml:space="preserve">Les pneus ayant un indice de charge de 122 ou plus et portant le code de vitesse </w:t>
      </w:r>
      <w:r w:rsidR="002E701D">
        <w:rPr>
          <w:sz w:val="18"/>
          <w:szCs w:val="18"/>
          <w:lang w:val="en-US"/>
        </w:rPr>
        <w:t>“</w:t>
      </w:r>
      <w:r w:rsidRPr="002E701D">
        <w:rPr>
          <w:sz w:val="18"/>
          <w:szCs w:val="18"/>
        </w:rPr>
        <w:t>N</w:t>
      </w:r>
      <w:r w:rsidR="002E701D">
        <w:rPr>
          <w:sz w:val="18"/>
          <w:szCs w:val="18"/>
          <w:lang w:val="en-US"/>
        </w:rPr>
        <w:t>”</w:t>
      </w:r>
      <w:r w:rsidRPr="002E701D">
        <w:rPr>
          <w:sz w:val="18"/>
          <w:szCs w:val="18"/>
        </w:rPr>
        <w:t xml:space="preserve"> ou </w:t>
      </w:r>
      <w:r w:rsidR="002E701D">
        <w:rPr>
          <w:sz w:val="18"/>
          <w:szCs w:val="18"/>
          <w:lang w:val="en-US"/>
        </w:rPr>
        <w:t>“</w:t>
      </w:r>
      <w:r w:rsidRPr="002E701D">
        <w:rPr>
          <w:sz w:val="18"/>
          <w:szCs w:val="18"/>
        </w:rPr>
        <w:t>P</w:t>
      </w:r>
      <w:r w:rsidR="002E701D">
        <w:rPr>
          <w:sz w:val="18"/>
          <w:szCs w:val="18"/>
          <w:lang w:val="en-US"/>
        </w:rPr>
        <w:t>”</w:t>
      </w:r>
      <w:r w:rsidRPr="002E701D">
        <w:rPr>
          <w:sz w:val="18"/>
          <w:szCs w:val="18"/>
        </w:rPr>
        <w:t xml:space="preserve"> et la mention supplémentaire </w:t>
      </w:r>
      <w:r w:rsidR="002E701D">
        <w:rPr>
          <w:sz w:val="18"/>
          <w:szCs w:val="18"/>
          <w:lang w:val="en-US"/>
        </w:rPr>
        <w:t>“</w:t>
      </w:r>
      <w:r w:rsidRPr="002E701D">
        <w:rPr>
          <w:sz w:val="18"/>
          <w:szCs w:val="18"/>
        </w:rPr>
        <w:t>C</w:t>
      </w:r>
      <w:r w:rsidR="002E701D">
        <w:rPr>
          <w:sz w:val="18"/>
          <w:szCs w:val="18"/>
          <w:lang w:val="en-US"/>
        </w:rPr>
        <w:t>”</w:t>
      </w:r>
      <w:r w:rsidRPr="002E701D">
        <w:rPr>
          <w:sz w:val="18"/>
          <w:szCs w:val="18"/>
        </w:rPr>
        <w:t xml:space="preserve"> ou </w:t>
      </w:r>
      <w:r w:rsidR="002E701D">
        <w:rPr>
          <w:sz w:val="18"/>
          <w:szCs w:val="18"/>
          <w:lang w:val="en-US"/>
        </w:rPr>
        <w:t>“</w:t>
      </w:r>
      <w:r w:rsidRPr="002E701D">
        <w:rPr>
          <w:sz w:val="18"/>
          <w:szCs w:val="18"/>
        </w:rPr>
        <w:t>LT</w:t>
      </w:r>
      <w:r w:rsidR="002E701D">
        <w:rPr>
          <w:sz w:val="18"/>
          <w:szCs w:val="18"/>
          <w:lang w:val="en-US"/>
        </w:rPr>
        <w:t>”</w:t>
      </w:r>
      <w:r w:rsidRPr="002E701D">
        <w:rPr>
          <w:sz w:val="18"/>
          <w:szCs w:val="18"/>
        </w:rPr>
        <w:t xml:space="preserve"> dans la désignation de dimension du pneu (visée au paragraphe </w:t>
      </w:r>
      <w:r w:rsidRPr="002E701D">
        <w:rPr>
          <w:strike/>
          <w:sz w:val="18"/>
          <w:szCs w:val="18"/>
        </w:rPr>
        <w:t>3.2.14</w:t>
      </w:r>
      <w:r w:rsidRPr="002E701D">
        <w:rPr>
          <w:sz w:val="18"/>
          <w:szCs w:val="18"/>
        </w:rPr>
        <w:t xml:space="preserve"> </w:t>
      </w:r>
      <w:r w:rsidRPr="002E701D">
        <w:rPr>
          <w:b/>
          <w:sz w:val="18"/>
          <w:szCs w:val="18"/>
        </w:rPr>
        <w:t>3.2.15</w:t>
      </w:r>
      <w:r w:rsidRPr="002E701D">
        <w:rPr>
          <w:sz w:val="18"/>
          <w:szCs w:val="18"/>
        </w:rPr>
        <w:t xml:space="preserve"> du présent Règlement) doivent être soumis aux essais selon le même programme que celui qui est indiqué dans le tableau ci-dessus pour les pneus </w:t>
      </w:r>
      <w:r w:rsidR="002E701D">
        <w:rPr>
          <w:sz w:val="18"/>
          <w:szCs w:val="18"/>
        </w:rPr>
        <w:t>ayant un indice de charge de 121 ou moins. »</w:t>
      </w:r>
    </w:p>
    <w:p w:rsidR="00EA3CA1" w:rsidRPr="00B63159" w:rsidRDefault="002E701D" w:rsidP="002E701D">
      <w:pPr>
        <w:pStyle w:val="SingleTxtG"/>
        <w:keepNext/>
        <w:rPr>
          <w:i/>
          <w:iCs/>
        </w:rPr>
      </w:pPr>
      <w:r>
        <w:rPr>
          <w:i/>
          <w:iCs/>
        </w:rPr>
        <w:t>Annexe </w:t>
      </w:r>
      <w:r w:rsidR="00EA3CA1" w:rsidRPr="00B63159">
        <w:rPr>
          <w:i/>
          <w:iCs/>
        </w:rPr>
        <w:t>10</w:t>
      </w:r>
      <w:r w:rsidR="00EA3CA1" w:rsidRPr="00B63159">
        <w:rPr>
          <w:iCs/>
        </w:rPr>
        <w:t>,</w:t>
      </w:r>
      <w:r w:rsidR="00EA3CA1" w:rsidRPr="00B63159">
        <w:rPr>
          <w:i/>
          <w:iCs/>
        </w:rPr>
        <w:t xml:space="preserve"> </w:t>
      </w:r>
      <w:r w:rsidR="00EA3CA1" w:rsidRPr="00B63159">
        <w:rPr>
          <w:iCs/>
        </w:rPr>
        <w:t>modifier comme suit :</w:t>
      </w:r>
    </w:p>
    <w:p w:rsidR="00EA3CA1" w:rsidRPr="00B63159" w:rsidRDefault="00EA3CA1" w:rsidP="002E701D">
      <w:pPr>
        <w:pStyle w:val="SingleTxtG"/>
        <w:keepNext/>
        <w:rPr>
          <w:iCs/>
        </w:rPr>
      </w:pPr>
      <w:r w:rsidRPr="00B63159">
        <w:rPr>
          <w:iCs/>
        </w:rPr>
        <w:t>« …</w:t>
      </w:r>
    </w:p>
    <w:p w:rsidR="00EA3CA1" w:rsidRPr="00B63159" w:rsidRDefault="00EA3CA1" w:rsidP="00EA3CA1">
      <w:pPr>
        <w:pStyle w:val="SingleTxtG"/>
        <w:rPr>
          <w:b/>
          <w:bCs/>
          <w:iCs/>
        </w:rPr>
      </w:pPr>
      <w:r w:rsidRPr="00B63159">
        <w:rPr>
          <w:b/>
          <w:bCs/>
          <w:iCs/>
        </w:rPr>
        <w:t xml:space="preserve">4. </w:t>
      </w:r>
      <w:r w:rsidRPr="00B63159">
        <w:rPr>
          <w:b/>
          <w:bCs/>
          <w:iCs/>
        </w:rPr>
        <w:tab/>
        <w:t xml:space="preserve">Essai d’accélération pour les pneus </w:t>
      </w:r>
      <w:r w:rsidR="00792622">
        <w:rPr>
          <w:b/>
          <w:bCs/>
          <w:iCs/>
        </w:rPr>
        <w:t>de la classe </w:t>
      </w:r>
      <w:r w:rsidRPr="00B63159">
        <w:rPr>
          <w:b/>
          <w:bCs/>
          <w:iCs/>
        </w:rPr>
        <w:t>C3</w:t>
      </w:r>
    </w:p>
    <w:p w:rsidR="00EA3CA1" w:rsidRPr="00B63159" w:rsidRDefault="00792622" w:rsidP="00792622">
      <w:pPr>
        <w:pStyle w:val="SingleTxtG"/>
        <w:ind w:left="1701" w:hanging="567"/>
        <w:rPr>
          <w:iCs/>
        </w:rPr>
      </w:pPr>
      <w:r>
        <w:rPr>
          <w:iCs/>
        </w:rPr>
        <w:t>4.1</w:t>
      </w:r>
      <w:r w:rsidR="00EA3CA1" w:rsidRPr="00B63159">
        <w:rPr>
          <w:iCs/>
        </w:rPr>
        <w:tab/>
        <w:t xml:space="preserve">Compte tenu de la définition qui est donnée des pneus </w:t>
      </w:r>
      <w:r>
        <w:rPr>
          <w:iCs/>
        </w:rPr>
        <w:t>de la classe </w:t>
      </w:r>
      <w:r w:rsidR="00EA3CA1" w:rsidRPr="00B63159">
        <w:rPr>
          <w:iCs/>
        </w:rPr>
        <w:t xml:space="preserve">C3 au paragraphe </w:t>
      </w:r>
      <w:r w:rsidR="00EA3CA1" w:rsidRPr="00792622">
        <w:rPr>
          <w:iCs/>
          <w:strike/>
        </w:rPr>
        <w:t>2.52</w:t>
      </w:r>
      <w:r w:rsidR="00EA3CA1" w:rsidRPr="00B63159">
        <w:rPr>
          <w:iCs/>
        </w:rPr>
        <w:t xml:space="preserve"> </w:t>
      </w:r>
      <w:r w:rsidR="00EA3CA1" w:rsidRPr="00B63159">
        <w:rPr>
          <w:b/>
          <w:iCs/>
        </w:rPr>
        <w:t>2.57</w:t>
      </w:r>
      <w:r w:rsidR="00EA3CA1" w:rsidRPr="00B63159">
        <w:rPr>
          <w:iCs/>
        </w:rPr>
        <w:t xml:space="preserve"> du présent Règlement, deux catégories supplémentaires ont été établies aux fins de l’application de la méthode d’accélération, à savoir :</w:t>
      </w:r>
    </w:p>
    <w:p w:rsidR="00EA3CA1" w:rsidRPr="00B63159" w:rsidRDefault="00792622" w:rsidP="00792622">
      <w:pPr>
        <w:pStyle w:val="SingleTxtG"/>
        <w:ind w:left="1701" w:hanging="567"/>
        <w:rPr>
          <w:iCs/>
        </w:rPr>
      </w:pPr>
      <w:r>
        <w:rPr>
          <w:iCs/>
        </w:rPr>
        <w:tab/>
        <w:t>… »</w:t>
      </w:r>
    </w:p>
    <w:p w:rsidR="00EA3CA1" w:rsidRPr="00B63159" w:rsidRDefault="00EA3CA1" w:rsidP="00792622">
      <w:pPr>
        <w:pStyle w:val="HChG"/>
      </w:pPr>
      <w:r w:rsidRPr="00B63159">
        <w:tab/>
        <w:t>II.</w:t>
      </w:r>
      <w:r w:rsidRPr="00B63159">
        <w:tab/>
        <w:t>Justification</w:t>
      </w:r>
    </w:p>
    <w:p w:rsidR="00EA3CA1" w:rsidRPr="00B63159" w:rsidRDefault="00EA3CA1" w:rsidP="00792622">
      <w:pPr>
        <w:pStyle w:val="SingleTxtG"/>
        <w:ind w:firstLine="567"/>
      </w:pPr>
      <w:r w:rsidRPr="00B63159">
        <w:t>Afin que les définitions et prescriptions du Règlement concernant les pneus rechapés soient structurées de la même manière que les définitions et prescriptions qui figurent dans des amendements aux règlements concernant les « pneus neufs », le présent amendement :</w:t>
      </w:r>
    </w:p>
    <w:p w:rsidR="00EA3CA1" w:rsidRPr="00B63159" w:rsidRDefault="00EA3CA1" w:rsidP="00792622">
      <w:pPr>
        <w:pStyle w:val="SingleTxtG"/>
        <w:ind w:firstLine="567"/>
      </w:pPr>
      <w:r w:rsidRPr="00B63159">
        <w:t>a)</w:t>
      </w:r>
      <w:r w:rsidRPr="00B63159">
        <w:tab/>
        <w:t>Indique qu’au sens du Règlement, dans sa version anglaise, on entend par « tyre » « pneumantic tyre », et modifie l’ensemble du texte du Règlement en conséquence ;</w:t>
      </w:r>
    </w:p>
    <w:p w:rsidR="00EA3CA1" w:rsidRPr="00B63159" w:rsidRDefault="00792622" w:rsidP="00792622">
      <w:pPr>
        <w:pStyle w:val="SingleTxtG"/>
        <w:keepNext/>
        <w:keepLines/>
        <w:ind w:firstLine="567"/>
      </w:pPr>
      <w:r>
        <w:t>b)</w:t>
      </w:r>
      <w:r>
        <w:tab/>
        <w:t> Introduit :</w:t>
      </w:r>
    </w:p>
    <w:p w:rsidR="00EA3CA1" w:rsidRPr="00B63159" w:rsidRDefault="00EA3CA1" w:rsidP="00792622">
      <w:pPr>
        <w:pStyle w:val="Bullet2G"/>
      </w:pPr>
      <w:r w:rsidRPr="00B63159">
        <w:t>Une définition du terme « rechapeur » calquée sur la définition du terme « fabricant » qui figure dans les règlements concernant les pneus</w:t>
      </w:r>
      <w:r w:rsidR="00792622">
        <w:t> ;</w:t>
      </w:r>
    </w:p>
    <w:p w:rsidR="00EA3CA1" w:rsidRPr="00B63159" w:rsidRDefault="00EA3CA1" w:rsidP="00792622">
      <w:pPr>
        <w:pStyle w:val="Bullet2G"/>
      </w:pPr>
      <w:r w:rsidRPr="00B63159">
        <w:t>Une définition des termes « nom de marque », « marque de fabrique », « désignation commerciale » et « nom commercial » reprise des règlements concernant les pneus</w:t>
      </w:r>
      <w:r w:rsidR="00792622">
        <w:t> ;</w:t>
      </w:r>
    </w:p>
    <w:p w:rsidR="00EA3CA1" w:rsidRPr="00B63159" w:rsidRDefault="00EA3CA1" w:rsidP="00792622">
      <w:pPr>
        <w:pStyle w:val="Bullet2G"/>
      </w:pPr>
      <w:r w:rsidRPr="00B63159">
        <w:t xml:space="preserve">Un définition des termes « fabricant du matériau » et « fournisseur du matériau » ; </w:t>
      </w:r>
    </w:p>
    <w:p w:rsidR="00EA3CA1" w:rsidRPr="00B63159" w:rsidRDefault="00792622" w:rsidP="00792622">
      <w:pPr>
        <w:pStyle w:val="SingleTxtG"/>
        <w:ind w:firstLine="567"/>
      </w:pPr>
      <w:r>
        <w:t>c)</w:t>
      </w:r>
      <w:r>
        <w:tab/>
      </w:r>
      <w:r w:rsidR="00EA3CA1" w:rsidRPr="00B63159">
        <w:t xml:space="preserve">Tient compte des règles d’arrondi (déjà adoptées dans les autres </w:t>
      </w:r>
      <w:r>
        <w:t>règlements concernant les pneus</w:t>
      </w:r>
      <w:r w:rsidR="00EA3CA1" w:rsidRPr="00B63159">
        <w:t xml:space="preserve">) pour le calcul de la largeur et du diamètre des pneus ; </w:t>
      </w:r>
    </w:p>
    <w:p w:rsidR="00EA3CA1" w:rsidRPr="00B63159" w:rsidRDefault="00EA3CA1" w:rsidP="00792622">
      <w:pPr>
        <w:pStyle w:val="SingleTxtG"/>
        <w:ind w:firstLine="567"/>
      </w:pPr>
      <w:r w:rsidRPr="00B63159">
        <w:t>d)</w:t>
      </w:r>
      <w:r w:rsidRPr="00B63159">
        <w:tab/>
        <w:t>Aligne sur leurs équivalents dans les autres règlements concernant les pneus le titre et les dispositi</w:t>
      </w:r>
      <w:r w:rsidR="00792622">
        <w:t>ons du paragraphe </w:t>
      </w:r>
      <w:r w:rsidRPr="00B63159">
        <w:t>12 relatif aux noms et adresses des services techniques, des laboratoires agréés et des services administratifs ;</w:t>
      </w:r>
    </w:p>
    <w:p w:rsidR="00EA3CA1" w:rsidRPr="00B63159" w:rsidRDefault="00EA3CA1" w:rsidP="00792622">
      <w:pPr>
        <w:pStyle w:val="SingleTxtG"/>
        <w:ind w:firstLine="567"/>
      </w:pPr>
      <w:r w:rsidRPr="00B63159">
        <w:t>e)</w:t>
      </w:r>
      <w:r w:rsidRPr="00B63159">
        <w:tab/>
        <w:t>Ajoute certaines informations dans le certificat à l’intention des autorités d’homologation de type pour mieux faire ressortir sa relation avec les produits ;</w:t>
      </w:r>
    </w:p>
    <w:p w:rsidR="00EA3CA1" w:rsidRPr="00B63159" w:rsidRDefault="00EA3CA1" w:rsidP="00792622">
      <w:pPr>
        <w:pStyle w:val="SingleTxtG"/>
        <w:keepNext/>
        <w:keepLines/>
        <w:ind w:firstLine="567"/>
      </w:pPr>
      <w:r w:rsidRPr="00B63159">
        <w:t>f)</w:t>
      </w:r>
      <w:r w:rsidRPr="00B63159">
        <w:tab/>
        <w:t xml:space="preserve">Introduit en outre : </w:t>
      </w:r>
    </w:p>
    <w:p w:rsidR="00EA3CA1" w:rsidRPr="00B63159" w:rsidRDefault="00EA3CA1" w:rsidP="00792622">
      <w:pPr>
        <w:pStyle w:val="Bullet2G"/>
      </w:pPr>
      <w:r w:rsidRPr="00B63159">
        <w:t>Au paragraphe</w:t>
      </w:r>
      <w:r w:rsidR="00792622">
        <w:t> </w:t>
      </w:r>
      <w:r w:rsidRPr="00B63159">
        <w:t xml:space="preserve">6.4.4.1, la possibilité pour le fabricant du matériau ou le fournisseur du matériau de rechapage prévulcanisé, de fournir directement à l’autorité d’homologation de type (ou au service technique) tous les documents prouvant que les pneus rechapés en utilisant du matériau de rechapage prévulcanisé satisfont </w:t>
      </w:r>
      <w:r w:rsidR="00792622">
        <w:t>aux prescriptions du paragraphe </w:t>
      </w:r>
      <w:r w:rsidRPr="00B63159">
        <w:t>7.2, auxquelles ils doivent être conformes pour être classés comme « pneus pour conditions d’enneigement extrêmes ».</w:t>
      </w:r>
    </w:p>
    <w:p w:rsidR="00EA3CA1" w:rsidRPr="00B63159" w:rsidRDefault="00EA3CA1" w:rsidP="00792622">
      <w:pPr>
        <w:pStyle w:val="Bullet2G"/>
      </w:pPr>
      <w:r w:rsidRPr="00B63159">
        <w:t>Au paragraphe 7.1.4.2, un nouveau tableau indiquant les tolérances, afin qu’il soit dûment tenu compte égalemen</w:t>
      </w:r>
      <w:r w:rsidR="00792622">
        <w:t>t des prescriptions de l’annexe </w:t>
      </w:r>
      <w:r w:rsidRPr="00B63159">
        <w:t>5 relatives aux désignations des dimensions. La grosseur hors tout maximale est tirée de la norme internationale sur les pneumatiques (recueils de normes de l’Organisation technique européenne du pneumatique et de la jante (ETRTO) et de la Tire and Rim Association).</w:t>
      </w:r>
    </w:p>
    <w:p w:rsidR="00446FE5" w:rsidRPr="00792622" w:rsidRDefault="00792622" w:rsidP="00792622">
      <w:pPr>
        <w:pStyle w:val="SingleTxtG"/>
        <w:spacing w:before="240" w:after="0"/>
        <w:jc w:val="center"/>
        <w:rPr>
          <w:u w:val="single"/>
        </w:rPr>
      </w:pPr>
      <w:r>
        <w:rPr>
          <w:u w:val="single"/>
        </w:rPr>
        <w:tab/>
      </w:r>
      <w:r>
        <w:rPr>
          <w:u w:val="single"/>
        </w:rPr>
        <w:tab/>
      </w:r>
      <w:r>
        <w:rPr>
          <w:u w:val="single"/>
        </w:rPr>
        <w:tab/>
      </w:r>
    </w:p>
    <w:sectPr w:rsidR="00446FE5" w:rsidRPr="00792622" w:rsidSect="00586FB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A1" w:rsidRDefault="00EA3CA1" w:rsidP="00F95C08">
      <w:pPr>
        <w:spacing w:line="240" w:lineRule="auto"/>
      </w:pPr>
    </w:p>
  </w:endnote>
  <w:endnote w:type="continuationSeparator" w:id="0">
    <w:p w:rsidR="00EA3CA1" w:rsidRPr="00AC3823" w:rsidRDefault="00EA3CA1" w:rsidP="00AC3823">
      <w:pPr>
        <w:pStyle w:val="Footer"/>
      </w:pPr>
    </w:p>
  </w:endnote>
  <w:endnote w:type="continuationNotice" w:id="1">
    <w:p w:rsidR="00EA3CA1" w:rsidRDefault="00EA3C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A1" w:rsidRPr="00586FB6" w:rsidRDefault="00EA3CA1" w:rsidP="00586FB6">
    <w:pPr>
      <w:pStyle w:val="Footer"/>
      <w:tabs>
        <w:tab w:val="right" w:pos="9638"/>
      </w:tabs>
    </w:pPr>
    <w:r w:rsidRPr="00586FB6">
      <w:rPr>
        <w:b/>
        <w:sz w:val="18"/>
      </w:rPr>
      <w:fldChar w:fldCharType="begin"/>
    </w:r>
    <w:r w:rsidRPr="00586FB6">
      <w:rPr>
        <w:b/>
        <w:sz w:val="18"/>
      </w:rPr>
      <w:instrText xml:space="preserve"> PAGE  \* MERGEFORMAT </w:instrText>
    </w:r>
    <w:r w:rsidRPr="00586FB6">
      <w:rPr>
        <w:b/>
        <w:sz w:val="18"/>
      </w:rPr>
      <w:fldChar w:fldCharType="separate"/>
    </w:r>
    <w:r w:rsidR="003621EA">
      <w:rPr>
        <w:b/>
        <w:noProof/>
        <w:sz w:val="18"/>
      </w:rPr>
      <w:t>10</w:t>
    </w:r>
    <w:r w:rsidRPr="00586FB6">
      <w:rPr>
        <w:b/>
        <w:sz w:val="18"/>
      </w:rPr>
      <w:fldChar w:fldCharType="end"/>
    </w:r>
    <w:r>
      <w:rPr>
        <w:b/>
        <w:sz w:val="18"/>
      </w:rPr>
      <w:tab/>
    </w:r>
    <w:r>
      <w:t>GE.17-11277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A1" w:rsidRPr="00586FB6" w:rsidRDefault="00EA3CA1" w:rsidP="00586FB6">
    <w:pPr>
      <w:pStyle w:val="Footer"/>
      <w:tabs>
        <w:tab w:val="right" w:pos="9638"/>
      </w:tabs>
      <w:rPr>
        <w:b/>
        <w:sz w:val="18"/>
      </w:rPr>
    </w:pPr>
    <w:r>
      <w:t>GE.17-11277</w:t>
    </w:r>
    <w:r>
      <w:tab/>
    </w:r>
    <w:r w:rsidRPr="00586FB6">
      <w:rPr>
        <w:b/>
        <w:sz w:val="18"/>
      </w:rPr>
      <w:fldChar w:fldCharType="begin"/>
    </w:r>
    <w:r w:rsidRPr="00586FB6">
      <w:rPr>
        <w:b/>
        <w:sz w:val="18"/>
      </w:rPr>
      <w:instrText xml:space="preserve"> PAGE  \* MERGEFORMAT </w:instrText>
    </w:r>
    <w:r w:rsidRPr="00586FB6">
      <w:rPr>
        <w:b/>
        <w:sz w:val="18"/>
      </w:rPr>
      <w:fldChar w:fldCharType="separate"/>
    </w:r>
    <w:r w:rsidR="003621EA">
      <w:rPr>
        <w:b/>
        <w:noProof/>
        <w:sz w:val="18"/>
      </w:rPr>
      <w:t>9</w:t>
    </w:r>
    <w:r w:rsidRPr="00586F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A1" w:rsidRPr="00586FB6" w:rsidRDefault="00EA3CA1" w:rsidP="00586FB6">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17-11277 (F)    310717    020817</w:t>
    </w:r>
    <w:r>
      <w:rPr>
        <w:sz w:val="20"/>
      </w:rPr>
      <w:br/>
    </w:r>
    <w:r w:rsidRPr="00586FB6">
      <w:rPr>
        <w:rFonts w:ascii="C39T30Lfz" w:hAnsi="C39T30Lfz"/>
        <w:sz w:val="56"/>
      </w:rPr>
      <w:t></w:t>
    </w:r>
    <w:r w:rsidRPr="00586FB6">
      <w:rPr>
        <w:rFonts w:ascii="C39T30Lfz" w:hAnsi="C39T30Lfz"/>
        <w:sz w:val="56"/>
      </w:rPr>
      <w:t></w:t>
    </w:r>
    <w:r w:rsidRPr="00586FB6">
      <w:rPr>
        <w:rFonts w:ascii="C39T30Lfz" w:hAnsi="C39T30Lfz"/>
        <w:sz w:val="56"/>
      </w:rPr>
      <w:t></w:t>
    </w:r>
    <w:r w:rsidRPr="00586FB6">
      <w:rPr>
        <w:rFonts w:ascii="C39T30Lfz" w:hAnsi="C39T30Lfz"/>
        <w:sz w:val="56"/>
      </w:rPr>
      <w:t></w:t>
    </w:r>
    <w:r w:rsidRPr="00586FB6">
      <w:rPr>
        <w:rFonts w:ascii="C39T30Lfz" w:hAnsi="C39T30Lfz"/>
        <w:sz w:val="56"/>
      </w:rPr>
      <w:t></w:t>
    </w:r>
    <w:r w:rsidRPr="00586FB6">
      <w:rPr>
        <w:rFonts w:ascii="C39T30Lfz" w:hAnsi="C39T30Lfz"/>
        <w:sz w:val="56"/>
      </w:rPr>
      <w:t></w:t>
    </w:r>
    <w:r w:rsidRPr="00586FB6">
      <w:rPr>
        <w:rFonts w:ascii="C39T30Lfz" w:hAnsi="C39T30Lfz"/>
        <w:sz w:val="56"/>
      </w:rPr>
      <w:t></w:t>
    </w:r>
    <w:r w:rsidRPr="00586FB6">
      <w:rPr>
        <w:rFonts w:ascii="C39T30Lfz" w:hAnsi="C39T30Lfz"/>
        <w:sz w:val="56"/>
      </w:rPr>
      <w:t></w:t>
    </w:r>
    <w:r w:rsidRPr="00586FB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29/GRRF/2017/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A1" w:rsidRPr="00AC3823" w:rsidRDefault="00EA3CA1" w:rsidP="00AC3823">
      <w:pPr>
        <w:pStyle w:val="Footer"/>
        <w:tabs>
          <w:tab w:val="right" w:pos="2155"/>
        </w:tabs>
        <w:spacing w:after="80" w:line="240" w:lineRule="atLeast"/>
        <w:ind w:left="680"/>
        <w:rPr>
          <w:u w:val="single"/>
        </w:rPr>
      </w:pPr>
      <w:r>
        <w:rPr>
          <w:u w:val="single"/>
        </w:rPr>
        <w:tab/>
      </w:r>
    </w:p>
  </w:footnote>
  <w:footnote w:type="continuationSeparator" w:id="0">
    <w:p w:rsidR="00EA3CA1" w:rsidRPr="00AC3823" w:rsidRDefault="00EA3CA1" w:rsidP="00AC3823">
      <w:pPr>
        <w:pStyle w:val="Footer"/>
        <w:tabs>
          <w:tab w:val="right" w:pos="2155"/>
        </w:tabs>
        <w:spacing w:after="80" w:line="240" w:lineRule="atLeast"/>
        <w:ind w:left="680"/>
        <w:rPr>
          <w:u w:val="single"/>
        </w:rPr>
      </w:pPr>
      <w:r>
        <w:rPr>
          <w:u w:val="single"/>
        </w:rPr>
        <w:tab/>
      </w:r>
    </w:p>
  </w:footnote>
  <w:footnote w:type="continuationNotice" w:id="1">
    <w:p w:rsidR="00EA3CA1" w:rsidRPr="00AC3823" w:rsidRDefault="00EA3CA1">
      <w:pPr>
        <w:spacing w:line="240" w:lineRule="auto"/>
        <w:rPr>
          <w:sz w:val="2"/>
          <w:szCs w:val="2"/>
        </w:rPr>
      </w:pPr>
    </w:p>
  </w:footnote>
  <w:footnote w:id="2">
    <w:p w:rsidR="00EA3CA1" w:rsidRPr="003E0CD2" w:rsidRDefault="00EA3CA1" w:rsidP="00EA3CA1">
      <w:pPr>
        <w:pStyle w:val="FootnoteText"/>
      </w:pPr>
      <w:r>
        <w:tab/>
      </w:r>
      <w:r w:rsidRPr="003E0CD2">
        <w:rPr>
          <w:rStyle w:val="FootnoteReference"/>
          <w:sz w:val="20"/>
        </w:rPr>
        <w:t>*</w:t>
      </w:r>
      <w:r w:rsidRPr="003E0CD2">
        <w:rPr>
          <w:sz w:val="20"/>
        </w:rPr>
        <w:tab/>
      </w:r>
      <w:r w:rsidRPr="003E0CD2">
        <w:t>Conformément au programme de travail du Comité des transports intérieurs pour la période 2016</w:t>
      </w:r>
      <w:r>
        <w:noBreakHyphen/>
      </w:r>
      <w:r w:rsidRPr="003E0CD2">
        <w:t>2017 (</w:t>
      </w:r>
      <w:r>
        <w:t>ECE/TRANS/254, par. </w:t>
      </w:r>
      <w:r w:rsidRPr="003E0CD2">
        <w:t>159</w:t>
      </w:r>
      <w:r>
        <w:t>,</w:t>
      </w:r>
      <w:r w:rsidRPr="003E0CD2">
        <w:t xml:space="preserve"> </w:t>
      </w:r>
      <w:r>
        <w:t>et</w:t>
      </w:r>
      <w:r w:rsidRPr="003E0CD2">
        <w:t xml:space="preserve"> ECE/TRANS/2016/28/Add.1, </w:t>
      </w:r>
      <w:r>
        <w:t>module</w:t>
      </w:r>
      <w:r w:rsidRPr="003E0CD2">
        <w:t xml:space="preserve"> 3.1</w:t>
      </w:r>
      <w:r>
        <w:t>),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A1" w:rsidRPr="00586FB6" w:rsidRDefault="003621EA">
    <w:pPr>
      <w:pStyle w:val="Header"/>
    </w:pPr>
    <w:r>
      <w:fldChar w:fldCharType="begin"/>
    </w:r>
    <w:r>
      <w:instrText xml:space="preserve"> TITLE  \* MERGEFORMAT </w:instrText>
    </w:r>
    <w:r>
      <w:fldChar w:fldCharType="separate"/>
    </w:r>
    <w:r w:rsidR="00FC375B">
      <w:t>ECE/TRANS/WP.29/GRRF/2017/20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A1" w:rsidRPr="00586FB6" w:rsidRDefault="003621EA" w:rsidP="00586FB6">
    <w:pPr>
      <w:pStyle w:val="Header"/>
      <w:jc w:val="right"/>
    </w:pPr>
    <w:r>
      <w:fldChar w:fldCharType="begin"/>
    </w:r>
    <w:r>
      <w:instrText xml:space="preserve"> TITLE  \* MERGEFORMAT </w:instrText>
    </w:r>
    <w:r>
      <w:fldChar w:fldCharType="separate"/>
    </w:r>
    <w:r w:rsidR="00FC375B">
      <w:t>ECE/TRANS/WP.29/GRRF/2017/20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82C783D"/>
    <w:multiLevelType w:val="hybridMultilevel"/>
    <w:tmpl w:val="A51A7F42"/>
    <w:lvl w:ilvl="0" w:tplc="AE6E5FC6">
      <w:start w:val="6"/>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F4"/>
    <w:rsid w:val="00017F94"/>
    <w:rsid w:val="00023842"/>
    <w:rsid w:val="000334F9"/>
    <w:rsid w:val="0007796D"/>
    <w:rsid w:val="0008166C"/>
    <w:rsid w:val="00085398"/>
    <w:rsid w:val="000B7790"/>
    <w:rsid w:val="000D3EE9"/>
    <w:rsid w:val="00111F2F"/>
    <w:rsid w:val="00122024"/>
    <w:rsid w:val="00137BF7"/>
    <w:rsid w:val="001433FD"/>
    <w:rsid w:val="0014365E"/>
    <w:rsid w:val="001541D3"/>
    <w:rsid w:val="00176178"/>
    <w:rsid w:val="0018386E"/>
    <w:rsid w:val="001F525A"/>
    <w:rsid w:val="00223272"/>
    <w:rsid w:val="0024779E"/>
    <w:rsid w:val="002773C4"/>
    <w:rsid w:val="002832AC"/>
    <w:rsid w:val="00292773"/>
    <w:rsid w:val="00295CCA"/>
    <w:rsid w:val="002D5EDB"/>
    <w:rsid w:val="002D7C93"/>
    <w:rsid w:val="002E701D"/>
    <w:rsid w:val="002F68AA"/>
    <w:rsid w:val="00300C0C"/>
    <w:rsid w:val="003621EA"/>
    <w:rsid w:val="003C7847"/>
    <w:rsid w:val="003D325E"/>
    <w:rsid w:val="003F7734"/>
    <w:rsid w:val="00441C3B"/>
    <w:rsid w:val="00446B0A"/>
    <w:rsid w:val="00446FE5"/>
    <w:rsid w:val="00452396"/>
    <w:rsid w:val="00483174"/>
    <w:rsid w:val="004E468C"/>
    <w:rsid w:val="00506BE1"/>
    <w:rsid w:val="005316B0"/>
    <w:rsid w:val="005331FE"/>
    <w:rsid w:val="005505B7"/>
    <w:rsid w:val="00573BE5"/>
    <w:rsid w:val="00586ED3"/>
    <w:rsid w:val="00586FB6"/>
    <w:rsid w:val="00596AA9"/>
    <w:rsid w:val="005C0E63"/>
    <w:rsid w:val="005F1C3A"/>
    <w:rsid w:val="005F2353"/>
    <w:rsid w:val="00633472"/>
    <w:rsid w:val="006A30B9"/>
    <w:rsid w:val="00701EDC"/>
    <w:rsid w:val="00706363"/>
    <w:rsid w:val="0071601D"/>
    <w:rsid w:val="007265D5"/>
    <w:rsid w:val="0074674C"/>
    <w:rsid w:val="00767149"/>
    <w:rsid w:val="00792622"/>
    <w:rsid w:val="007A62E6"/>
    <w:rsid w:val="007C6D66"/>
    <w:rsid w:val="0080684C"/>
    <w:rsid w:val="00871C75"/>
    <w:rsid w:val="008776DC"/>
    <w:rsid w:val="008A3D4A"/>
    <w:rsid w:val="008D1875"/>
    <w:rsid w:val="00955788"/>
    <w:rsid w:val="009705C8"/>
    <w:rsid w:val="009A5293"/>
    <w:rsid w:val="009C1CF4"/>
    <w:rsid w:val="00A30353"/>
    <w:rsid w:val="00A351D3"/>
    <w:rsid w:val="00A535BD"/>
    <w:rsid w:val="00AA113A"/>
    <w:rsid w:val="00AC3823"/>
    <w:rsid w:val="00AE323C"/>
    <w:rsid w:val="00AE606A"/>
    <w:rsid w:val="00AF5A83"/>
    <w:rsid w:val="00B00181"/>
    <w:rsid w:val="00B00B0D"/>
    <w:rsid w:val="00B63159"/>
    <w:rsid w:val="00B765F7"/>
    <w:rsid w:val="00BA0CA9"/>
    <w:rsid w:val="00BA7E76"/>
    <w:rsid w:val="00C02897"/>
    <w:rsid w:val="00C4013A"/>
    <w:rsid w:val="00D3439C"/>
    <w:rsid w:val="00D35453"/>
    <w:rsid w:val="00DB0656"/>
    <w:rsid w:val="00DB1831"/>
    <w:rsid w:val="00DD3BFD"/>
    <w:rsid w:val="00DF6678"/>
    <w:rsid w:val="00E009A0"/>
    <w:rsid w:val="00E22EAD"/>
    <w:rsid w:val="00E51B4A"/>
    <w:rsid w:val="00E5255C"/>
    <w:rsid w:val="00E55084"/>
    <w:rsid w:val="00E93689"/>
    <w:rsid w:val="00EA3CA1"/>
    <w:rsid w:val="00ED7DEE"/>
    <w:rsid w:val="00EF2E22"/>
    <w:rsid w:val="00F339F4"/>
    <w:rsid w:val="00F660DF"/>
    <w:rsid w:val="00F95C08"/>
    <w:rsid w:val="00FC375B"/>
    <w:rsid w:val="00FD60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3485</Words>
  <Characters>19866</Characters>
  <Application>Microsoft Office Word</Application>
  <DocSecurity>4</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ECE/TRANS/WP.29/GRRF/2017/20</vt:lpstr>
      <vt:lpstr>ECE/TRANS/WP.29/GRRF/2017/20</vt:lpstr>
    </vt:vector>
  </TitlesOfParts>
  <Company>DCM</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ECE/TRANS/WP.29/GRRF/2017/20</dc:title>
  <dc:creator>Edith BOURION</dc:creator>
  <cp:lastModifiedBy>Benedicte Boudol</cp:lastModifiedBy>
  <cp:revision>2</cp:revision>
  <cp:lastPrinted>2017-08-02T08:07:00Z</cp:lastPrinted>
  <dcterms:created xsi:type="dcterms:W3CDTF">2017-08-16T06:42:00Z</dcterms:created>
  <dcterms:modified xsi:type="dcterms:W3CDTF">2017-08-16T06:42:00Z</dcterms:modified>
</cp:coreProperties>
</file>