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:rsidTr="00295CC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433FD" w:rsidRPr="00DB58B5" w:rsidRDefault="001433FD" w:rsidP="001B5A4E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433FD" w:rsidRPr="00DB58B5" w:rsidRDefault="001433FD" w:rsidP="00295CCA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433FD" w:rsidRPr="00DB58B5" w:rsidRDefault="001B5A4E" w:rsidP="001B5A4E">
            <w:pPr>
              <w:jc w:val="right"/>
            </w:pPr>
            <w:r w:rsidRPr="001B5A4E">
              <w:rPr>
                <w:sz w:val="40"/>
              </w:rPr>
              <w:t>ECE</w:t>
            </w:r>
            <w:r>
              <w:t>/TRANS/WP.29/GRRF/2017/22</w:t>
            </w:r>
          </w:p>
        </w:tc>
      </w:tr>
      <w:tr w:rsidR="001433FD" w:rsidRPr="00DB58B5" w:rsidTr="00295CCA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433FD" w:rsidRPr="00DB58B5" w:rsidRDefault="001433FD" w:rsidP="00295CCA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8FEE0AF" wp14:editId="44FE9222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433FD" w:rsidRPr="00740562" w:rsidRDefault="001433FD" w:rsidP="00295CCA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433FD" w:rsidRDefault="001B5A4E" w:rsidP="00295CCA">
            <w:pPr>
              <w:spacing w:before="240"/>
            </w:pPr>
            <w:r>
              <w:t>Distr. générale</w:t>
            </w:r>
          </w:p>
          <w:p w:rsidR="001B5A4E" w:rsidRDefault="001B5A4E" w:rsidP="001B5A4E">
            <w:pPr>
              <w:spacing w:line="240" w:lineRule="exact"/>
            </w:pPr>
            <w:r>
              <w:t>6 juillet 2017</w:t>
            </w:r>
          </w:p>
          <w:p w:rsidR="001B5A4E" w:rsidRDefault="001B5A4E" w:rsidP="001B5A4E">
            <w:pPr>
              <w:spacing w:line="240" w:lineRule="exact"/>
            </w:pPr>
            <w:r>
              <w:t>Français</w:t>
            </w:r>
          </w:p>
          <w:p w:rsidR="001B5A4E" w:rsidRPr="00DB58B5" w:rsidRDefault="001B5A4E" w:rsidP="001B5A4E">
            <w:pPr>
              <w:spacing w:line="240" w:lineRule="exact"/>
            </w:pPr>
            <w:r>
              <w:t>Original : anglais</w:t>
            </w:r>
          </w:p>
        </w:tc>
      </w:tr>
    </w:tbl>
    <w:p w:rsidR="005316B0" w:rsidRPr="000312C0" w:rsidRDefault="005316B0" w:rsidP="005316B0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075A00" w:rsidRPr="00075A00" w:rsidRDefault="00075A00" w:rsidP="00075A00">
      <w:pPr>
        <w:spacing w:before="120" w:line="240" w:lineRule="auto"/>
        <w:rPr>
          <w:sz w:val="28"/>
          <w:szCs w:val="28"/>
          <w:lang w:val="fr-FR"/>
        </w:rPr>
      </w:pPr>
      <w:r w:rsidRPr="00075A00">
        <w:rPr>
          <w:sz w:val="28"/>
          <w:szCs w:val="28"/>
          <w:lang w:val="fr-FR"/>
        </w:rPr>
        <w:t>Comité des transports intérieurs</w:t>
      </w:r>
    </w:p>
    <w:p w:rsidR="00075A00" w:rsidRPr="00075A00" w:rsidRDefault="00075A00" w:rsidP="00075A00">
      <w:pPr>
        <w:spacing w:before="120" w:line="240" w:lineRule="auto"/>
        <w:rPr>
          <w:b/>
          <w:sz w:val="24"/>
          <w:szCs w:val="24"/>
          <w:lang w:val="fr-FR"/>
        </w:rPr>
      </w:pPr>
      <w:r w:rsidRPr="00075A00">
        <w:rPr>
          <w:b/>
          <w:sz w:val="24"/>
          <w:szCs w:val="24"/>
          <w:lang w:val="fr-FR"/>
        </w:rPr>
        <w:t xml:space="preserve">Forum mondial de l’harmonisation des Règlements </w:t>
      </w:r>
      <w:r>
        <w:rPr>
          <w:b/>
          <w:sz w:val="24"/>
          <w:szCs w:val="24"/>
          <w:lang w:val="fr-FR"/>
        </w:rPr>
        <w:br/>
      </w:r>
      <w:r w:rsidRPr="00075A00">
        <w:rPr>
          <w:b/>
          <w:sz w:val="24"/>
          <w:szCs w:val="24"/>
          <w:lang w:val="fr-FR"/>
        </w:rPr>
        <w:t>concernant les véhicules</w:t>
      </w:r>
    </w:p>
    <w:p w:rsidR="00075A00" w:rsidRPr="00075A00" w:rsidRDefault="00075A00" w:rsidP="00075A00">
      <w:pPr>
        <w:spacing w:before="120" w:line="240" w:lineRule="auto"/>
        <w:rPr>
          <w:b/>
          <w:lang w:val="fr-FR"/>
        </w:rPr>
      </w:pPr>
      <w:r w:rsidRPr="00075A00">
        <w:rPr>
          <w:b/>
          <w:lang w:val="fr-FR"/>
        </w:rPr>
        <w:t>Groupe de travail en matière de roulement et de freinage</w:t>
      </w:r>
    </w:p>
    <w:p w:rsidR="00075A00" w:rsidRPr="00075A00" w:rsidRDefault="00075A00" w:rsidP="00075A00">
      <w:pPr>
        <w:spacing w:before="120" w:line="240" w:lineRule="auto"/>
        <w:jc w:val="both"/>
        <w:rPr>
          <w:b/>
          <w:lang w:val="fr-FR"/>
        </w:rPr>
      </w:pPr>
      <w:r w:rsidRPr="00075A00">
        <w:rPr>
          <w:b/>
          <w:lang w:val="fr-FR"/>
        </w:rPr>
        <w:t>Quatre-vingt-quatrième session</w:t>
      </w:r>
    </w:p>
    <w:p w:rsidR="00075A00" w:rsidRPr="00F27DF1" w:rsidRDefault="00075A00" w:rsidP="00075A00">
      <w:pPr>
        <w:spacing w:line="240" w:lineRule="auto"/>
        <w:jc w:val="both"/>
        <w:rPr>
          <w:lang w:val="fr-FR"/>
        </w:rPr>
      </w:pPr>
      <w:r>
        <w:rPr>
          <w:lang w:val="fr-FR"/>
        </w:rPr>
        <w:t>Genève, 19-</w:t>
      </w:r>
      <w:r w:rsidRPr="00F27DF1">
        <w:rPr>
          <w:lang w:val="fr-FR"/>
        </w:rPr>
        <w:t>22 septembre 2017</w:t>
      </w:r>
    </w:p>
    <w:p w:rsidR="00075A00" w:rsidRPr="00F27DF1" w:rsidRDefault="00075A00" w:rsidP="00075A00">
      <w:pPr>
        <w:spacing w:line="240" w:lineRule="auto"/>
        <w:jc w:val="both"/>
        <w:rPr>
          <w:lang w:val="fr-FR"/>
        </w:rPr>
      </w:pPr>
      <w:r>
        <w:rPr>
          <w:lang w:val="fr-FR"/>
        </w:rPr>
        <w:t>Point 13 </w:t>
      </w:r>
      <w:r w:rsidRPr="00F27DF1">
        <w:rPr>
          <w:lang w:val="fr-FR"/>
        </w:rPr>
        <w:t>b) de l</w:t>
      </w:r>
      <w:r>
        <w:rPr>
          <w:lang w:val="fr-FR"/>
        </w:rPr>
        <w:t>’</w:t>
      </w:r>
      <w:r w:rsidRPr="00F27DF1">
        <w:rPr>
          <w:lang w:val="fr-FR"/>
        </w:rPr>
        <w:t>ordre du jour provisoire</w:t>
      </w:r>
    </w:p>
    <w:p w:rsidR="00075A00" w:rsidRPr="00075A00" w:rsidRDefault="00075A00" w:rsidP="00075A00">
      <w:pPr>
        <w:spacing w:line="240" w:lineRule="auto"/>
        <w:rPr>
          <w:b/>
          <w:lang w:val="fr-FR"/>
        </w:rPr>
      </w:pPr>
      <w:r w:rsidRPr="00075A00">
        <w:rPr>
          <w:b/>
          <w:lang w:val="fr-FR"/>
        </w:rPr>
        <w:t>Questions diverses : Règlement n</w:t>
      </w:r>
      <w:r w:rsidRPr="00075A00">
        <w:rPr>
          <w:b/>
          <w:vertAlign w:val="superscript"/>
          <w:lang w:val="fr-FR"/>
        </w:rPr>
        <w:t>o</w:t>
      </w:r>
      <w:r>
        <w:rPr>
          <w:b/>
          <w:lang w:val="fr-FR"/>
        </w:rPr>
        <w:t> </w:t>
      </w:r>
      <w:r w:rsidRPr="00075A00">
        <w:rPr>
          <w:b/>
          <w:lang w:val="fr-FR"/>
        </w:rPr>
        <w:t>89</w:t>
      </w:r>
    </w:p>
    <w:p w:rsidR="00075A00" w:rsidRPr="00F27DF1" w:rsidRDefault="00075A00" w:rsidP="00075A00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Proposition de complément </w:t>
      </w:r>
      <w:r w:rsidRPr="00F27DF1">
        <w:rPr>
          <w:lang w:val="fr-FR"/>
        </w:rPr>
        <w:t>3 à la série 00 d</w:t>
      </w:r>
      <w:r>
        <w:rPr>
          <w:lang w:val="fr-FR"/>
        </w:rPr>
        <w:t>’</w:t>
      </w:r>
      <w:r w:rsidRPr="00F27DF1">
        <w:rPr>
          <w:lang w:val="fr-FR"/>
        </w:rPr>
        <w:t xml:space="preserve">amendements </w:t>
      </w:r>
      <w:r>
        <w:rPr>
          <w:lang w:val="fr-FR"/>
        </w:rPr>
        <w:br/>
      </w:r>
      <w:r w:rsidRPr="00F27DF1">
        <w:rPr>
          <w:lang w:val="fr-FR"/>
        </w:rPr>
        <w:t>au Règlement n</w:t>
      </w:r>
      <w:r w:rsidRPr="00D66ECA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F27DF1">
        <w:rPr>
          <w:lang w:val="fr-FR"/>
        </w:rPr>
        <w:t>89 (Dispositif limiteur de vitesse)</w:t>
      </w:r>
    </w:p>
    <w:p w:rsidR="00075A00" w:rsidRPr="00F27DF1" w:rsidRDefault="00075A00" w:rsidP="00075A00">
      <w:pPr>
        <w:pStyle w:val="H1G"/>
        <w:rPr>
          <w:sz w:val="2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F27DF1">
        <w:rPr>
          <w:lang w:val="fr-FR"/>
        </w:rPr>
        <w:t>Communication de l</w:t>
      </w:r>
      <w:r>
        <w:rPr>
          <w:lang w:val="fr-FR"/>
        </w:rPr>
        <w:t>’</w:t>
      </w:r>
      <w:r w:rsidRPr="00F27DF1">
        <w:rPr>
          <w:lang w:val="fr-FR"/>
        </w:rPr>
        <w:t>expert de l</w:t>
      </w:r>
      <w:r>
        <w:rPr>
          <w:lang w:val="fr-FR"/>
        </w:rPr>
        <w:t>’</w:t>
      </w:r>
      <w:r w:rsidRPr="00F27DF1">
        <w:rPr>
          <w:lang w:val="fr-FR"/>
        </w:rPr>
        <w:t xml:space="preserve">Organisation internationale </w:t>
      </w:r>
      <w:r>
        <w:rPr>
          <w:lang w:val="fr-FR"/>
        </w:rPr>
        <w:br/>
      </w:r>
      <w:r w:rsidRPr="00F27DF1">
        <w:rPr>
          <w:lang w:val="fr-FR"/>
        </w:rPr>
        <w:t>des constructeurs d</w:t>
      </w:r>
      <w:r>
        <w:rPr>
          <w:lang w:val="fr-FR"/>
        </w:rPr>
        <w:t>’</w:t>
      </w:r>
      <w:r w:rsidRPr="00F27DF1">
        <w:rPr>
          <w:lang w:val="fr-FR"/>
        </w:rPr>
        <w:t>automobiles</w:t>
      </w:r>
      <w:r w:rsidRPr="00075A00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075A00" w:rsidRDefault="00075A00" w:rsidP="00075A00">
      <w:pPr>
        <w:pStyle w:val="SingleTxtG"/>
        <w:spacing w:line="240" w:lineRule="auto"/>
        <w:ind w:firstLine="567"/>
        <w:rPr>
          <w:lang w:val="fr-FR"/>
        </w:rPr>
      </w:pPr>
      <w:r w:rsidRPr="00F27DF1">
        <w:rPr>
          <w:lang w:val="fr-FR"/>
        </w:rPr>
        <w:t>Le texte ci-après a été établi par l</w:t>
      </w:r>
      <w:r>
        <w:rPr>
          <w:lang w:val="fr-FR"/>
        </w:rPr>
        <w:t>’</w:t>
      </w:r>
      <w:r w:rsidRPr="00F27DF1">
        <w:rPr>
          <w:lang w:val="fr-FR"/>
        </w:rPr>
        <w:t>expert de l</w:t>
      </w:r>
      <w:r>
        <w:rPr>
          <w:lang w:val="fr-FR"/>
        </w:rPr>
        <w:t>’</w:t>
      </w:r>
      <w:r w:rsidRPr="00F27DF1">
        <w:rPr>
          <w:lang w:val="fr-FR"/>
        </w:rPr>
        <w:t>Organisation internationale des constructeurs d</w:t>
      </w:r>
      <w:r>
        <w:rPr>
          <w:lang w:val="fr-FR"/>
        </w:rPr>
        <w:t>’</w:t>
      </w:r>
      <w:r w:rsidRPr="00F27DF1">
        <w:rPr>
          <w:lang w:val="fr-FR"/>
        </w:rPr>
        <w:t>automobiles (OICA). Les modifications qu</w:t>
      </w:r>
      <w:r>
        <w:rPr>
          <w:lang w:val="fr-FR"/>
        </w:rPr>
        <w:t>’</w:t>
      </w:r>
      <w:r w:rsidRPr="00F27DF1">
        <w:rPr>
          <w:lang w:val="fr-FR"/>
        </w:rPr>
        <w:t>il est proposé d</w:t>
      </w:r>
      <w:r>
        <w:rPr>
          <w:lang w:val="fr-FR"/>
        </w:rPr>
        <w:t>’</w:t>
      </w:r>
      <w:r w:rsidRPr="00F27DF1">
        <w:rPr>
          <w:lang w:val="fr-FR"/>
        </w:rPr>
        <w:t>apporter au texte actuel du Règlement figurent en caractères gras pour les ajouts et biffés pour les suppressions.</w:t>
      </w:r>
    </w:p>
    <w:p w:rsidR="00075A00" w:rsidRPr="00F27DF1" w:rsidRDefault="00075A00" w:rsidP="001F1705">
      <w:pPr>
        <w:pStyle w:val="HChG"/>
        <w:rPr>
          <w:lang w:val="fr-FR"/>
        </w:rPr>
      </w:pPr>
      <w:r>
        <w:rPr>
          <w:lang w:val="fr-FR"/>
        </w:rPr>
        <w:br w:type="page"/>
      </w:r>
      <w:r w:rsidR="001F1705">
        <w:rPr>
          <w:lang w:val="fr-FR"/>
        </w:rPr>
        <w:lastRenderedPageBreak/>
        <w:tab/>
      </w:r>
      <w:r w:rsidRPr="00F27DF1">
        <w:rPr>
          <w:lang w:val="fr-FR"/>
        </w:rPr>
        <w:t>I.</w:t>
      </w:r>
      <w:r w:rsidRPr="00F27DF1">
        <w:rPr>
          <w:lang w:val="fr-FR"/>
        </w:rPr>
        <w:tab/>
        <w:t>Proposition</w:t>
      </w:r>
    </w:p>
    <w:p w:rsidR="00075A00" w:rsidRPr="00F27DF1" w:rsidRDefault="00075A00" w:rsidP="001F1705">
      <w:pPr>
        <w:pStyle w:val="SingleTxtG"/>
        <w:keepNext/>
        <w:rPr>
          <w:lang w:val="fr-FR"/>
        </w:rPr>
      </w:pPr>
      <w:r w:rsidRPr="00195DEB">
        <w:rPr>
          <w:i/>
          <w:lang w:val="fr-FR"/>
        </w:rPr>
        <w:t>Paragraphe 5.2.5.4.2</w:t>
      </w:r>
      <w:r w:rsidRPr="00F27DF1">
        <w:rPr>
          <w:lang w:val="fr-FR"/>
        </w:rPr>
        <w:t xml:space="preserve">, </w:t>
      </w:r>
      <w:r>
        <w:rPr>
          <w:lang w:val="fr-FR"/>
        </w:rPr>
        <w:t>modifier comme suit</w:t>
      </w:r>
      <w:r w:rsidRPr="00F27DF1">
        <w:rPr>
          <w:lang w:val="fr-FR"/>
        </w:rPr>
        <w:t> :</w:t>
      </w:r>
    </w:p>
    <w:p w:rsidR="00075A00" w:rsidRPr="00314578" w:rsidRDefault="00075A00" w:rsidP="00AE04CC">
      <w:pPr>
        <w:pStyle w:val="SingleTxtG"/>
        <w:ind w:left="2268" w:hanging="1134"/>
      </w:pPr>
      <w:r>
        <w:rPr>
          <w:lang w:val="fr-FR"/>
        </w:rPr>
        <w:t>« </w:t>
      </w:r>
      <w:r w:rsidRPr="00F27DF1">
        <w:rPr>
          <w:lang w:val="fr-FR"/>
        </w:rPr>
        <w:t>5.2.5.4.2</w:t>
      </w:r>
      <w:r w:rsidRPr="00F27DF1">
        <w:rPr>
          <w:lang w:val="fr-FR"/>
        </w:rPr>
        <w:tab/>
      </w:r>
      <w:r>
        <w:t>Chaque fois que la vitesse du véhicule dépasse la V</w:t>
      </w:r>
      <w:r w:rsidRPr="00C460C7">
        <w:rPr>
          <w:vertAlign w:val="subscript"/>
        </w:rPr>
        <w:t>rég</w:t>
      </w:r>
      <w:r>
        <w:t xml:space="preserve">, le conducteur doit en être informé par </w:t>
      </w:r>
      <w:r w:rsidRPr="00437F94">
        <w:rPr>
          <w:strike/>
        </w:rPr>
        <w:t>un moyen approprié, ou</w:t>
      </w:r>
      <w:r>
        <w:t xml:space="preserve"> un signal d’avertissement</w:t>
      </w:r>
      <w:r w:rsidRPr="00437F94">
        <w:rPr>
          <w:strike/>
        </w:rPr>
        <w:t xml:space="preserve">, </w:t>
      </w:r>
      <w:r w:rsidRPr="00437F94">
        <w:rPr>
          <w:b/>
        </w:rPr>
        <w:t>approprié</w:t>
      </w:r>
      <w:r>
        <w:t xml:space="preserve"> autre que le tachymètre.</w:t>
      </w:r>
      <w:r w:rsidRPr="00385D19">
        <w:t xml:space="preserve"> </w:t>
      </w:r>
      <w:r w:rsidRPr="00437F94">
        <w:rPr>
          <w:b/>
        </w:rPr>
        <w:t>Néanmoins, ce signal d</w:t>
      </w:r>
      <w:r>
        <w:rPr>
          <w:b/>
        </w:rPr>
        <w:t>’</w:t>
      </w:r>
      <w:r w:rsidRPr="00437F94">
        <w:rPr>
          <w:b/>
        </w:rPr>
        <w:t>avertissement n</w:t>
      </w:r>
      <w:r>
        <w:rPr>
          <w:b/>
        </w:rPr>
        <w:t>’</w:t>
      </w:r>
      <w:r w:rsidRPr="00437F94">
        <w:rPr>
          <w:b/>
        </w:rPr>
        <w:t>est pas nécessaire quand la V</w:t>
      </w:r>
      <w:r w:rsidRPr="00437F94">
        <w:rPr>
          <w:b/>
          <w:vertAlign w:val="subscript"/>
        </w:rPr>
        <w:t>rég</w:t>
      </w:r>
      <w:r w:rsidRPr="00437F94">
        <w:rPr>
          <w:b/>
        </w:rPr>
        <w:t xml:space="preserve"> est dépassée du fait d</w:t>
      </w:r>
      <w:r>
        <w:rPr>
          <w:b/>
        </w:rPr>
        <w:t>’</w:t>
      </w:r>
      <w:r w:rsidRPr="00437F94">
        <w:rPr>
          <w:b/>
        </w:rPr>
        <w:t>une action directe de la part du conducteur.</w:t>
      </w:r>
      <w:r w:rsidRPr="002408AC">
        <w:t> »</w:t>
      </w:r>
      <w:r>
        <w:t>.</w:t>
      </w:r>
      <w:r w:rsidRPr="002408AC">
        <w:t xml:space="preserve"> </w:t>
      </w:r>
    </w:p>
    <w:p w:rsidR="00075A00" w:rsidRPr="00314578" w:rsidRDefault="00075A00" w:rsidP="00AE04CC">
      <w:pPr>
        <w:pStyle w:val="SingleTxtG"/>
      </w:pPr>
      <w:r w:rsidRPr="00981D0C">
        <w:rPr>
          <w:i/>
        </w:rPr>
        <w:t>Paragraphe 21.2.5.4.2</w:t>
      </w:r>
      <w:r w:rsidRPr="00314578">
        <w:t xml:space="preserve">, </w:t>
      </w:r>
      <w:r>
        <w:t>modifier comme suit</w:t>
      </w:r>
      <w:r w:rsidR="00AE04CC">
        <w:t> </w:t>
      </w:r>
      <w:r w:rsidRPr="00314578">
        <w:t>:</w:t>
      </w:r>
    </w:p>
    <w:p w:rsidR="00075A00" w:rsidRPr="00F27DF1" w:rsidRDefault="00075A00" w:rsidP="00AE04CC">
      <w:pPr>
        <w:pStyle w:val="SingleTxtG"/>
        <w:ind w:left="2268" w:hanging="1134"/>
        <w:rPr>
          <w:lang w:val="fr-FR"/>
        </w:rPr>
      </w:pPr>
      <w:r>
        <w:t>« </w:t>
      </w:r>
      <w:r w:rsidRPr="00D66ECA">
        <w:t>21.2.5.4.2</w:t>
      </w:r>
      <w:r w:rsidRPr="00D66ECA">
        <w:tab/>
      </w:r>
      <w:r>
        <w:t>Chaque fois que la vitesse du véhicule dépasse la V</w:t>
      </w:r>
      <w:r w:rsidRPr="002D0991">
        <w:rPr>
          <w:vertAlign w:val="subscript"/>
        </w:rPr>
        <w:t>rég</w:t>
      </w:r>
      <w:r>
        <w:t xml:space="preserve">, le conducteur doit en être informé par un </w:t>
      </w:r>
      <w:r w:rsidRPr="008B25C9">
        <w:rPr>
          <w:strike/>
        </w:rPr>
        <w:t>moyen approprié, ou un</w:t>
      </w:r>
      <w:r>
        <w:t xml:space="preserve"> signal d’avertissement</w:t>
      </w:r>
      <w:r w:rsidRPr="008B25C9">
        <w:rPr>
          <w:strike/>
        </w:rPr>
        <w:t>,</w:t>
      </w:r>
      <w:r w:rsidRPr="008B25C9">
        <w:rPr>
          <w:b/>
        </w:rPr>
        <w:t xml:space="preserve"> approprié</w:t>
      </w:r>
      <w:r>
        <w:t xml:space="preserve"> autre que le tachymètre. ».</w:t>
      </w:r>
    </w:p>
    <w:p w:rsidR="00075A00" w:rsidRPr="00D66ECA" w:rsidRDefault="00075A00" w:rsidP="00981D0C">
      <w:pPr>
        <w:pStyle w:val="SingleTxtG"/>
      </w:pPr>
      <w:r w:rsidRPr="00981D0C">
        <w:rPr>
          <w:i/>
        </w:rPr>
        <w:t>Annexe 6</w:t>
      </w:r>
      <w:r w:rsidRPr="00D66ECA">
        <w:t xml:space="preserve">, </w:t>
      </w:r>
    </w:p>
    <w:p w:rsidR="00075A00" w:rsidRPr="003C0BC0" w:rsidRDefault="00075A00" w:rsidP="00981D0C">
      <w:pPr>
        <w:pStyle w:val="SingleTxtG"/>
      </w:pPr>
      <w:r w:rsidRPr="003C0BC0">
        <w:rPr>
          <w:i/>
        </w:rPr>
        <w:t>Paragraphe 1.5.1</w:t>
      </w:r>
      <w:r w:rsidRPr="003C0BC0">
        <w:t xml:space="preserve">, </w:t>
      </w:r>
      <w:r>
        <w:t>modifier comme suit</w:t>
      </w:r>
      <w:r w:rsidR="00981D0C">
        <w:t> </w:t>
      </w:r>
      <w:r w:rsidRPr="003C0BC0">
        <w:t>:</w:t>
      </w:r>
    </w:p>
    <w:p w:rsidR="00075A00" w:rsidRDefault="00075A00" w:rsidP="00AE04CC">
      <w:pPr>
        <w:pStyle w:val="SingleTxtG"/>
        <w:ind w:left="2268" w:hanging="1134"/>
      </w:pPr>
      <w:r>
        <w:rPr>
          <w:lang w:val="fr-FR"/>
        </w:rPr>
        <w:t>« </w:t>
      </w:r>
      <w:r w:rsidRPr="00F27DF1">
        <w:rPr>
          <w:lang w:val="fr-FR"/>
        </w:rPr>
        <w:t>1.5.1</w:t>
      </w:r>
      <w:r w:rsidRPr="00F27DF1">
        <w:rPr>
          <w:lang w:val="fr-FR"/>
        </w:rPr>
        <w:tab/>
      </w:r>
      <w:r>
        <w:t>Lorsque le DLRV ou la FLRV est désactivé, pour chaque rapport de démultiplication sélectionné pour la vitesse d’essai choisie V</w:t>
      </w:r>
      <w:r w:rsidRPr="003C0BC0">
        <w:rPr>
          <w:vertAlign w:val="subscript"/>
        </w:rPr>
        <w:t>rég</w:t>
      </w:r>
      <w:r>
        <w:t>, le service technique doit</w:t>
      </w:r>
      <w:r w:rsidRPr="00B47581">
        <w:rPr>
          <w:b/>
        </w:rPr>
        <w:t> :</w:t>
      </w:r>
    </w:p>
    <w:p w:rsidR="00075A00" w:rsidRDefault="00981D0C" w:rsidP="00981D0C">
      <w:pPr>
        <w:pStyle w:val="SingleTxtG"/>
        <w:ind w:left="2268"/>
      </w:pPr>
      <w:r>
        <w:rPr>
          <w:b/>
        </w:rPr>
        <w:t>a)</w:t>
      </w:r>
      <w:r>
        <w:rPr>
          <w:b/>
        </w:rPr>
        <w:tab/>
        <w:t>S</w:t>
      </w:r>
      <w:r w:rsidR="00075A00" w:rsidRPr="00B47581">
        <w:rPr>
          <w:b/>
        </w:rPr>
        <w:t>oit</w:t>
      </w:r>
      <w:r w:rsidR="00075A00">
        <w:t xml:space="preserve"> mesurer les forces nécessaires sur la pédale d’accélérateur</w:t>
      </w:r>
      <w:r w:rsidR="00075A00" w:rsidRPr="00B47581">
        <w:rPr>
          <w:b/>
        </w:rPr>
        <w:t> ;</w:t>
      </w:r>
    </w:p>
    <w:p w:rsidR="00075A00" w:rsidRPr="00B47581" w:rsidRDefault="00981D0C" w:rsidP="00981D0C">
      <w:pPr>
        <w:pStyle w:val="SingleTxtG"/>
        <w:ind w:left="2268"/>
        <w:rPr>
          <w:b/>
        </w:rPr>
      </w:pPr>
      <w:r>
        <w:rPr>
          <w:b/>
        </w:rPr>
        <w:t>b)</w:t>
      </w:r>
      <w:r>
        <w:rPr>
          <w:b/>
        </w:rPr>
        <w:tab/>
        <w:t>S</w:t>
      </w:r>
      <w:r w:rsidR="00075A00" w:rsidRPr="00B47581">
        <w:rPr>
          <w:b/>
        </w:rPr>
        <w:t>oit mesurer la position que doit avoir la pédale d</w:t>
      </w:r>
      <w:r w:rsidR="00075A00">
        <w:rPr>
          <w:b/>
        </w:rPr>
        <w:t>’</w:t>
      </w:r>
      <w:r w:rsidR="00075A00" w:rsidRPr="00B47581">
        <w:rPr>
          <w:b/>
        </w:rPr>
        <w:t>accélérateur ;</w:t>
      </w:r>
    </w:p>
    <w:p w:rsidR="00075A00" w:rsidRPr="00F27DF1" w:rsidRDefault="00075A00" w:rsidP="00F727DE">
      <w:pPr>
        <w:pStyle w:val="SingleTxtG"/>
        <w:ind w:left="2268"/>
        <w:rPr>
          <w:lang w:val="fr-FR"/>
        </w:rPr>
      </w:pPr>
      <w:r>
        <w:t>pour maintenir la V</w:t>
      </w:r>
      <w:r w:rsidRPr="003C0BC0">
        <w:rPr>
          <w:vertAlign w:val="subscript"/>
        </w:rPr>
        <w:t>rég</w:t>
      </w:r>
      <w:r>
        <w:t xml:space="preserve"> et une vitesse (V</w:t>
      </w:r>
      <w:r w:rsidRPr="003C0BC0">
        <w:rPr>
          <w:vertAlign w:val="subscript"/>
        </w:rPr>
        <w:t>rég</w:t>
      </w:r>
      <w:r>
        <w:t>*) dépassant la V</w:t>
      </w:r>
      <w:r w:rsidRPr="003C0BC0">
        <w:rPr>
          <w:vertAlign w:val="subscript"/>
        </w:rPr>
        <w:t>rég</w:t>
      </w:r>
      <w:r>
        <w:t xml:space="preserve"> de 20 % ou de 20 km/h (la valeur la plus élevée étant retenue).</w:t>
      </w:r>
      <w:r w:rsidR="003345F4">
        <w:t> </w:t>
      </w:r>
      <w:r>
        <w:rPr>
          <w:lang w:val="fr-FR"/>
        </w:rPr>
        <w:t>».</w:t>
      </w:r>
    </w:p>
    <w:p w:rsidR="00075A00" w:rsidRPr="00F27DF1" w:rsidRDefault="00075A00" w:rsidP="00F727DE">
      <w:pPr>
        <w:pStyle w:val="SingleTxtG"/>
        <w:keepNext/>
        <w:rPr>
          <w:lang w:val="fr-FR"/>
        </w:rPr>
      </w:pPr>
      <w:r w:rsidRPr="00F27DF1">
        <w:rPr>
          <w:i/>
          <w:lang w:val="fr-FR"/>
        </w:rPr>
        <w:t>Paragraph</w:t>
      </w:r>
      <w:r>
        <w:rPr>
          <w:i/>
          <w:lang w:val="fr-FR"/>
        </w:rPr>
        <w:t>e</w:t>
      </w:r>
      <w:r w:rsidRPr="00F27DF1">
        <w:rPr>
          <w:i/>
          <w:lang w:val="fr-FR"/>
        </w:rPr>
        <w:t> 1.5.2</w:t>
      </w:r>
      <w:r w:rsidRPr="00F27DF1">
        <w:rPr>
          <w:lang w:val="fr-FR"/>
        </w:rPr>
        <w:t xml:space="preserve">, </w:t>
      </w:r>
      <w:r>
        <w:rPr>
          <w:lang w:val="fr-FR"/>
        </w:rPr>
        <w:t>modifier comme suit</w:t>
      </w:r>
      <w:r w:rsidR="00F727DE">
        <w:rPr>
          <w:lang w:val="fr-FR"/>
        </w:rPr>
        <w:t> </w:t>
      </w:r>
      <w:r w:rsidRPr="00F27DF1">
        <w:rPr>
          <w:lang w:val="fr-FR"/>
        </w:rPr>
        <w:t>:</w:t>
      </w:r>
    </w:p>
    <w:p w:rsidR="003345F4" w:rsidRDefault="00075A00" w:rsidP="00AE04CC">
      <w:pPr>
        <w:pStyle w:val="SingleTxtG"/>
        <w:ind w:left="2268" w:hanging="1134"/>
      </w:pPr>
      <w:r>
        <w:rPr>
          <w:lang w:val="fr-FR"/>
        </w:rPr>
        <w:t>« </w:t>
      </w:r>
      <w:r w:rsidRPr="00F27DF1">
        <w:rPr>
          <w:lang w:val="fr-FR"/>
        </w:rPr>
        <w:t>1.5.2</w:t>
      </w:r>
      <w:r w:rsidRPr="00F27DF1">
        <w:rPr>
          <w:lang w:val="fr-FR"/>
        </w:rPr>
        <w:tab/>
      </w:r>
      <w:r>
        <w:t>Lorsque le DLRV ou la FLRV est activé et réglé à la V</w:t>
      </w:r>
      <w:r w:rsidRPr="00F12408">
        <w:rPr>
          <w:vertAlign w:val="subscript"/>
        </w:rPr>
        <w:t>rég</w:t>
      </w:r>
      <w:r>
        <w:t>, le véhicule doit rouler</w:t>
      </w:r>
      <w:r w:rsidR="0009307D">
        <w:t xml:space="preserve"> à une vitesse inférieure de 10 </w:t>
      </w:r>
      <w:r>
        <w:t>km/h à la V</w:t>
      </w:r>
      <w:r w:rsidRPr="00F12408">
        <w:rPr>
          <w:vertAlign w:val="subscript"/>
        </w:rPr>
        <w:t>rég</w:t>
      </w:r>
      <w:r>
        <w:t xml:space="preserve">. Le véhicule doit ensuite être accéléré </w:t>
      </w:r>
      <w:r w:rsidRPr="002F1ED5">
        <w:rPr>
          <w:b/>
        </w:rPr>
        <w:t xml:space="preserve">soit </w:t>
      </w:r>
      <w:r>
        <w:t xml:space="preserve">en augmentant la force exercée sur la pédale d’accélérateur </w:t>
      </w:r>
      <w:r w:rsidRPr="002F1ED5">
        <w:rPr>
          <w:b/>
        </w:rPr>
        <w:t>soit en ajustant la position de la pédale d</w:t>
      </w:r>
      <w:r>
        <w:rPr>
          <w:b/>
        </w:rPr>
        <w:t>’</w:t>
      </w:r>
      <w:r w:rsidRPr="002F1ED5">
        <w:rPr>
          <w:b/>
        </w:rPr>
        <w:t xml:space="preserve">accélérateur </w:t>
      </w:r>
      <w:r w:rsidR="00F727DE">
        <w:t>pendant une durée de 1 s </w:t>
      </w:r>
      <w:r w:rsidR="00F727DE">
        <w:sym w:font="Symbol" w:char="F0B1"/>
      </w:r>
      <w:r w:rsidR="00F727DE">
        <w:t> </w:t>
      </w:r>
      <w:r>
        <w:t>0,2 s de manière que sa vitesse atteigne la V</w:t>
      </w:r>
      <w:r w:rsidRPr="0004274F">
        <w:rPr>
          <w:vertAlign w:val="subscript"/>
        </w:rPr>
        <w:t>rég</w:t>
      </w:r>
      <w:r>
        <w:t xml:space="preserve">*. </w:t>
      </w:r>
    </w:p>
    <w:p w:rsidR="00075A00" w:rsidRPr="00F27DF1" w:rsidRDefault="00075A00" w:rsidP="003345F4">
      <w:pPr>
        <w:pStyle w:val="SingleTxtG"/>
        <w:ind w:left="2268"/>
        <w:rPr>
          <w:lang w:val="fr-FR"/>
        </w:rPr>
      </w:pPr>
      <w:r>
        <w:t xml:space="preserve">Cette force </w:t>
      </w:r>
      <w:r w:rsidRPr="00FD0CB3">
        <w:rPr>
          <w:b/>
        </w:rPr>
        <w:t>ou position</w:t>
      </w:r>
      <w:r>
        <w:t xml:space="preserve"> doit alors être maintenue pendant une durée d’</w:t>
      </w:r>
      <w:r w:rsidR="00F727DE">
        <w:t>au moins 30 </w:t>
      </w:r>
      <w:r>
        <w:t>s après que la vitesse du véhicule s’est stabilisée</w:t>
      </w:r>
      <w:r w:rsidRPr="00F27DF1">
        <w:rPr>
          <w:lang w:val="fr-FR"/>
        </w:rPr>
        <w:t>.</w:t>
      </w:r>
      <w:r>
        <w:rPr>
          <w:lang w:val="fr-FR"/>
        </w:rPr>
        <w:t> ».</w:t>
      </w:r>
      <w:r w:rsidRPr="00F27DF1">
        <w:rPr>
          <w:lang w:val="fr-FR"/>
        </w:rPr>
        <w:t xml:space="preserve"> </w:t>
      </w:r>
    </w:p>
    <w:p w:rsidR="00075A00" w:rsidRPr="00F27DF1" w:rsidRDefault="004C25F5" w:rsidP="003E4CC4">
      <w:pPr>
        <w:pStyle w:val="HChG"/>
        <w:rPr>
          <w:szCs w:val="28"/>
          <w:lang w:val="fr-FR"/>
        </w:rPr>
      </w:pPr>
      <w:r>
        <w:rPr>
          <w:lang w:val="fr-FR"/>
        </w:rPr>
        <w:tab/>
        <w:t>I</w:t>
      </w:r>
      <w:r w:rsidR="00075A00" w:rsidRPr="00F27DF1">
        <w:rPr>
          <w:lang w:val="fr-FR"/>
        </w:rPr>
        <w:t>I.</w:t>
      </w:r>
      <w:r w:rsidR="00075A00" w:rsidRPr="00F27DF1">
        <w:rPr>
          <w:lang w:val="fr-FR"/>
        </w:rPr>
        <w:tab/>
        <w:t>Justification</w:t>
      </w:r>
    </w:p>
    <w:p w:rsidR="00075A00" w:rsidRPr="00F27DF1" w:rsidRDefault="00075A00" w:rsidP="003E4CC4">
      <w:pPr>
        <w:pStyle w:val="SingleTxtG"/>
        <w:rPr>
          <w:color w:val="000000"/>
          <w:lang w:val="fr-FR"/>
        </w:rPr>
      </w:pPr>
      <w:r w:rsidRPr="00F27DF1">
        <w:rPr>
          <w:lang w:val="fr-FR"/>
        </w:rPr>
        <w:t>1.</w:t>
      </w:r>
      <w:r w:rsidRPr="00F27DF1">
        <w:rPr>
          <w:lang w:val="fr-FR"/>
        </w:rPr>
        <w:tab/>
      </w:r>
      <w:r>
        <w:rPr>
          <w:lang w:val="fr-FR"/>
        </w:rPr>
        <w:t xml:space="preserve">Un avertissement, lorsque le conducteur agit directement (indiquant son intention) pour désactiver temporairement la </w:t>
      </w:r>
      <w:r>
        <w:t>fonction de limitation de vitesse</w:t>
      </w:r>
      <w:r w:rsidRPr="00F27DF1">
        <w:rPr>
          <w:lang w:val="fr-FR"/>
        </w:rPr>
        <w:t xml:space="preserve">, </w:t>
      </w:r>
      <w:r>
        <w:rPr>
          <w:lang w:val="fr-FR"/>
        </w:rPr>
        <w:t>pourrait distraire celui</w:t>
      </w:r>
      <w:r w:rsidR="003E4CC4">
        <w:rPr>
          <w:lang w:val="fr-FR"/>
        </w:rPr>
        <w:noBreakHyphen/>
      </w:r>
      <w:r>
        <w:rPr>
          <w:lang w:val="fr-FR"/>
        </w:rPr>
        <w:t xml:space="preserve">ci. </w:t>
      </w:r>
      <w:r w:rsidRPr="002106A9">
        <w:rPr>
          <w:lang w:val="fr-FR"/>
        </w:rPr>
        <w:t xml:space="preserve">En conséquence, le </w:t>
      </w:r>
      <w:r>
        <w:rPr>
          <w:lang w:val="fr-FR"/>
        </w:rPr>
        <w:t>R</w:t>
      </w:r>
      <w:r w:rsidRPr="002106A9">
        <w:rPr>
          <w:lang w:val="fr-FR"/>
        </w:rPr>
        <w:t>ègle</w:t>
      </w:r>
      <w:r>
        <w:rPr>
          <w:lang w:val="fr-FR"/>
        </w:rPr>
        <w:t>ment</w:t>
      </w:r>
      <w:r w:rsidRPr="002106A9">
        <w:rPr>
          <w:lang w:val="fr-FR"/>
        </w:rPr>
        <w:t xml:space="preserve"> ne devrait pas rendre cet avertissement obligatoire</w:t>
      </w:r>
      <w:r w:rsidRPr="000B2661">
        <w:t xml:space="preserve">. </w:t>
      </w:r>
      <w:r>
        <w:rPr>
          <w:lang w:val="fr-FR"/>
        </w:rPr>
        <w:t>La proposition supprime le caractère obligatoire de cette possible source de distraction.</w:t>
      </w:r>
    </w:p>
    <w:p w:rsidR="00075A00" w:rsidRPr="005F6B98" w:rsidRDefault="00075A00" w:rsidP="003E4CC4">
      <w:pPr>
        <w:pStyle w:val="SingleTxtG"/>
      </w:pPr>
      <w:r w:rsidRPr="00F27DF1">
        <w:rPr>
          <w:lang w:val="fr-FR"/>
        </w:rPr>
        <w:t>2.</w:t>
      </w:r>
      <w:r w:rsidRPr="00F27DF1">
        <w:rPr>
          <w:lang w:val="fr-FR"/>
        </w:rPr>
        <w:tab/>
      </w:r>
      <w:r>
        <w:rPr>
          <w:lang w:val="fr-FR"/>
        </w:rPr>
        <w:t xml:space="preserve">La commande des gaz par ajustement de la </w:t>
      </w:r>
      <w:r w:rsidRPr="00F27DF1">
        <w:rPr>
          <w:lang w:val="fr-FR"/>
        </w:rPr>
        <w:t xml:space="preserve">position </w:t>
      </w:r>
      <w:r>
        <w:rPr>
          <w:lang w:val="fr-FR"/>
        </w:rPr>
        <w:t>d</w:t>
      </w:r>
      <w:r w:rsidRPr="00F27DF1">
        <w:rPr>
          <w:lang w:val="fr-FR"/>
        </w:rPr>
        <w:t>e</w:t>
      </w:r>
      <w:r>
        <w:rPr>
          <w:lang w:val="fr-FR"/>
        </w:rPr>
        <w:t xml:space="preserve"> la</w:t>
      </w:r>
      <w:r w:rsidRPr="00F27DF1">
        <w:rPr>
          <w:lang w:val="fr-FR"/>
        </w:rPr>
        <w:t xml:space="preserve"> p</w:t>
      </w:r>
      <w:r>
        <w:rPr>
          <w:lang w:val="fr-FR"/>
        </w:rPr>
        <w:t>é</w:t>
      </w:r>
      <w:r w:rsidRPr="00F27DF1">
        <w:rPr>
          <w:lang w:val="fr-FR"/>
        </w:rPr>
        <w:t>dal</w:t>
      </w:r>
      <w:r>
        <w:rPr>
          <w:lang w:val="fr-FR"/>
        </w:rPr>
        <w:t>e est une pratique normale de l’</w:t>
      </w:r>
      <w:r w:rsidRPr="00F27DF1">
        <w:rPr>
          <w:lang w:val="fr-FR"/>
        </w:rPr>
        <w:t>industr</w:t>
      </w:r>
      <w:r>
        <w:rPr>
          <w:lang w:val="fr-FR"/>
        </w:rPr>
        <w:t>i</w:t>
      </w:r>
      <w:r w:rsidRPr="00F27DF1">
        <w:rPr>
          <w:lang w:val="fr-FR"/>
        </w:rPr>
        <w:t xml:space="preserve">e. </w:t>
      </w:r>
      <w:r w:rsidRPr="005F6B98">
        <w:t>Il s</w:t>
      </w:r>
      <w:r>
        <w:t>’</w:t>
      </w:r>
      <w:r w:rsidRPr="005F6B98">
        <w:t>avère que</w:t>
      </w:r>
      <w:r w:rsidR="003345F4">
        <w:t>,</w:t>
      </w:r>
      <w:r w:rsidRPr="005F6B98">
        <w:t xml:space="preserve"> dans le cas d</w:t>
      </w:r>
      <w:r>
        <w:t>’</w:t>
      </w:r>
      <w:r w:rsidRPr="005F6B98">
        <w:t>un</w:t>
      </w:r>
      <w:r>
        <w:t>e pédale d’a</w:t>
      </w:r>
      <w:r w:rsidRPr="00193447">
        <w:t>ccélérateur électronique</w:t>
      </w:r>
      <w:r w:rsidRPr="005F6B98">
        <w:t xml:space="preserve">, la corrélation entre la </w:t>
      </w:r>
      <w:r w:rsidRPr="005F6B98">
        <w:rPr>
          <w:u w:val="single"/>
        </w:rPr>
        <w:t>position de la pédale</w:t>
      </w:r>
      <w:r>
        <w:t xml:space="preserve"> et l’ouverture des gaz qui en résulte est plus précise que celle qui existe entre la </w:t>
      </w:r>
      <w:r w:rsidRPr="00E12C9B">
        <w:rPr>
          <w:u w:val="single"/>
        </w:rPr>
        <w:t>force exercée sur la pédale</w:t>
      </w:r>
      <w:r>
        <w:t xml:space="preserve"> et l’ouverture des gaz qui en résulte</w:t>
      </w:r>
      <w:r w:rsidRPr="005F6B98">
        <w:t>.</w:t>
      </w:r>
    </w:p>
    <w:p w:rsidR="00446FE5" w:rsidRDefault="00075A00" w:rsidP="003E4CC4">
      <w:pPr>
        <w:pStyle w:val="SingleTxtG"/>
        <w:rPr>
          <w:lang w:val="fr-FR"/>
        </w:rPr>
      </w:pPr>
      <w:r w:rsidRPr="00F27DF1">
        <w:rPr>
          <w:lang w:val="fr-FR"/>
        </w:rPr>
        <w:t>3.</w:t>
      </w:r>
      <w:r w:rsidRPr="00F27DF1">
        <w:rPr>
          <w:lang w:val="fr-FR"/>
        </w:rPr>
        <w:tab/>
      </w:r>
      <w:r>
        <w:rPr>
          <w:lang w:val="fr-FR"/>
        </w:rPr>
        <w:t>Deux erreurs rédactionnelles ont été recensées lors de l’élaboration de la</w:t>
      </w:r>
      <w:r w:rsidR="00BA5078">
        <w:rPr>
          <w:lang w:val="fr-FR"/>
        </w:rPr>
        <w:t> </w:t>
      </w:r>
      <w:r>
        <w:rPr>
          <w:lang w:val="fr-FR"/>
        </w:rPr>
        <w:t>proposition : les mots « </w:t>
      </w:r>
      <w:r w:rsidRPr="00100782">
        <w:rPr>
          <w:lang w:val="fr-FR"/>
        </w:rPr>
        <w:t>un moyen approprié, ou</w:t>
      </w:r>
      <w:r>
        <w:rPr>
          <w:lang w:val="fr-FR"/>
        </w:rPr>
        <w:t> » sont superflus dans les paragraphes</w:t>
      </w:r>
      <w:r w:rsidR="00BA5078">
        <w:rPr>
          <w:lang w:val="fr-FR"/>
        </w:rPr>
        <w:t> </w:t>
      </w:r>
      <w:r w:rsidRPr="00F27DF1">
        <w:rPr>
          <w:lang w:val="fr-FR"/>
        </w:rPr>
        <w:t xml:space="preserve">5.2.5.4.2 </w:t>
      </w:r>
      <w:r>
        <w:rPr>
          <w:lang w:val="fr-FR"/>
        </w:rPr>
        <w:t>et</w:t>
      </w:r>
      <w:r w:rsidRPr="00F27DF1">
        <w:rPr>
          <w:lang w:val="fr-FR"/>
        </w:rPr>
        <w:t xml:space="preserve"> 21.2.5.4.2.</w:t>
      </w:r>
    </w:p>
    <w:p w:rsidR="003E4CC4" w:rsidRPr="003E4CC4" w:rsidRDefault="003E4CC4" w:rsidP="003E4CC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E4CC4" w:rsidRPr="003E4CC4" w:rsidSect="001B5A4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08A" w:rsidRDefault="004A608A" w:rsidP="00F95C08">
      <w:pPr>
        <w:spacing w:line="240" w:lineRule="auto"/>
      </w:pPr>
    </w:p>
  </w:endnote>
  <w:endnote w:type="continuationSeparator" w:id="0">
    <w:p w:rsidR="004A608A" w:rsidRPr="00AC3823" w:rsidRDefault="004A608A" w:rsidP="00AC3823">
      <w:pPr>
        <w:pStyle w:val="Footer"/>
      </w:pPr>
    </w:p>
  </w:endnote>
  <w:endnote w:type="continuationNotice" w:id="1">
    <w:p w:rsidR="004A608A" w:rsidRDefault="004A608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A4E" w:rsidRPr="001B5A4E" w:rsidRDefault="001B5A4E" w:rsidP="001B5A4E">
    <w:pPr>
      <w:pStyle w:val="Footer"/>
      <w:tabs>
        <w:tab w:val="right" w:pos="9638"/>
      </w:tabs>
    </w:pPr>
    <w:r w:rsidRPr="001B5A4E">
      <w:rPr>
        <w:b/>
        <w:sz w:val="18"/>
      </w:rPr>
      <w:fldChar w:fldCharType="begin"/>
    </w:r>
    <w:r w:rsidRPr="001B5A4E">
      <w:rPr>
        <w:b/>
        <w:sz w:val="18"/>
      </w:rPr>
      <w:instrText xml:space="preserve"> PAGE  \* MERGEFORMAT </w:instrText>
    </w:r>
    <w:r w:rsidRPr="001B5A4E">
      <w:rPr>
        <w:b/>
        <w:sz w:val="18"/>
      </w:rPr>
      <w:fldChar w:fldCharType="separate"/>
    </w:r>
    <w:r w:rsidR="00512C18">
      <w:rPr>
        <w:b/>
        <w:noProof/>
        <w:sz w:val="18"/>
      </w:rPr>
      <w:t>2</w:t>
    </w:r>
    <w:r w:rsidRPr="001B5A4E">
      <w:rPr>
        <w:b/>
        <w:sz w:val="18"/>
      </w:rPr>
      <w:fldChar w:fldCharType="end"/>
    </w:r>
    <w:r>
      <w:rPr>
        <w:b/>
        <w:sz w:val="18"/>
      </w:rPr>
      <w:tab/>
    </w:r>
    <w:r>
      <w:t>GE.17-11269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A4E" w:rsidRPr="001B5A4E" w:rsidRDefault="001B5A4E" w:rsidP="001B5A4E">
    <w:pPr>
      <w:pStyle w:val="Footer"/>
      <w:tabs>
        <w:tab w:val="right" w:pos="9638"/>
      </w:tabs>
      <w:rPr>
        <w:b/>
        <w:sz w:val="18"/>
      </w:rPr>
    </w:pPr>
    <w:r>
      <w:t>GE.17-11269</w:t>
    </w:r>
    <w:r>
      <w:tab/>
    </w:r>
    <w:r w:rsidRPr="001B5A4E">
      <w:rPr>
        <w:b/>
        <w:sz w:val="18"/>
      </w:rPr>
      <w:fldChar w:fldCharType="begin"/>
    </w:r>
    <w:r w:rsidRPr="001B5A4E">
      <w:rPr>
        <w:b/>
        <w:sz w:val="18"/>
      </w:rPr>
      <w:instrText xml:space="preserve"> PAGE  \* MERGEFORMAT </w:instrText>
    </w:r>
    <w:r w:rsidRPr="001B5A4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B5A4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E9" w:rsidRPr="001B5A4E" w:rsidRDefault="001B5A4E" w:rsidP="001B5A4E">
    <w:pPr>
      <w:pStyle w:val="Footer"/>
      <w:spacing w:before="120"/>
      <w:rPr>
        <w:sz w:val="20"/>
      </w:rPr>
    </w:pPr>
    <w:r>
      <w:rPr>
        <w:sz w:val="20"/>
      </w:rPr>
      <w:t>GE.</w:t>
    </w:r>
    <w:r w:rsidR="000D3EE9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0" wp14:anchorId="033797F0" wp14:editId="06CC754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17-11269  (F)</w:t>
    </w:r>
    <w:r w:rsidR="00F04CCD">
      <w:rPr>
        <w:sz w:val="20"/>
      </w:rPr>
      <w:t xml:space="preserve">    310717    310717</w:t>
    </w:r>
    <w:r>
      <w:rPr>
        <w:sz w:val="20"/>
      </w:rPr>
      <w:br/>
    </w:r>
    <w:r w:rsidRPr="001B5A4E">
      <w:rPr>
        <w:rFonts w:ascii="C39T30Lfz" w:hAnsi="C39T30Lfz"/>
        <w:sz w:val="56"/>
      </w:rPr>
      <w:t></w:t>
    </w:r>
    <w:r w:rsidRPr="001B5A4E">
      <w:rPr>
        <w:rFonts w:ascii="C39T30Lfz" w:hAnsi="C39T30Lfz"/>
        <w:sz w:val="56"/>
      </w:rPr>
      <w:t></w:t>
    </w:r>
    <w:r w:rsidRPr="001B5A4E">
      <w:rPr>
        <w:rFonts w:ascii="C39T30Lfz" w:hAnsi="C39T30Lfz"/>
        <w:sz w:val="56"/>
      </w:rPr>
      <w:t></w:t>
    </w:r>
    <w:r w:rsidRPr="001B5A4E">
      <w:rPr>
        <w:rFonts w:ascii="C39T30Lfz" w:hAnsi="C39T30Lfz"/>
        <w:sz w:val="56"/>
      </w:rPr>
      <w:t></w:t>
    </w:r>
    <w:r w:rsidRPr="001B5A4E">
      <w:rPr>
        <w:rFonts w:ascii="C39T30Lfz" w:hAnsi="C39T30Lfz"/>
        <w:sz w:val="56"/>
      </w:rPr>
      <w:t></w:t>
    </w:r>
    <w:r w:rsidRPr="001B5A4E">
      <w:rPr>
        <w:rFonts w:ascii="C39T30Lfz" w:hAnsi="C39T30Lfz"/>
        <w:sz w:val="56"/>
      </w:rPr>
      <w:t></w:t>
    </w:r>
    <w:r w:rsidRPr="001B5A4E">
      <w:rPr>
        <w:rFonts w:ascii="C39T30Lfz" w:hAnsi="C39T30Lfz"/>
        <w:sz w:val="56"/>
      </w:rPr>
      <w:t></w:t>
    </w:r>
    <w:r w:rsidRPr="001B5A4E">
      <w:rPr>
        <w:rFonts w:ascii="C39T30Lfz" w:hAnsi="C39T30Lfz"/>
        <w:sz w:val="56"/>
      </w:rPr>
      <w:t></w:t>
    </w:r>
    <w:r w:rsidRPr="001B5A4E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 descr="https://undocs.org/m2/QRCode.ashx?DS=ECE/TRANS/WP.29/GRRF/2017/2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RF/2017/2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08A" w:rsidRPr="00AC3823" w:rsidRDefault="004A608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A608A" w:rsidRPr="00AC3823" w:rsidRDefault="004A608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A608A" w:rsidRPr="00AC3823" w:rsidRDefault="004A608A">
      <w:pPr>
        <w:spacing w:line="240" w:lineRule="auto"/>
        <w:rPr>
          <w:sz w:val="2"/>
          <w:szCs w:val="2"/>
        </w:rPr>
      </w:pPr>
    </w:p>
  </w:footnote>
  <w:footnote w:id="2">
    <w:p w:rsidR="00075A00" w:rsidRPr="00075A00" w:rsidRDefault="00075A00" w:rsidP="00075A00">
      <w:pPr>
        <w:pStyle w:val="FootnoteText"/>
      </w:pPr>
      <w:r>
        <w:rPr>
          <w:rStyle w:val="FootnoteReference"/>
        </w:rPr>
        <w:tab/>
      </w:r>
      <w:r w:rsidRPr="00075A00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la période 2016</w:t>
      </w:r>
      <w:r w:rsidR="00F04CCD">
        <w:rPr>
          <w:lang w:val="fr-FR"/>
        </w:rPr>
        <w:noBreakHyphen/>
      </w:r>
      <w:r w:rsidR="00352AC8">
        <w:rPr>
          <w:lang w:val="fr-FR"/>
        </w:rPr>
        <w:t>2017 (ECE/TRANS/254, par. </w:t>
      </w:r>
      <w:r>
        <w:rPr>
          <w:lang w:val="fr-FR"/>
        </w:rPr>
        <w:t>159, et ECE/TRANS/2016/28/Add.1, module 3.1), le Forum mondial a pour mission d’élaborer, d’harmoniser et de mettre à jour les Règlements en vue d’améliorer les caractéristiques fonctionnelles des véhicules. Le présent document est soumis en</w:t>
      </w:r>
      <w:r w:rsidR="00352AC8">
        <w:rPr>
          <w:lang w:val="fr-FR"/>
        </w:rPr>
        <w:t> </w:t>
      </w:r>
      <w:r>
        <w:rPr>
          <w:lang w:val="fr-FR"/>
        </w:rPr>
        <w:t>vertu</w:t>
      </w:r>
      <w:r w:rsidR="00352AC8">
        <w:rPr>
          <w:lang w:val="fr-FR"/>
        </w:rPr>
        <w:t> </w:t>
      </w:r>
      <w:r>
        <w:rPr>
          <w:lang w:val="fr-FR"/>
        </w:rPr>
        <w:t>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A4E" w:rsidRPr="001B5A4E" w:rsidRDefault="00512C1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B5A4E">
      <w:t>ECE/TRANS/WP.29/GRRF/2017/22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A4E" w:rsidRPr="001B5A4E" w:rsidRDefault="00512C18" w:rsidP="001B5A4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B5A4E">
      <w:t>ECE/TRANS/WP.29/GRRF/2017/22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9081E36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49F466E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16EA87C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8A"/>
    <w:rsid w:val="00002599"/>
    <w:rsid w:val="00017F94"/>
    <w:rsid w:val="00023842"/>
    <w:rsid w:val="000334F9"/>
    <w:rsid w:val="00075A00"/>
    <w:rsid w:val="0007796D"/>
    <w:rsid w:val="0009307D"/>
    <w:rsid w:val="000B7790"/>
    <w:rsid w:val="000D3EE9"/>
    <w:rsid w:val="00111F2F"/>
    <w:rsid w:val="001433FD"/>
    <w:rsid w:val="0014365E"/>
    <w:rsid w:val="001541D3"/>
    <w:rsid w:val="00176178"/>
    <w:rsid w:val="001B5A4E"/>
    <w:rsid w:val="001F1705"/>
    <w:rsid w:val="001F525A"/>
    <w:rsid w:val="00223272"/>
    <w:rsid w:val="0024779E"/>
    <w:rsid w:val="002832AC"/>
    <w:rsid w:val="00295CCA"/>
    <w:rsid w:val="002D7C93"/>
    <w:rsid w:val="003345F4"/>
    <w:rsid w:val="00352AC8"/>
    <w:rsid w:val="003E4CC4"/>
    <w:rsid w:val="004136CC"/>
    <w:rsid w:val="00441C3B"/>
    <w:rsid w:val="00446B0A"/>
    <w:rsid w:val="00446FE5"/>
    <w:rsid w:val="00452396"/>
    <w:rsid w:val="004A608A"/>
    <w:rsid w:val="004C25F5"/>
    <w:rsid w:val="004E468C"/>
    <w:rsid w:val="00506BE1"/>
    <w:rsid w:val="00512C18"/>
    <w:rsid w:val="005316B0"/>
    <w:rsid w:val="005505B7"/>
    <w:rsid w:val="00573BE5"/>
    <w:rsid w:val="00586ED3"/>
    <w:rsid w:val="00596AA9"/>
    <w:rsid w:val="005F2353"/>
    <w:rsid w:val="00706363"/>
    <w:rsid w:val="0071601D"/>
    <w:rsid w:val="0074674C"/>
    <w:rsid w:val="007A62E6"/>
    <w:rsid w:val="0080684C"/>
    <w:rsid w:val="00871C75"/>
    <w:rsid w:val="008776DC"/>
    <w:rsid w:val="009705C8"/>
    <w:rsid w:val="00981D0C"/>
    <w:rsid w:val="009C1CF4"/>
    <w:rsid w:val="00A30353"/>
    <w:rsid w:val="00AA113A"/>
    <w:rsid w:val="00AC3823"/>
    <w:rsid w:val="00AE04CC"/>
    <w:rsid w:val="00AE323C"/>
    <w:rsid w:val="00B00181"/>
    <w:rsid w:val="00B00B0D"/>
    <w:rsid w:val="00B765F7"/>
    <w:rsid w:val="00BA0CA9"/>
    <w:rsid w:val="00BA5078"/>
    <w:rsid w:val="00C02897"/>
    <w:rsid w:val="00C51CFA"/>
    <w:rsid w:val="00D3439C"/>
    <w:rsid w:val="00DB1831"/>
    <w:rsid w:val="00DC3A23"/>
    <w:rsid w:val="00DD3BFD"/>
    <w:rsid w:val="00DF6678"/>
    <w:rsid w:val="00EF2E22"/>
    <w:rsid w:val="00F04CCD"/>
    <w:rsid w:val="00F660DF"/>
    <w:rsid w:val="00F727DE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74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7467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7467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74674C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7467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74674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7467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467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7467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467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467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4674C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4674C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74674C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BVI fnr, BVI fnr,Footnote symbol,Footnote,Footnote Reference Superscript,SUPERS,-E Fußnotenzeichen"/>
    <w:basedOn w:val="DefaultParagraphFont"/>
    <w:qFormat/>
    <w:rsid w:val="0074674C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74674C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74674C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4674C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4674C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7467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74674C"/>
  </w:style>
  <w:style w:type="character" w:customStyle="1" w:styleId="EndnoteTextChar">
    <w:name w:val="Endnote Text Char"/>
    <w:aliases w:val="2_G Char"/>
    <w:basedOn w:val="DefaultParagraphFont"/>
    <w:link w:val="EndnoteText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74674C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74674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75A00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efault">
    <w:name w:val="Default"/>
    <w:basedOn w:val="Normal"/>
    <w:rsid w:val="00075A00"/>
    <w:pPr>
      <w:suppressAutoHyphens w:val="0"/>
      <w:kinsoku/>
      <w:overflowPunct/>
      <w:autoSpaceDE/>
      <w:autoSpaceDN/>
      <w:adjustRightInd/>
      <w:snapToGrid/>
      <w:spacing w:line="240" w:lineRule="auto"/>
    </w:pPr>
    <w:rPr>
      <w:rFonts w:eastAsia="Times New Roman"/>
      <w:color w:val="000000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74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7467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7467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74674C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7467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74674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7467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467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7467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467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467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4674C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4674C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74674C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BVI fnr, BVI fnr,Footnote symbol,Footnote,Footnote Reference Superscript,SUPERS,-E Fußnotenzeichen"/>
    <w:basedOn w:val="DefaultParagraphFont"/>
    <w:qFormat/>
    <w:rsid w:val="0074674C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74674C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74674C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4674C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4674C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7467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74674C"/>
  </w:style>
  <w:style w:type="character" w:customStyle="1" w:styleId="EndnoteTextChar">
    <w:name w:val="Endnote Text Char"/>
    <w:aliases w:val="2_G Char"/>
    <w:basedOn w:val="DefaultParagraphFont"/>
    <w:link w:val="EndnoteText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74674C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74674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75A00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efault">
    <w:name w:val="Default"/>
    <w:basedOn w:val="Normal"/>
    <w:rsid w:val="00075A00"/>
    <w:pPr>
      <w:suppressAutoHyphens w:val="0"/>
      <w:kinsoku/>
      <w:overflowPunct/>
      <w:autoSpaceDE/>
      <w:autoSpaceDN/>
      <w:adjustRightInd/>
      <w:snapToGrid/>
      <w:spacing w:line="240" w:lineRule="auto"/>
    </w:pPr>
    <w:rPr>
      <w:rFonts w:eastAsia="Times New Roman"/>
      <w:color w:val="000000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3044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ECE/TRANS/WP.29/GRRF/2017/22</vt:lpstr>
      <vt:lpstr>ECE/TRANS/WP.29/GRRF/2017/22</vt:lpstr>
    </vt:vector>
  </TitlesOfParts>
  <Company>DCM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ECE/TRANS/WP.29/GRRF/2017/22</dc:title>
  <dc:creator>Nath VITTOZ</dc:creator>
  <cp:lastModifiedBy>Benedicte Boudol</cp:lastModifiedBy>
  <cp:revision>2</cp:revision>
  <cp:lastPrinted>2014-05-14T10:59:00Z</cp:lastPrinted>
  <dcterms:created xsi:type="dcterms:W3CDTF">2017-08-16T07:10:00Z</dcterms:created>
  <dcterms:modified xsi:type="dcterms:W3CDTF">2017-08-16T07:10:00Z</dcterms:modified>
</cp:coreProperties>
</file>