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F46E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79775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F46EC" w:rsidP="007F46EC">
            <w:pPr>
              <w:jc w:val="right"/>
            </w:pPr>
            <w:r w:rsidRPr="007F46EC">
              <w:rPr>
                <w:sz w:val="40"/>
              </w:rPr>
              <w:t>ECE</w:t>
            </w:r>
            <w:r>
              <w:t>/TRANS/WP.29/GRSG/2017/6</w:t>
            </w:r>
          </w:p>
        </w:tc>
      </w:tr>
      <w:tr w:rsidR="00F35BAF" w:rsidRPr="00DB58B5" w:rsidTr="0079775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79775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79775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F46EC" w:rsidP="00797756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7F46EC" w:rsidRDefault="007F46EC" w:rsidP="007F46EC">
            <w:pPr>
              <w:spacing w:line="240" w:lineRule="exact"/>
            </w:pPr>
            <w:r>
              <w:t>1</w:t>
            </w:r>
            <w:r w:rsidRPr="007F46EC">
              <w:rPr>
                <w:vertAlign w:val="superscript"/>
              </w:rPr>
              <w:t>er</w:t>
            </w:r>
            <w:r>
              <w:t> février 2017</w:t>
            </w:r>
          </w:p>
          <w:p w:rsidR="007F46EC" w:rsidRDefault="007F46EC" w:rsidP="007F46EC">
            <w:pPr>
              <w:spacing w:line="240" w:lineRule="exact"/>
            </w:pPr>
            <w:r>
              <w:t>Français</w:t>
            </w:r>
          </w:p>
          <w:p w:rsidR="007F46EC" w:rsidRPr="00DB58B5" w:rsidRDefault="007F46EC" w:rsidP="007F46E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A072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C4AB2" w:rsidRDefault="00EC4AB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A072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C4AB2" w:rsidRDefault="00EC4AB2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EC4AB2" w:rsidRDefault="00EC4AB2" w:rsidP="00257168">
      <w:pPr>
        <w:spacing w:before="120" w:line="240" w:lineRule="exact"/>
        <w:rPr>
          <w:b/>
        </w:rPr>
      </w:pPr>
      <w:r>
        <w:rPr>
          <w:b/>
        </w:rPr>
        <w:t>112</w:t>
      </w:r>
      <w:r w:rsidRPr="00EC4AB2">
        <w:rPr>
          <w:b/>
          <w:vertAlign w:val="superscript"/>
        </w:rPr>
        <w:t>e</w:t>
      </w:r>
      <w:r>
        <w:rPr>
          <w:b/>
        </w:rPr>
        <w:t> session</w:t>
      </w:r>
    </w:p>
    <w:p w:rsidR="00EC4AB2" w:rsidRDefault="00EC4AB2" w:rsidP="00257168">
      <w:pPr>
        <w:spacing w:line="240" w:lineRule="exact"/>
      </w:pPr>
      <w:r>
        <w:t xml:space="preserve">Genève, </w:t>
      </w:r>
      <w:r w:rsidRPr="00797756">
        <w:t>24-28 avril 2017</w:t>
      </w:r>
    </w:p>
    <w:p w:rsidR="00EC4AB2" w:rsidRDefault="00EC4AB2" w:rsidP="00257168">
      <w:pPr>
        <w:spacing w:line="240" w:lineRule="exact"/>
      </w:pPr>
      <w:r>
        <w:t>Point 4 de l</w:t>
      </w:r>
      <w:r w:rsidR="001A0723">
        <w:t>’</w:t>
      </w:r>
      <w:r>
        <w:t xml:space="preserve">ordre du jour </w:t>
      </w:r>
      <w:r w:rsidRPr="00797756">
        <w:t>provisoire</w:t>
      </w:r>
    </w:p>
    <w:p w:rsidR="00797756" w:rsidRPr="00EC4AB2" w:rsidRDefault="00797756" w:rsidP="00EC4AB2">
      <w:pPr>
        <w:rPr>
          <w:b/>
        </w:rPr>
      </w:pPr>
      <w:r w:rsidRPr="00EC4AB2">
        <w:rPr>
          <w:b/>
        </w:rPr>
        <w:t xml:space="preserve">Règlement </w:t>
      </w:r>
      <w:r w:rsidR="00AD6DEC" w:rsidRPr="00AD6DEC">
        <w:rPr>
          <w:rFonts w:eastAsia="MS Mincho"/>
          <w:b/>
          <w:szCs w:val="22"/>
        </w:rPr>
        <w:t>n</w:t>
      </w:r>
      <w:r w:rsidR="00AD6DEC" w:rsidRPr="00AD6DEC">
        <w:rPr>
          <w:rFonts w:eastAsia="MS Mincho"/>
          <w:b/>
          <w:szCs w:val="22"/>
          <w:vertAlign w:val="superscript"/>
        </w:rPr>
        <w:t>o</w:t>
      </w:r>
      <w:r w:rsidR="00AD6DEC">
        <w:rPr>
          <w:b/>
        </w:rPr>
        <w:t> </w:t>
      </w:r>
      <w:r w:rsidRPr="00EC4AB2">
        <w:rPr>
          <w:b/>
        </w:rPr>
        <w:t>43 (Vitrages de sécurité)</w:t>
      </w:r>
    </w:p>
    <w:p w:rsidR="00797756" w:rsidRPr="00797756" w:rsidRDefault="00EC4AB2" w:rsidP="00EC4AB2">
      <w:pPr>
        <w:pStyle w:val="HChG"/>
      </w:pPr>
      <w:r>
        <w:tab/>
      </w:r>
      <w:r>
        <w:tab/>
      </w:r>
      <w:r w:rsidR="00797756" w:rsidRPr="00797756">
        <w:t>Proposition de complément 6 à la série 01 d</w:t>
      </w:r>
      <w:r w:rsidR="001A0723">
        <w:t>’</w:t>
      </w:r>
      <w:r w:rsidR="00797756" w:rsidRPr="00797756">
        <w:t xml:space="preserve">amendements au 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="00797756" w:rsidRPr="00797756">
        <w:t>43 (Vitrages de sécurité)</w:t>
      </w:r>
    </w:p>
    <w:p w:rsidR="00797756" w:rsidRPr="00797756" w:rsidRDefault="00EC4AB2" w:rsidP="00EC4AB2">
      <w:pPr>
        <w:pStyle w:val="H1G"/>
        <w:rPr>
          <w:vertAlign w:val="superscript"/>
        </w:rPr>
      </w:pPr>
      <w:r>
        <w:tab/>
      </w:r>
      <w:r>
        <w:tab/>
      </w:r>
      <w:r w:rsidR="00797756" w:rsidRPr="00797756">
        <w:t>Communication de l</w:t>
      </w:r>
      <w:r w:rsidR="001A0723">
        <w:t>’</w:t>
      </w:r>
      <w:r w:rsidR="00797756" w:rsidRPr="00797756">
        <w:t>expert de l</w:t>
      </w:r>
      <w:r w:rsidR="001A0723">
        <w:t>’</w:t>
      </w:r>
      <w:r w:rsidR="00797756" w:rsidRPr="00797756">
        <w:t>Allemagne</w:t>
      </w:r>
      <w:r w:rsidRPr="00EC4AB2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797756" w:rsidRPr="00797756" w:rsidRDefault="00797756" w:rsidP="00EC4AB2">
      <w:pPr>
        <w:pStyle w:val="SingleTxtG"/>
        <w:ind w:firstLine="567"/>
      </w:pPr>
      <w:r w:rsidRPr="00797756">
        <w:t>Le texte reproduit ci-après a été établi par l</w:t>
      </w:r>
      <w:r w:rsidR="001A0723">
        <w:t>’</w:t>
      </w:r>
      <w:r w:rsidRPr="00797756">
        <w:t>expert de l</w:t>
      </w:r>
      <w:r w:rsidR="001A0723">
        <w:t>’</w:t>
      </w:r>
      <w:r w:rsidRPr="00797756">
        <w:t>Allemagne en vue de pleinement aligner a)</w:t>
      </w:r>
      <w:r w:rsidR="00EC4AB2">
        <w:t xml:space="preserve"> </w:t>
      </w:r>
      <w:r w:rsidRPr="00797756">
        <w:t>les prescriptions applicables à l</w:t>
      </w:r>
      <w:r w:rsidR="001A0723">
        <w:t>’</w:t>
      </w:r>
      <w:r w:rsidRPr="00797756">
        <w:t>essai de comportement au choc de la tête avec mesure de la décélération et b)</w:t>
      </w:r>
      <w:r w:rsidR="00EC4AB2">
        <w:t xml:space="preserve"> </w:t>
      </w:r>
      <w:r w:rsidRPr="00797756">
        <w:t>les prescriptions qui portent sur l</w:t>
      </w:r>
      <w:r w:rsidR="001A0723">
        <w:t>’</w:t>
      </w:r>
      <w:r w:rsidRPr="00797756">
        <w:t>essai de résistance à l</w:t>
      </w:r>
      <w:r w:rsidR="001A0723">
        <w:t>’</w:t>
      </w:r>
      <w:r w:rsidRPr="00797756">
        <w:t>abrasion,</w:t>
      </w:r>
      <w:r w:rsidR="007F6572">
        <w:t xml:space="preserve"> </w:t>
      </w:r>
      <w:r w:rsidRPr="00797756">
        <w:t>sur les prescriptions correspondantes qui figurent dans la norme ISO</w:t>
      </w:r>
      <w:r w:rsidR="00EC4AB2">
        <w:t> </w:t>
      </w:r>
      <w:r w:rsidRPr="00797756">
        <w:t>15082:2016-11. Les principaux amendements qui s</w:t>
      </w:r>
      <w:r w:rsidR="001A0723">
        <w:t>’</w:t>
      </w:r>
      <w:r w:rsidRPr="00797756">
        <w:t>inspirent de cette norme portent sur l</w:t>
      </w:r>
      <w:r w:rsidR="001A0723">
        <w:t>’</w:t>
      </w:r>
      <w:r w:rsidRPr="00797756">
        <w:t>ajout ou la modification d</w:t>
      </w:r>
      <w:r w:rsidR="001A0723">
        <w:t>’</w:t>
      </w:r>
      <w:r w:rsidRPr="00797756">
        <w:t>importants paramètres d</w:t>
      </w:r>
      <w:r w:rsidR="001A0723">
        <w:t>’</w:t>
      </w:r>
      <w:r w:rsidRPr="00797756">
        <w:t>essai, sur la correction des valeurs d</w:t>
      </w:r>
      <w:r w:rsidR="001A0723">
        <w:t>’</w:t>
      </w:r>
      <w:r w:rsidRPr="00797756">
        <w:t>étalonnage de la tête d</w:t>
      </w:r>
      <w:r w:rsidR="001A0723">
        <w:t>’</w:t>
      </w:r>
      <w:r w:rsidRPr="00797756">
        <w:t>essai et sur l</w:t>
      </w:r>
      <w:r w:rsidR="001A0723">
        <w:t>’</w:t>
      </w:r>
      <w:r w:rsidRPr="00797756">
        <w:t>introduction de matériaux de référence pour la résistance à l</w:t>
      </w:r>
      <w:r w:rsidR="001A0723">
        <w:t>’</w:t>
      </w:r>
      <w:r w:rsidRPr="00797756">
        <w:t>abrasion associés à une qualification concernant les roulettes abrasives ainsi</w:t>
      </w:r>
      <w:r w:rsidR="007F6572">
        <w:t xml:space="preserve"> </w:t>
      </w:r>
      <w:r w:rsidRPr="00797756">
        <w:t>que d</w:t>
      </w:r>
      <w:r w:rsidR="001A0723">
        <w:t>’</w:t>
      </w:r>
      <w:r w:rsidRPr="00797756">
        <w:t>un facteur de correction (uniquement</w:t>
      </w:r>
      <w:r w:rsidR="00EC4AB2">
        <w:t xml:space="preserve"> pour les matières plastiques).</w:t>
      </w:r>
    </w:p>
    <w:p w:rsidR="00797756" w:rsidRDefault="00797756" w:rsidP="00EC4AB2">
      <w:pPr>
        <w:pStyle w:val="SingleTxtG"/>
        <w:ind w:firstLine="567"/>
      </w:pPr>
      <w:r w:rsidRPr="00797756">
        <w:t>Le document ECE/TRANS/WP.29/GRSG/2015/22, soumis par l</w:t>
      </w:r>
      <w:r w:rsidR="001A0723">
        <w:t>’</w:t>
      </w:r>
      <w:r w:rsidRPr="00797756">
        <w:t>expert de la Hongrie, ainsi que le document informel GRSG-111-05, présenté par l</w:t>
      </w:r>
      <w:r w:rsidR="001A0723">
        <w:t>’</w:t>
      </w:r>
      <w:r w:rsidRPr="00797756">
        <w:t>expert de la Pologne, ont tous deux été pris en compte dans la description qu</w:t>
      </w:r>
      <w:r w:rsidR="001A0723">
        <w:t>’</w:t>
      </w:r>
      <w:r w:rsidRPr="00797756">
        <w:t>il est proposé d</w:t>
      </w:r>
      <w:r w:rsidR="001A0723">
        <w:t>’</w:t>
      </w:r>
      <w:r w:rsidRPr="00797756">
        <w:t>introduire concernant le dispositif servant à réaliser l</w:t>
      </w:r>
      <w:r w:rsidR="001A0723">
        <w:t>’</w:t>
      </w:r>
      <w:r w:rsidRPr="00797756">
        <w:t>essai d</w:t>
      </w:r>
      <w:r w:rsidR="001A0723">
        <w:t>’</w:t>
      </w:r>
      <w:r w:rsidRPr="00797756">
        <w:t>abrasion. Les modifications apportées</w:t>
      </w:r>
      <w:r w:rsidR="007F6572">
        <w:t xml:space="preserve"> </w:t>
      </w:r>
      <w:r w:rsidR="00EC4AB2">
        <w:t xml:space="preserve">au texte actuel du Règlement </w:t>
      </w:r>
      <w:r w:rsidR="00EC4AB2" w:rsidRPr="002D76F4">
        <w:rPr>
          <w:rFonts w:eastAsia="MS Mincho"/>
          <w:szCs w:val="22"/>
        </w:rPr>
        <w:t>n</w:t>
      </w:r>
      <w:r w:rsidR="00EC4AB2" w:rsidRPr="002D76F4">
        <w:rPr>
          <w:rFonts w:eastAsia="MS Mincho"/>
          <w:szCs w:val="22"/>
          <w:vertAlign w:val="superscript"/>
        </w:rPr>
        <w:t>o</w:t>
      </w:r>
      <w:r w:rsidR="00EC4AB2">
        <w:t> </w:t>
      </w:r>
      <w:r w:rsidRPr="00797756">
        <w:t>43 sont signalées en caractères gras pour les ajouts ou biffés pour les suppressions.</w:t>
      </w:r>
    </w:p>
    <w:p w:rsidR="00797756" w:rsidRPr="00797756" w:rsidRDefault="00797756" w:rsidP="00EC4AB2">
      <w:pPr>
        <w:pStyle w:val="HChG"/>
      </w:pPr>
      <w:r>
        <w:br w:type="page"/>
      </w:r>
      <w:r w:rsidR="00EC4AB2">
        <w:lastRenderedPageBreak/>
        <w:tab/>
      </w:r>
      <w:r w:rsidRPr="00797756">
        <w:t>I.</w:t>
      </w:r>
      <w:r w:rsidRPr="00797756">
        <w:tab/>
        <w:t>Proposition</w:t>
      </w:r>
    </w:p>
    <w:p w:rsidR="00797756" w:rsidRPr="00797756" w:rsidRDefault="00797756" w:rsidP="00797756">
      <w:pPr>
        <w:pStyle w:val="SingleTxtG"/>
        <w:rPr>
          <w:i/>
        </w:rPr>
      </w:pPr>
      <w:r w:rsidRPr="00797756">
        <w:rPr>
          <w:i/>
        </w:rPr>
        <w:t>Annexe 3,</w:t>
      </w:r>
    </w:p>
    <w:p w:rsidR="00797756" w:rsidRPr="00797756" w:rsidRDefault="00797756" w:rsidP="00797756">
      <w:pPr>
        <w:pStyle w:val="SingleTxtG"/>
      </w:pPr>
      <w:r w:rsidRPr="00797756">
        <w:rPr>
          <w:i/>
        </w:rPr>
        <w:t>Paragraphes 3.2.1 à 3.2.3</w:t>
      </w:r>
      <w:r w:rsidRPr="00797756">
        <w:t>,</w:t>
      </w:r>
      <w:r w:rsidRPr="00797756">
        <w:rPr>
          <w:i/>
        </w:rPr>
        <w:t xml:space="preserve"> </w:t>
      </w:r>
      <w:r w:rsidRPr="00797756">
        <w:t>modifier comme suit</w:t>
      </w:r>
      <w:r w:rsidR="00EC4AB2">
        <w:t> </w:t>
      </w:r>
      <w:r w:rsidRPr="00797756">
        <w:t>:</w:t>
      </w:r>
    </w:p>
    <w:p w:rsidR="00797756" w:rsidRPr="00797756" w:rsidRDefault="00797756" w:rsidP="00EC4AB2">
      <w:pPr>
        <w:pStyle w:val="SingleTxtG"/>
        <w:ind w:left="2268" w:hanging="1134"/>
      </w:pPr>
      <w:r w:rsidRPr="00797756">
        <w:t>«</w:t>
      </w:r>
      <w:r w:rsidR="00EC4AB2">
        <w:t> </w:t>
      </w:r>
      <w:r w:rsidRPr="00797756">
        <w:t>3.2.1</w:t>
      </w:r>
      <w:r w:rsidRPr="00797756">
        <w:tab/>
        <w:t>Appareillage</w:t>
      </w:r>
    </w:p>
    <w:p w:rsidR="00797756" w:rsidRPr="00797756" w:rsidRDefault="00EC4AB2" w:rsidP="00F16F94">
      <w:pPr>
        <w:pStyle w:val="SingleTxtG"/>
        <w:spacing w:after="100"/>
        <w:ind w:left="2268"/>
      </w:pPr>
      <w:r>
        <w:t>…</w:t>
      </w:r>
    </w:p>
    <w:p w:rsidR="00797756" w:rsidRPr="00797756" w:rsidRDefault="00890158" w:rsidP="00EC4AB2">
      <w:pPr>
        <w:pStyle w:val="SingleTxtG"/>
        <w:ind w:left="2268"/>
      </w:pPr>
      <w:r>
        <w:t>…</w:t>
      </w:r>
      <w:r w:rsidR="00797756" w:rsidRPr="00797756">
        <w:t>Les propriétés élastiques de la fausse tête au moment de l</w:t>
      </w:r>
      <w:r w:rsidR="001A0723">
        <w:t>’</w:t>
      </w:r>
      <w:r w:rsidR="00797756" w:rsidRPr="00797756">
        <w:t>impact sont déterminées par la dureté et l</w:t>
      </w:r>
      <w:r w:rsidR="001A0723">
        <w:t>’</w:t>
      </w:r>
      <w:r w:rsidR="00797756" w:rsidRPr="00797756">
        <w:t>épaisseur de l</w:t>
      </w:r>
      <w:r w:rsidR="001A0723">
        <w:t>’</w:t>
      </w:r>
      <w:r w:rsidR="00797756" w:rsidRPr="00797756">
        <w:t>entretoise (13) et de la calotte.</w:t>
      </w:r>
    </w:p>
    <w:p w:rsidR="00797756" w:rsidRPr="00797756" w:rsidRDefault="00797756" w:rsidP="00F16F94">
      <w:pPr>
        <w:pStyle w:val="SingleTxtG"/>
        <w:spacing w:after="100"/>
        <w:ind w:left="2268"/>
        <w:rPr>
          <w:b/>
        </w:rPr>
      </w:pPr>
      <w:r w:rsidRPr="00797756">
        <w:rPr>
          <w:b/>
        </w:rPr>
        <w:t>Les données peuvent être transmises par voie filaire ou sans fil (par exemple par radio transmission). Dans ce dernier cas, il faut veiller à ce que les composants électroniques ajoutés dans la tête d</w:t>
      </w:r>
      <w:r w:rsidR="001A0723">
        <w:rPr>
          <w:b/>
        </w:rPr>
        <w:t>’</w:t>
      </w:r>
      <w:r w:rsidRPr="00797756">
        <w:rPr>
          <w:b/>
        </w:rPr>
        <w:t>essai n</w:t>
      </w:r>
      <w:r w:rsidR="001A0723">
        <w:rPr>
          <w:b/>
        </w:rPr>
        <w:t>’</w:t>
      </w:r>
      <w:r w:rsidRPr="00797756">
        <w:rPr>
          <w:b/>
        </w:rPr>
        <w:t>aient d</w:t>
      </w:r>
      <w:r w:rsidR="001A0723">
        <w:rPr>
          <w:b/>
        </w:rPr>
        <w:t>’</w:t>
      </w:r>
      <w:r w:rsidRPr="00797756">
        <w:rPr>
          <w:b/>
        </w:rPr>
        <w:t>incidence ni sur sa masse, ni sur son centre de gravité, ni sur l</w:t>
      </w:r>
      <w:r w:rsidR="001A0723">
        <w:rPr>
          <w:b/>
        </w:rPr>
        <w:t>’</w:t>
      </w:r>
      <w:r w:rsidRPr="00797756">
        <w:rPr>
          <w:b/>
        </w:rPr>
        <w:t>énergie mécanique qu</w:t>
      </w:r>
      <w:r w:rsidR="001A0723">
        <w:rPr>
          <w:b/>
        </w:rPr>
        <w:t>’</w:t>
      </w:r>
      <w:r w:rsidRPr="00797756">
        <w:rPr>
          <w:b/>
        </w:rPr>
        <w:t>elle peut accumuler. Ces composants électroniques doivent être installés uniquement sur l</w:t>
      </w:r>
      <w:r w:rsidR="001A0723">
        <w:rPr>
          <w:b/>
        </w:rPr>
        <w:t>’</w:t>
      </w:r>
      <w:r w:rsidRPr="00797756">
        <w:rPr>
          <w:b/>
        </w:rPr>
        <w:t>embase (24).</w:t>
      </w:r>
      <w:r w:rsidR="007F6572">
        <w:rPr>
          <w:b/>
        </w:rPr>
        <w:t xml:space="preserve"> </w:t>
      </w:r>
      <w:r w:rsidRPr="00797756">
        <w:rPr>
          <w:b/>
        </w:rPr>
        <w:t>Si la masse doit être corrigée, il convient de limiter l</w:t>
      </w:r>
      <w:r w:rsidR="001A0723">
        <w:rPr>
          <w:b/>
        </w:rPr>
        <w:t>’</w:t>
      </w:r>
      <w:r w:rsidRPr="00797756">
        <w:rPr>
          <w:b/>
        </w:rPr>
        <w:t>intervention à la partie de l</w:t>
      </w:r>
      <w:r w:rsidR="001A0723">
        <w:rPr>
          <w:b/>
        </w:rPr>
        <w:t>’</w:t>
      </w:r>
      <w:r w:rsidRPr="00797756">
        <w:rPr>
          <w:b/>
        </w:rPr>
        <w:t>embase faisant face à l</w:t>
      </w:r>
      <w:r w:rsidR="001A0723">
        <w:rPr>
          <w:b/>
        </w:rPr>
        <w:t>’</w:t>
      </w:r>
      <w:r w:rsidRPr="00797756">
        <w:rPr>
          <w:b/>
        </w:rPr>
        <w:t>espace vide dans la tête d</w:t>
      </w:r>
      <w:r w:rsidR="001A0723">
        <w:rPr>
          <w:b/>
        </w:rPr>
        <w:t>’</w:t>
      </w:r>
      <w:r w:rsidRPr="00797756">
        <w:rPr>
          <w:b/>
        </w:rPr>
        <w:t>essai. Si d</w:t>
      </w:r>
      <w:r w:rsidR="001A0723">
        <w:rPr>
          <w:b/>
        </w:rPr>
        <w:t>’</w:t>
      </w:r>
      <w:r w:rsidRPr="00797756">
        <w:rPr>
          <w:b/>
        </w:rPr>
        <w:t xml:space="preserve">autres composants miniaturisés sont nécessaires pour commander les modules électroniques (par exemple </w:t>
      </w:r>
      <w:proofErr w:type="spellStart"/>
      <w:r w:rsidRPr="00797756">
        <w:rPr>
          <w:b/>
        </w:rPr>
        <w:t>minirupteurs</w:t>
      </w:r>
      <w:proofErr w:type="spellEnd"/>
      <w:r w:rsidRPr="00797756">
        <w:rPr>
          <w:b/>
        </w:rPr>
        <w:t xml:space="preserve"> ou prises de charge pour l</w:t>
      </w:r>
      <w:r w:rsidR="001A0723">
        <w:rPr>
          <w:b/>
        </w:rPr>
        <w:t>’</w:t>
      </w:r>
      <w:r w:rsidRPr="00797756">
        <w:rPr>
          <w:b/>
        </w:rPr>
        <w:t>alimentation électrique), ils peuvent remplacer les câbles coaxiaux. Dans ce cas, les trous prévus initialement dans le cache (29) et le couvercle de protection (30) doivent être utilisés</w:t>
      </w:r>
      <w:r w:rsidR="007F6572">
        <w:rPr>
          <w:b/>
        </w:rPr>
        <w:t xml:space="preserve"> </w:t>
      </w:r>
      <w:r w:rsidRPr="00797756">
        <w:rPr>
          <w:b/>
        </w:rPr>
        <w:t>pour l</w:t>
      </w:r>
      <w:r w:rsidR="001A0723">
        <w:rPr>
          <w:b/>
        </w:rPr>
        <w:t>’</w:t>
      </w:r>
      <w:r w:rsidRPr="00797756">
        <w:rPr>
          <w:b/>
        </w:rPr>
        <w:t>installation et le câblage.</w:t>
      </w:r>
    </w:p>
    <w:p w:rsidR="00EC4AB2" w:rsidRPr="00797756" w:rsidRDefault="00EC4AB2" w:rsidP="00EC4AB2">
      <w:pPr>
        <w:pStyle w:val="SingleTxtG"/>
        <w:ind w:left="2268"/>
      </w:pPr>
      <w:r>
        <w:t>…</w:t>
      </w:r>
    </w:p>
    <w:p w:rsidR="00797756" w:rsidRDefault="00797756" w:rsidP="00EC4AB2">
      <w:pPr>
        <w:pStyle w:val="Titre1"/>
        <w:spacing w:after="120"/>
        <w:rPr>
          <w:b/>
        </w:rPr>
      </w:pPr>
      <w:r w:rsidRPr="00EC4AB2">
        <w:rPr>
          <w:b/>
        </w:rPr>
        <w:t>Liste des pièces composant la tête d</w:t>
      </w:r>
      <w:r w:rsidR="001A0723">
        <w:rPr>
          <w:b/>
        </w:rPr>
        <w:t>’</w:t>
      </w:r>
      <w:r w:rsidRPr="00EC4AB2">
        <w:rPr>
          <w:b/>
        </w:rPr>
        <w:t>essai de 10</w:t>
      </w:r>
      <w:r w:rsidR="00EC4AB2">
        <w:rPr>
          <w:b/>
        </w:rPr>
        <w:t> </w:t>
      </w:r>
      <w:r w:rsidRPr="00EC4AB2">
        <w:rPr>
          <w:b/>
        </w:rPr>
        <w:t>kg représentée à la figure 2.1</w:t>
      </w:r>
    </w:p>
    <w:tbl>
      <w:tblPr>
        <w:tblW w:w="8519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800"/>
        <w:gridCol w:w="2400"/>
        <w:gridCol w:w="2366"/>
        <w:gridCol w:w="2250"/>
      </w:tblGrid>
      <w:tr w:rsidR="00797756" w:rsidRPr="001F3FBA" w:rsidTr="00797756">
        <w:trPr>
          <w:tblHeader/>
        </w:trPr>
        <w:tc>
          <w:tcPr>
            <w:tcW w:w="703" w:type="dxa"/>
            <w:shd w:val="clear" w:color="auto" w:fill="auto"/>
            <w:vAlign w:val="bottom"/>
          </w:tcPr>
          <w:p w:rsidR="00797756" w:rsidRPr="001F3FBA" w:rsidRDefault="00797756" w:rsidP="00F16F94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r>
              <w:rPr>
                <w:i/>
                <w:sz w:val="16"/>
              </w:rPr>
              <w:t>N°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97756" w:rsidRPr="001F3FBA" w:rsidRDefault="00797756" w:rsidP="00F16F94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r>
              <w:rPr>
                <w:i/>
                <w:sz w:val="16"/>
              </w:rPr>
              <w:t>Nombre de pièces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797756" w:rsidRPr="001F3FBA" w:rsidRDefault="00797756" w:rsidP="00F16F94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r>
              <w:rPr>
                <w:i/>
                <w:sz w:val="16"/>
              </w:rPr>
              <w:t>Désignation normalisée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797756" w:rsidRPr="001F3FBA" w:rsidRDefault="00797756" w:rsidP="00F16F94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r>
              <w:rPr>
                <w:i/>
                <w:sz w:val="16"/>
              </w:rPr>
              <w:t>Matériaux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797756" w:rsidRPr="001F3FBA" w:rsidRDefault="00797756" w:rsidP="00F16F94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r>
              <w:rPr>
                <w:i/>
                <w:sz w:val="16"/>
              </w:rPr>
              <w:t>Observations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magnétique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Acier </w:t>
            </w:r>
            <w:r>
              <w:rPr>
                <w:strike/>
                <w:sz w:val="18"/>
                <w:szCs w:val="18"/>
              </w:rPr>
              <w:t>DIN 17100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 10025-2-E295GC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Amortisseur de vibrations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Caoutchouc/Acier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A65767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Diamètre</w:t>
            </w:r>
            <w:r w:rsidR="000C228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0C228B">
              <w:rPr>
                <w:sz w:val="18"/>
                <w:szCs w:val="18"/>
              </w:rPr>
              <w:tab/>
              <w:t>50 </w:t>
            </w:r>
            <w:r>
              <w:rPr>
                <w:sz w:val="18"/>
                <w:szCs w:val="18"/>
              </w:rPr>
              <w:t>mm</w:t>
            </w:r>
            <w:r w:rsidR="000C228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Épaisseur</w:t>
            </w:r>
            <w:r w:rsidR="000C228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0C228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30</w:t>
            </w:r>
            <w:r w:rsidR="000C228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  <w:r w:rsidR="000C228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Pas</w:t>
            </w:r>
            <w:r w:rsidR="000C228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0C228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M10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6F94" w:rsidRPr="00F16F94">
              <w:rPr>
                <w:vertAlign w:val="superscript"/>
              </w:rPr>
              <w:t>a)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Connecteur BNC HF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97756" w:rsidRPr="00EC0B17" w:rsidRDefault="00797756" w:rsidP="001E7BB6">
            <w:pPr>
              <w:suppressAutoHyphens w:val="0"/>
              <w:spacing w:before="40" w:after="40"/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Raccord-raccord </w:t>
            </w:r>
            <w:r w:rsidR="000C228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(EN 122120)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Écrou six pans </w:t>
            </w:r>
            <w:r>
              <w:rPr>
                <w:strike/>
                <w:sz w:val="18"/>
                <w:szCs w:val="18"/>
              </w:rPr>
              <w:t xml:space="preserve">DIN 985 </w:t>
            </w:r>
            <w:r>
              <w:rPr>
                <w:b/>
                <w:sz w:val="18"/>
                <w:szCs w:val="18"/>
              </w:rPr>
              <w:t>ISO 10511-M10-05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Disque </w:t>
            </w:r>
            <w:r>
              <w:rPr>
                <w:strike/>
                <w:sz w:val="18"/>
                <w:szCs w:val="18"/>
              </w:rPr>
              <w:t>DIN 125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ISO 7090-6-200HV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16F94" w:rsidRPr="00F16F94">
              <w:rPr>
                <w:vertAlign w:val="superscript"/>
              </w:rPr>
              <w:t>a)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Manchon de réduction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 cylindrique </w:t>
            </w:r>
            <w:r>
              <w:rPr>
                <w:strike/>
                <w:sz w:val="18"/>
                <w:szCs w:val="18"/>
              </w:rPr>
              <w:t>DIN 912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ISO 4762-M6x140-8.8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97756" w:rsidRPr="00F767A6" w:rsidRDefault="000C228B" w:rsidP="001E7BB6">
            <w:pPr>
              <w:suppressAutoHyphens w:val="0"/>
              <w:spacing w:before="40" w:after="40"/>
              <w:ind w:left="57" w:right="57"/>
              <w:rPr>
                <w:b/>
                <w:sz w:val="18"/>
                <w:szCs w:val="18"/>
              </w:rPr>
            </w:pPr>
            <w:r w:rsidRPr="001E7BB6">
              <w:rPr>
                <w:b/>
                <w:sz w:val="18"/>
                <w:szCs w:val="18"/>
              </w:rPr>
              <w:t xml:space="preserve">Couple </w:t>
            </w:r>
            <w:r>
              <w:rPr>
                <w:b/>
                <w:sz w:val="18"/>
                <w:szCs w:val="18"/>
              </w:rPr>
              <w:t>d</w:t>
            </w:r>
            <w:r w:rsidR="001A0723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environ</w:t>
            </w:r>
            <w:r w:rsidR="00797756">
              <w:rPr>
                <w:b/>
                <w:sz w:val="18"/>
                <w:szCs w:val="18"/>
              </w:rPr>
              <w:t xml:space="preserve"> 12 Nm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Écrou six pans </w:t>
            </w:r>
            <w:r>
              <w:rPr>
                <w:b/>
                <w:sz w:val="18"/>
                <w:szCs w:val="18"/>
              </w:rPr>
              <w:t>ISO 10511-M8-05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97756" w:rsidRPr="00F767A6" w:rsidRDefault="00797756" w:rsidP="001E7BB6">
            <w:pPr>
              <w:suppressAutoHyphens w:val="0"/>
              <w:spacing w:before="40" w:after="40"/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Couple </w:t>
            </w:r>
            <w:r w:rsidRPr="001E7B47">
              <w:rPr>
                <w:b/>
                <w:sz w:val="18"/>
                <w:szCs w:val="18"/>
              </w:rPr>
              <w:t>d</w:t>
            </w:r>
            <w:r w:rsidR="001A0723">
              <w:rPr>
                <w:b/>
                <w:sz w:val="18"/>
                <w:szCs w:val="18"/>
              </w:rPr>
              <w:t>’</w:t>
            </w:r>
            <w:r w:rsidRPr="001E7B47">
              <w:rPr>
                <w:b/>
                <w:sz w:val="18"/>
                <w:szCs w:val="18"/>
              </w:rPr>
              <w:t>environ</w:t>
            </w:r>
            <w:r>
              <w:rPr>
                <w:b/>
                <w:sz w:val="18"/>
                <w:szCs w:val="18"/>
              </w:rPr>
              <w:t xml:space="preserve"> 4 Nm (cf.</w:t>
            </w:r>
            <w:r w:rsidR="001E7BB6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par. 3.2.2.3)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Disque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Acier </w:t>
            </w:r>
            <w:r>
              <w:rPr>
                <w:strike/>
                <w:sz w:val="18"/>
                <w:szCs w:val="18"/>
              </w:rPr>
              <w:t>DIN 17100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EN10025-2-E295GC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7F6572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Diamètre intérieur</w:t>
            </w:r>
            <w:r w:rsidR="000C228B">
              <w:rPr>
                <w:sz w:val="18"/>
                <w:szCs w:val="18"/>
              </w:rPr>
              <w:t> :</w:t>
            </w:r>
            <w:r w:rsidR="003D16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8</w:t>
            </w:r>
            <w:r w:rsidR="007F657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  <w:r w:rsidR="003D166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Diamètre extérieur</w:t>
            </w:r>
            <w:r w:rsidR="000C228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3D16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35</w:t>
            </w:r>
            <w:r w:rsidR="000C228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  <w:r w:rsidR="003D166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Épaisseur</w:t>
            </w:r>
            <w:r w:rsidR="000C228B">
              <w:rPr>
                <w:sz w:val="18"/>
                <w:szCs w:val="18"/>
              </w:rPr>
              <w:t> :</w:t>
            </w:r>
            <w:r w:rsidR="003D16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1,5</w:t>
            </w:r>
            <w:r w:rsidR="000C228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Rondelle en caoutchouc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Dureté du caoutchouc 60 DIDC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A65767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Diamètre intérieur</w:t>
            </w:r>
            <w:r w:rsidR="000C228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3D16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8</w:t>
            </w:r>
            <w:r w:rsidR="000C228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  <w:r w:rsidR="003D166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Diamètre extérieur</w:t>
            </w:r>
            <w:r w:rsidR="000C228B">
              <w:rPr>
                <w:sz w:val="18"/>
                <w:szCs w:val="18"/>
              </w:rPr>
              <w:t> :</w:t>
            </w:r>
            <w:r w:rsidR="003D166B">
              <w:rPr>
                <w:sz w:val="18"/>
                <w:szCs w:val="18"/>
              </w:rPr>
              <w:tab/>
            </w:r>
            <w:r w:rsidR="000C228B">
              <w:rPr>
                <w:sz w:val="18"/>
                <w:szCs w:val="18"/>
              </w:rPr>
              <w:t>30 </w:t>
            </w:r>
            <w:r>
              <w:rPr>
                <w:sz w:val="18"/>
                <w:szCs w:val="18"/>
              </w:rPr>
              <w:t>mm</w:t>
            </w:r>
            <w:r w:rsidR="003D166B">
              <w:rPr>
                <w:sz w:val="18"/>
                <w:szCs w:val="18"/>
              </w:rPr>
              <w:br/>
            </w:r>
            <w:r w:rsidR="000C228B">
              <w:rPr>
                <w:sz w:val="18"/>
                <w:szCs w:val="18"/>
              </w:rPr>
              <w:t>Épaisseur :</w:t>
            </w:r>
            <w:r w:rsidR="003D166B">
              <w:rPr>
                <w:sz w:val="18"/>
                <w:szCs w:val="18"/>
              </w:rPr>
              <w:tab/>
            </w:r>
            <w:r w:rsidR="000C228B">
              <w:rPr>
                <w:sz w:val="18"/>
                <w:szCs w:val="18"/>
              </w:rPr>
              <w:t>10 </w:t>
            </w:r>
            <w:r>
              <w:rPr>
                <w:sz w:val="18"/>
                <w:szCs w:val="18"/>
              </w:rPr>
              <w:t>mm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Rondelle amortisseur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Emballage </w:t>
            </w:r>
            <w:r>
              <w:rPr>
                <w:b/>
                <w:sz w:val="18"/>
                <w:szCs w:val="18"/>
              </w:rPr>
              <w:t>J</w:t>
            </w:r>
            <w:r w:rsidRPr="00C97F31">
              <w:rPr>
                <w:b/>
                <w:sz w:val="18"/>
                <w:szCs w:val="18"/>
              </w:rPr>
              <w:t>oint</w:t>
            </w:r>
            <w:r w:rsidRPr="00C97F31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apier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F16F94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Diamètre intérieur</w:t>
            </w:r>
            <w:r w:rsidR="003D166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3D166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120</w:t>
            </w:r>
            <w:r w:rsidR="003D166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  <w:r w:rsidR="003D166B">
              <w:rPr>
                <w:sz w:val="18"/>
                <w:szCs w:val="18"/>
              </w:rPr>
              <w:br/>
            </w:r>
            <w:r w:rsidRPr="00A408E6">
              <w:rPr>
                <w:spacing w:val="-2"/>
                <w:sz w:val="18"/>
                <w:szCs w:val="18"/>
              </w:rPr>
              <w:t>Diamètre extérieur</w:t>
            </w:r>
            <w:r w:rsidR="003D166B">
              <w:rPr>
                <w:sz w:val="18"/>
                <w:szCs w:val="18"/>
              </w:rPr>
              <w:t> :</w:t>
            </w:r>
            <w:r w:rsidR="003D166B">
              <w:rPr>
                <w:sz w:val="18"/>
                <w:szCs w:val="18"/>
              </w:rPr>
              <w:tab/>
            </w:r>
            <w:r w:rsidR="00A408E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199</w:t>
            </w:r>
            <w:r w:rsidR="007F657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  <w:r w:rsidR="00F16F9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Épaisseur</w:t>
            </w:r>
            <w:r w:rsidR="00A408E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A408E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0,5</w:t>
            </w:r>
            <w:r w:rsidR="00A408E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0C228B">
            <w:pPr>
              <w:suppressAutoHyphens w:val="0"/>
              <w:spacing w:before="40" w:after="4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Entretoise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Caoutchouc au butadiène, dureté DIDC d</w:t>
            </w:r>
            <w:r w:rsidR="001A0723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environ </w:t>
            </w:r>
            <w:r>
              <w:rPr>
                <w:strike/>
                <w:sz w:val="18"/>
                <w:szCs w:val="18"/>
              </w:rPr>
              <w:t>80</w:t>
            </w: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7F6572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Diamètre intérieur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7F65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  <w:r w:rsidR="001E7BB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Diamètre extérieur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 192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  <w:r w:rsidR="001E7BB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Épaisseur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1E7BB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Environ </w:t>
            </w:r>
            <w:r>
              <w:rPr>
                <w:strike/>
                <w:sz w:val="18"/>
                <w:szCs w:val="18"/>
              </w:rPr>
              <w:t>4</w:t>
            </w:r>
            <w:r w:rsidR="007F6572">
              <w:rPr>
                <w:strike/>
                <w:sz w:val="18"/>
                <w:szCs w:val="18"/>
              </w:rPr>
              <w:t> </w:t>
            </w:r>
            <w:r>
              <w:rPr>
                <w:strike/>
                <w:sz w:val="18"/>
                <w:szCs w:val="18"/>
              </w:rPr>
              <w:t>mm</w:t>
            </w:r>
            <w:r>
              <w:rPr>
                <w:b/>
                <w:sz w:val="18"/>
                <w:szCs w:val="18"/>
              </w:rPr>
              <w:t xml:space="preserve"> 6</w:t>
            </w:r>
            <w:r w:rsidR="001E7BB6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mm (cf.</w:t>
            </w:r>
            <w:r w:rsidR="001E7BB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par. 3.2.2.3)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Tube de guidage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Polytétrafluoréthylène</w:t>
            </w:r>
            <w:proofErr w:type="spellEnd"/>
            <w:r>
              <w:rPr>
                <w:sz w:val="18"/>
                <w:szCs w:val="18"/>
              </w:rPr>
              <w:t xml:space="preserve"> PTFE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Diamètre intérieur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1E7BB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8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  <w:r w:rsidR="001E7BB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Diamètre extérieur</w:t>
            </w:r>
            <w:r w:rsidR="001E7BB6">
              <w:rPr>
                <w:sz w:val="18"/>
                <w:szCs w:val="18"/>
              </w:rPr>
              <w:t> </w:t>
            </w:r>
            <w:r w:rsidR="007F6572">
              <w:rPr>
                <w:sz w:val="18"/>
                <w:szCs w:val="18"/>
              </w:rPr>
              <w:t>:</w:t>
            </w:r>
            <w:r w:rsidR="007F657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10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  <w:r w:rsidR="001E7BB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Longueur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1E7BB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40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Écrou six pans </w:t>
            </w:r>
            <w:r>
              <w:rPr>
                <w:b/>
                <w:sz w:val="18"/>
                <w:szCs w:val="18"/>
              </w:rPr>
              <w:t>ISO 10511-M8-05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Boulon fileté DIN 976</w:t>
            </w:r>
            <w:r>
              <w:rPr>
                <w:b/>
                <w:sz w:val="18"/>
                <w:szCs w:val="18"/>
              </w:rPr>
              <w:t>-1-M8x90-B-8.8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vissé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Alliage moulé</w:t>
            </w:r>
          </w:p>
          <w:p w:rsidR="00797756" w:rsidRPr="00D71856" w:rsidRDefault="00797756" w:rsidP="00A65767">
            <w:pPr>
              <w:suppressAutoHyphens w:val="0"/>
              <w:spacing w:before="40" w:after="40"/>
              <w:ind w:left="57" w:right="57"/>
              <w:rPr>
                <w:b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DIN 1709-GD-CuZn 37Pb</w:t>
            </w:r>
            <w:r>
              <w:rPr>
                <w:b/>
                <w:sz w:val="18"/>
                <w:szCs w:val="18"/>
              </w:rPr>
              <w:t xml:space="preserve"> EN 1982-CuZn39Pb1Al-C-GP</w:t>
            </w:r>
          </w:p>
        </w:tc>
        <w:tc>
          <w:tcPr>
            <w:tcW w:w="2250" w:type="dxa"/>
            <w:shd w:val="clear" w:color="auto" w:fill="auto"/>
          </w:tcPr>
          <w:p w:rsidR="00797756" w:rsidRPr="00D71856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</w:p>
          <w:p w:rsidR="00797756" w:rsidRPr="00D71856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b/>
                <w:sz w:val="18"/>
                <w:szCs w:val="18"/>
              </w:rPr>
            </w:pPr>
            <w:r w:rsidRPr="00F16F94">
              <w:rPr>
                <w:b/>
                <w:sz w:val="18"/>
                <w:szCs w:val="18"/>
              </w:rPr>
              <w:t xml:space="preserve">Dimensions </w:t>
            </w:r>
            <w:r>
              <w:rPr>
                <w:b/>
                <w:sz w:val="18"/>
                <w:szCs w:val="18"/>
              </w:rPr>
              <w:t>M8x12 (DIN</w:t>
            </w:r>
            <w:r w:rsidR="001E7BB6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7965)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Calotte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Polyamide 12 </w:t>
            </w:r>
            <w:r>
              <w:rPr>
                <w:b/>
                <w:sz w:val="18"/>
                <w:szCs w:val="18"/>
              </w:rPr>
              <w:t>(ISO 1874-1)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0C228B">
            <w:pPr>
              <w:suppressAutoHyphens w:val="0"/>
              <w:spacing w:before="40" w:after="4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Couvercle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Caoutchouc au butadiène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Épaisseur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1E7BB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6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  <w:r w:rsidR="001E7BB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Nervuré d</w:t>
            </w:r>
            <w:r w:rsidR="001A0723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 côté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Bague de guidage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Acier </w:t>
            </w:r>
            <w:r>
              <w:rPr>
                <w:strike/>
                <w:sz w:val="18"/>
                <w:szCs w:val="18"/>
              </w:rPr>
              <w:t>DIN 17100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 10025-2-E295GC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 fraisée </w:t>
            </w:r>
            <w:r>
              <w:rPr>
                <w:b/>
                <w:sz w:val="18"/>
                <w:szCs w:val="18"/>
              </w:rPr>
              <w:t>ISO 2009-</w:t>
            </w:r>
            <w:r w:rsidR="00A408E6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M5x10-5.8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Disque amortisseur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A408E6">
              <w:rPr>
                <w:strike/>
                <w:sz w:val="18"/>
                <w:szCs w:val="18"/>
              </w:rPr>
              <w:t xml:space="preserve">Emballage </w:t>
            </w:r>
            <w:r>
              <w:rPr>
                <w:b/>
                <w:sz w:val="18"/>
                <w:szCs w:val="18"/>
              </w:rPr>
              <w:t xml:space="preserve">Joint </w:t>
            </w:r>
            <w:r w:rsidRPr="009D4C60">
              <w:rPr>
                <w:sz w:val="18"/>
                <w:szCs w:val="18"/>
              </w:rPr>
              <w:t>papier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Diamètre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1E7BB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65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  <w:r w:rsidR="001E7BB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Épaisseur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</w:t>
            </w:r>
            <w:r w:rsidR="001E7BB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0,5</w:t>
            </w:r>
            <w:r w:rsidR="001E7B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mm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Embase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Acier </w:t>
            </w:r>
            <w:r>
              <w:rPr>
                <w:strike/>
                <w:sz w:val="18"/>
                <w:szCs w:val="18"/>
              </w:rPr>
              <w:t>DIN 17100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 10025-2-E295GC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 de fixation </w:t>
            </w:r>
            <w:proofErr w:type="spellStart"/>
            <w:r>
              <w:rPr>
                <w:sz w:val="18"/>
                <w:szCs w:val="18"/>
              </w:rPr>
              <w:t>hexacave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Résistance 45H </w:t>
            </w:r>
            <w:r>
              <w:rPr>
                <w:b/>
                <w:sz w:val="18"/>
                <w:szCs w:val="18"/>
              </w:rPr>
              <w:t>(ISO 898-5)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Charnière triaxiale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Accéléromètre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97756" w:rsidRPr="00D71856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Cf. par. 3.2.2.1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Élément en bois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Bois de charme, lamellé-collé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Cache</w:t>
            </w:r>
          </w:p>
        </w:tc>
        <w:tc>
          <w:tcPr>
            <w:tcW w:w="2366" w:type="dxa"/>
            <w:shd w:val="clear" w:color="auto" w:fill="auto"/>
          </w:tcPr>
          <w:p w:rsidR="00797756" w:rsidRPr="00EC0B17" w:rsidRDefault="00797756" w:rsidP="007F6572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Alliage </w:t>
            </w:r>
            <w:r>
              <w:rPr>
                <w:b/>
                <w:sz w:val="18"/>
                <w:szCs w:val="18"/>
              </w:rPr>
              <w:t>EN 573-3</w:t>
            </w:r>
            <w:r w:rsidR="007F6572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; EN AW-5019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EN AW-</w:t>
            </w:r>
            <w:r>
              <w:rPr>
                <w:sz w:val="18"/>
                <w:szCs w:val="18"/>
              </w:rPr>
              <w:t>AlMg5)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1F3FBA" w:rsidTr="00797756">
        <w:tc>
          <w:tcPr>
            <w:tcW w:w="703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Couvercle de protection</w:t>
            </w:r>
          </w:p>
        </w:tc>
        <w:tc>
          <w:tcPr>
            <w:tcW w:w="2366" w:type="dxa"/>
            <w:shd w:val="clear" w:color="auto" w:fill="auto"/>
          </w:tcPr>
          <w:p w:rsidR="00797756" w:rsidRPr="001F3FBA" w:rsidRDefault="00797756" w:rsidP="00A65767">
            <w:pPr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Polyamide 12 </w:t>
            </w:r>
            <w:r>
              <w:rPr>
                <w:b/>
                <w:sz w:val="18"/>
                <w:szCs w:val="18"/>
              </w:rPr>
              <w:t>(ISO 1874-1)</w:t>
            </w:r>
          </w:p>
        </w:tc>
        <w:tc>
          <w:tcPr>
            <w:tcW w:w="2250" w:type="dxa"/>
            <w:shd w:val="clear" w:color="auto" w:fill="auto"/>
          </w:tcPr>
          <w:p w:rsidR="00797756" w:rsidRPr="001F3FBA" w:rsidRDefault="00797756" w:rsidP="001E7BB6">
            <w:pPr>
              <w:tabs>
                <w:tab w:val="right" w:pos="2098"/>
              </w:tabs>
              <w:suppressAutoHyphens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7756" w:rsidRPr="00DB228F" w:rsidTr="00797756">
        <w:tc>
          <w:tcPr>
            <w:tcW w:w="8519" w:type="dxa"/>
            <w:gridSpan w:val="5"/>
            <w:shd w:val="clear" w:color="auto" w:fill="auto"/>
          </w:tcPr>
          <w:p w:rsidR="00797756" w:rsidRPr="009A7309" w:rsidRDefault="00797756" w:rsidP="009A7309">
            <w:pPr>
              <w:spacing w:before="40" w:after="40" w:line="220" w:lineRule="exact"/>
              <w:ind w:left="57" w:right="57"/>
              <w:rPr>
                <w:b/>
                <w:sz w:val="18"/>
                <w:szCs w:val="18"/>
              </w:rPr>
            </w:pPr>
            <w:proofErr w:type="spellStart"/>
            <w:r w:rsidRPr="009A7309">
              <w:rPr>
                <w:b/>
                <w:i/>
                <w:sz w:val="18"/>
                <w:szCs w:val="18"/>
              </w:rPr>
              <w:t>Note</w:t>
            </w:r>
            <w:r w:rsidRPr="009A7309">
              <w:rPr>
                <w:b/>
                <w:sz w:val="18"/>
                <w:szCs w:val="18"/>
                <w:vertAlign w:val="superscript"/>
              </w:rPr>
              <w:t>a</w:t>
            </w:r>
            <w:proofErr w:type="spellEnd"/>
            <w:r w:rsidRPr="009A7309">
              <w:rPr>
                <w:b/>
                <w:sz w:val="18"/>
                <w:szCs w:val="18"/>
                <w:vertAlign w:val="superscript"/>
              </w:rPr>
              <w:t>)</w:t>
            </w:r>
            <w:r w:rsidR="001E7BB6" w:rsidRPr="009A7309">
              <w:rPr>
                <w:b/>
                <w:sz w:val="18"/>
                <w:szCs w:val="18"/>
                <w:vertAlign w:val="superscript"/>
              </w:rPr>
              <w:t> </w:t>
            </w:r>
            <w:r w:rsidRPr="009A7309">
              <w:rPr>
                <w:b/>
                <w:sz w:val="18"/>
                <w:szCs w:val="18"/>
              </w:rPr>
              <w:t>: En cas de transmission des données sans fil, ces composants ne sont pas nécessaires. On</w:t>
            </w:r>
            <w:r w:rsidR="001E7BB6" w:rsidRPr="009A7309">
              <w:rPr>
                <w:b/>
                <w:sz w:val="18"/>
                <w:szCs w:val="18"/>
              </w:rPr>
              <w:t> </w:t>
            </w:r>
            <w:r w:rsidRPr="009A7309">
              <w:rPr>
                <w:b/>
                <w:sz w:val="18"/>
                <w:szCs w:val="18"/>
              </w:rPr>
              <w:t>installe alors dans la tête d</w:t>
            </w:r>
            <w:r w:rsidR="001A0723">
              <w:rPr>
                <w:b/>
                <w:sz w:val="18"/>
                <w:szCs w:val="18"/>
              </w:rPr>
              <w:t>’</w:t>
            </w:r>
            <w:r w:rsidRPr="009A7309">
              <w:rPr>
                <w:b/>
                <w:sz w:val="18"/>
                <w:szCs w:val="18"/>
              </w:rPr>
              <w:t>essai d</w:t>
            </w:r>
            <w:r w:rsidR="001A0723">
              <w:rPr>
                <w:b/>
                <w:sz w:val="18"/>
                <w:szCs w:val="18"/>
              </w:rPr>
              <w:t>’</w:t>
            </w:r>
            <w:r w:rsidRPr="009A7309">
              <w:rPr>
                <w:b/>
                <w:sz w:val="18"/>
                <w:szCs w:val="18"/>
              </w:rPr>
              <w:t>autres composants destinés à la transmission des données (par exemple un émetteur radio), cf. par. 3.2.1.</w:t>
            </w:r>
          </w:p>
        </w:tc>
      </w:tr>
    </w:tbl>
    <w:p w:rsidR="00797756" w:rsidRPr="00702ABA" w:rsidRDefault="00797756" w:rsidP="00702ABA">
      <w:pPr>
        <w:pStyle w:val="SingleTxtG"/>
        <w:spacing w:before="240"/>
        <w:ind w:left="2268" w:hanging="1134"/>
      </w:pPr>
      <w:r w:rsidRPr="00702ABA">
        <w:t>3.2.2</w:t>
      </w:r>
      <w:r w:rsidRPr="00702ABA">
        <w:tab/>
        <w:t>Réglage et étalonnage</w:t>
      </w:r>
    </w:p>
    <w:p w:rsidR="00797756" w:rsidRPr="00797756" w:rsidRDefault="00797756" w:rsidP="00702ABA">
      <w:pPr>
        <w:pStyle w:val="SingleTxtG"/>
        <w:ind w:left="2268"/>
        <w:rPr>
          <w:b/>
        </w:rPr>
      </w:pPr>
      <w:r w:rsidRPr="00702ABA">
        <w:tab/>
      </w:r>
      <w:r w:rsidR="00702ABA">
        <w:t xml:space="preserve">… </w:t>
      </w:r>
      <w:r w:rsidRPr="00702ABA">
        <w:t>la traverse finit sa course sur des amortisseurs et la fausse tête tombe sur l</w:t>
      </w:r>
      <w:r w:rsidR="001A0723">
        <w:t>’</w:t>
      </w:r>
      <w:r w:rsidRPr="00702ABA">
        <w:t>échantillon.</w:t>
      </w:r>
      <w:r w:rsidRPr="00797756">
        <w:rPr>
          <w:b/>
        </w:rPr>
        <w:t xml:space="preserve"> Lorsque les données sont transmises sans fil plutôt que</w:t>
      </w:r>
      <w:r w:rsidR="007F6572">
        <w:rPr>
          <w:b/>
        </w:rPr>
        <w:t xml:space="preserve"> </w:t>
      </w:r>
      <w:r w:rsidRPr="00797756">
        <w:rPr>
          <w:b/>
        </w:rPr>
        <w:t>par voie filaire, on peut faire l</w:t>
      </w:r>
      <w:r w:rsidR="001A0723">
        <w:rPr>
          <w:b/>
        </w:rPr>
        <w:t>’</w:t>
      </w:r>
      <w:r w:rsidRPr="00797756">
        <w:rPr>
          <w:b/>
        </w:rPr>
        <w:t>économie du système de guidage s</w:t>
      </w:r>
      <w:r w:rsidR="001A0723">
        <w:rPr>
          <w:b/>
        </w:rPr>
        <w:t>’</w:t>
      </w:r>
      <w:r w:rsidRPr="00797756">
        <w:rPr>
          <w:b/>
        </w:rPr>
        <w:t>il n</w:t>
      </w:r>
      <w:r w:rsidR="001A0723">
        <w:rPr>
          <w:b/>
        </w:rPr>
        <w:t>’</w:t>
      </w:r>
      <w:r w:rsidRPr="00797756">
        <w:rPr>
          <w:b/>
        </w:rPr>
        <w:t>y a aucun risque que la chute libre soit entravée par des câbles.</w:t>
      </w:r>
    </w:p>
    <w:p w:rsidR="00797756" w:rsidRPr="00702ABA" w:rsidRDefault="00797756" w:rsidP="00702ABA">
      <w:pPr>
        <w:pStyle w:val="SingleTxtG"/>
        <w:ind w:left="2268"/>
      </w:pPr>
      <w:r w:rsidRPr="00797756">
        <w:rPr>
          <w:b/>
        </w:rPr>
        <w:tab/>
      </w:r>
      <w:r w:rsidRPr="00702ABA">
        <w:t>Aucun élan ne doit être donné à la fausse tête par l</w:t>
      </w:r>
      <w:r w:rsidR="001A0723">
        <w:t>’</w:t>
      </w:r>
      <w:r w:rsidRPr="00702ABA">
        <w:t>appareil de chute ou par le câble de mesure (</w:t>
      </w:r>
      <w:r w:rsidRPr="00702ABA">
        <w:rPr>
          <w:b/>
        </w:rPr>
        <w:t>le cas échéant</w:t>
      </w:r>
      <w:r w:rsidRPr="00702ABA">
        <w:t>), de telle sorte que la tête d</w:t>
      </w:r>
      <w:r w:rsidR="001A0723">
        <w:t>’</w:t>
      </w:r>
      <w:r w:rsidRPr="00702ABA">
        <w:t>essai tombe verticalement, uniquement sous l</w:t>
      </w:r>
      <w:r w:rsidR="001A0723">
        <w:t>’</w:t>
      </w:r>
      <w:r w:rsidRPr="00702ABA">
        <w:t>effet de la gravitation.</w:t>
      </w:r>
    </w:p>
    <w:p w:rsidR="00797756" w:rsidRPr="00702ABA" w:rsidRDefault="00797756" w:rsidP="00702ABA">
      <w:pPr>
        <w:pStyle w:val="SingleTxtG"/>
        <w:ind w:left="2268"/>
      </w:pPr>
      <w:r w:rsidRPr="00702ABA">
        <w:tab/>
      </w:r>
      <w:r w:rsidR="00702ABA">
        <w:t>…</w:t>
      </w:r>
    </w:p>
    <w:p w:rsidR="00797756" w:rsidRPr="00702ABA" w:rsidRDefault="00797756" w:rsidP="00702ABA">
      <w:pPr>
        <w:pStyle w:val="SingleTxtG"/>
        <w:ind w:left="2268" w:hanging="1134"/>
        <w:rPr>
          <w:b/>
        </w:rPr>
      </w:pPr>
      <w:r w:rsidRPr="00702ABA">
        <w:lastRenderedPageBreak/>
        <w:t>3.2.2.1</w:t>
      </w:r>
      <w:r w:rsidRPr="00702ABA">
        <w:tab/>
        <w:t>Le dispositif de mesure permettant de déterminer les valeurs HIC à l</w:t>
      </w:r>
      <w:r w:rsidR="001A0723">
        <w:t>’</w:t>
      </w:r>
      <w:r w:rsidRPr="00702ABA">
        <w:t>aide de la fausse tête est défini au paragraphe 3.2.1</w:t>
      </w:r>
      <w:r w:rsidRPr="0020704A">
        <w:rPr>
          <w:b/>
        </w:rPr>
        <w:t xml:space="preserve">, </w:t>
      </w:r>
      <w:r w:rsidRPr="00702ABA">
        <w:rPr>
          <w:b/>
        </w:rPr>
        <w:t>en ce qui concerne l</w:t>
      </w:r>
      <w:r w:rsidR="001A0723">
        <w:rPr>
          <w:b/>
        </w:rPr>
        <w:t>’</w:t>
      </w:r>
      <w:r w:rsidRPr="00702ABA">
        <w:rPr>
          <w:b/>
        </w:rPr>
        <w:t>enregistrement et l</w:t>
      </w:r>
      <w:r w:rsidR="001A0723">
        <w:rPr>
          <w:b/>
        </w:rPr>
        <w:t>’</w:t>
      </w:r>
      <w:r w:rsidRPr="00702ABA">
        <w:rPr>
          <w:b/>
        </w:rPr>
        <w:t xml:space="preserve">évaluation des courbes de décélération mesurées </w:t>
      </w:r>
      <w:proofErr w:type="spellStart"/>
      <w:r w:rsidRPr="00702ABA">
        <w:rPr>
          <w:b/>
        </w:rPr>
        <w:t>a</w:t>
      </w:r>
      <w:r w:rsidRPr="00702ABA">
        <w:rPr>
          <w:b/>
          <w:vertAlign w:val="subscript"/>
        </w:rPr>
        <w:t>x</w:t>
      </w:r>
      <w:proofErr w:type="spellEnd"/>
      <w:r w:rsidRPr="00702ABA">
        <w:rPr>
          <w:b/>
        </w:rPr>
        <w:t>(t), a</w:t>
      </w:r>
      <w:r w:rsidRPr="00702ABA">
        <w:rPr>
          <w:b/>
          <w:vertAlign w:val="subscript"/>
        </w:rPr>
        <w:t>y</w:t>
      </w:r>
      <w:r w:rsidRPr="00702ABA">
        <w:rPr>
          <w:b/>
        </w:rPr>
        <w:t xml:space="preserve">(t) et </w:t>
      </w:r>
      <w:proofErr w:type="spellStart"/>
      <w:r w:rsidRPr="00702ABA">
        <w:rPr>
          <w:b/>
        </w:rPr>
        <w:t>a</w:t>
      </w:r>
      <w:r w:rsidRPr="00702ABA">
        <w:rPr>
          <w:b/>
          <w:vertAlign w:val="subscript"/>
        </w:rPr>
        <w:t>z</w:t>
      </w:r>
      <w:proofErr w:type="spellEnd"/>
      <w:r w:rsidRPr="00702ABA">
        <w:rPr>
          <w:b/>
        </w:rPr>
        <w:t>(t), à l</w:t>
      </w:r>
      <w:r w:rsidR="001A0723">
        <w:rPr>
          <w:b/>
        </w:rPr>
        <w:t>’</w:t>
      </w:r>
      <w:r w:rsidRPr="00702ABA">
        <w:rPr>
          <w:b/>
        </w:rPr>
        <w:t>aide des données transmises par les accéléromètres reliés par câbles ou sans fil : accéléromètres, instruments de mesure et d</w:t>
      </w:r>
      <w:r w:rsidR="001A0723">
        <w:rPr>
          <w:b/>
        </w:rPr>
        <w:t>’</w:t>
      </w:r>
      <w:r w:rsidRPr="00702ABA">
        <w:rPr>
          <w:b/>
        </w:rPr>
        <w:t>enregistrement conformes à la norme ISO 6487, classe d</w:t>
      </w:r>
      <w:r w:rsidR="001A0723">
        <w:rPr>
          <w:b/>
        </w:rPr>
        <w:t>’</w:t>
      </w:r>
      <w:r w:rsidRPr="00702ABA">
        <w:rPr>
          <w:b/>
        </w:rPr>
        <w:t>amplitude de la chaîne (CAC) 5 000 m/s² et classe de fréquence (CFC) 1 000 Hz.</w:t>
      </w:r>
    </w:p>
    <w:p w:rsidR="00797756" w:rsidRPr="00702ABA" w:rsidRDefault="00797756" w:rsidP="00702ABA">
      <w:pPr>
        <w:pStyle w:val="SingleTxtG"/>
        <w:ind w:left="2268" w:hanging="1134"/>
      </w:pPr>
      <w:r w:rsidRPr="00702ABA">
        <w:t>3.2.2.2</w:t>
      </w:r>
      <w:r w:rsidRPr="00702ABA">
        <w:tab/>
        <w:t>Matériel servant à étalonner la fausse tête</w:t>
      </w:r>
    </w:p>
    <w:p w:rsidR="00797756" w:rsidRPr="00702ABA" w:rsidRDefault="00797756" w:rsidP="00702ABA">
      <w:pPr>
        <w:pStyle w:val="SingleTxtG"/>
        <w:ind w:left="2268"/>
      </w:pPr>
      <w:r w:rsidRPr="00702ABA">
        <w:tab/>
      </w:r>
      <w:r w:rsidR="00702ABA">
        <w:t>…</w:t>
      </w:r>
    </w:p>
    <w:p w:rsidR="00797756" w:rsidRPr="00702ABA" w:rsidRDefault="00797756" w:rsidP="00702ABA">
      <w:pPr>
        <w:pStyle w:val="SingleTxtG"/>
        <w:ind w:left="2268"/>
      </w:pPr>
      <w:r w:rsidRPr="00702ABA">
        <w:tab/>
        <w:t>La plaque d</w:t>
      </w:r>
      <w:r w:rsidR="001A0723">
        <w:t>’</w:t>
      </w:r>
      <w:r w:rsidRPr="00702ABA">
        <w:t>impact doit être en acier, mesurer 600 x 600</w:t>
      </w:r>
      <w:r w:rsidR="00702ABA">
        <w:t> </w:t>
      </w:r>
      <w:r w:rsidRPr="00702ABA">
        <w:t>mm et avoir une épaisseur d</w:t>
      </w:r>
      <w:r w:rsidR="001A0723">
        <w:t>’</w:t>
      </w:r>
      <w:r w:rsidRPr="00702ABA">
        <w:t>au moins 50</w:t>
      </w:r>
      <w:r w:rsidR="00702ABA">
        <w:t> </w:t>
      </w:r>
      <w:proofErr w:type="spellStart"/>
      <w:r w:rsidRPr="00702ABA">
        <w:t>mm.</w:t>
      </w:r>
      <w:proofErr w:type="spellEnd"/>
      <w:r w:rsidRPr="00702ABA">
        <w:t xml:space="preserve"> Sa surface, polie, doit présenter les caractéristiques suivantes</w:t>
      </w:r>
      <w:r w:rsidR="007F6572">
        <w:t> </w:t>
      </w:r>
      <w:r w:rsidRPr="00702ABA">
        <w:t>:</w:t>
      </w:r>
    </w:p>
    <w:p w:rsidR="00797756" w:rsidRPr="00702ABA" w:rsidRDefault="00702ABA" w:rsidP="00702ABA">
      <w:pPr>
        <w:pStyle w:val="SingleTxtG"/>
        <w:ind w:left="2268"/>
      </w:pPr>
      <w:r>
        <w:tab/>
      </w:r>
      <w:r w:rsidR="00797756" w:rsidRPr="00702ABA">
        <w:t xml:space="preserve">rugosité </w:t>
      </w:r>
      <w:proofErr w:type="spellStart"/>
      <w:r w:rsidR="00797756" w:rsidRPr="0020704A">
        <w:rPr>
          <w:strike/>
        </w:rPr>
        <w:t>R</w:t>
      </w:r>
      <w:r w:rsidR="00797756" w:rsidRPr="0020704A">
        <w:rPr>
          <w:strike/>
          <w:vertAlign w:val="subscript"/>
        </w:rPr>
        <w:t>max</w:t>
      </w:r>
      <w:proofErr w:type="spellEnd"/>
      <w:r w:rsidR="00797756" w:rsidRPr="0020704A">
        <w:rPr>
          <w:strike/>
        </w:rPr>
        <w:t xml:space="preserve"> = 1 </w:t>
      </w:r>
      <w:r w:rsidR="00797756" w:rsidRPr="0020704A">
        <w:rPr>
          <w:strike/>
        </w:rPr>
        <w:sym w:font="Symbol" w:char="F06D"/>
      </w:r>
      <w:proofErr w:type="spellStart"/>
      <w:r w:rsidR="00797756" w:rsidRPr="0020704A">
        <w:rPr>
          <w:strike/>
        </w:rPr>
        <w:t>m</w:t>
      </w:r>
      <w:r w:rsidR="00797756" w:rsidRPr="0020704A">
        <w:rPr>
          <w:b/>
        </w:rPr>
        <w:t>moyenne</w:t>
      </w:r>
      <w:proofErr w:type="spellEnd"/>
      <w:r w:rsidR="00797756" w:rsidRPr="0020704A">
        <w:rPr>
          <w:b/>
        </w:rPr>
        <w:t xml:space="preserve"> R</w:t>
      </w:r>
      <w:r w:rsidR="00797756" w:rsidRPr="0020704A">
        <w:rPr>
          <w:b/>
          <w:vertAlign w:val="subscript"/>
        </w:rPr>
        <w:t>a</w:t>
      </w:r>
      <w:r w:rsidR="00797756" w:rsidRPr="0020704A">
        <w:rPr>
          <w:b/>
        </w:rPr>
        <w:t xml:space="preserve"> &lt; 0,5 </w:t>
      </w:r>
      <w:r w:rsidR="00797756" w:rsidRPr="0020704A">
        <w:rPr>
          <w:b/>
        </w:rPr>
        <w:sym w:font="Symbol" w:char="F06D"/>
      </w:r>
      <w:r w:rsidR="00797756" w:rsidRPr="0020704A">
        <w:rPr>
          <w:b/>
        </w:rPr>
        <w:t>m</w:t>
      </w:r>
      <w:r w:rsidR="00797756" w:rsidRPr="00702ABA">
        <w:t xml:space="preserve">, et planéité avec une tolérance </w:t>
      </w:r>
      <w:r>
        <w:br/>
      </w:r>
      <w:r w:rsidR="00797756" w:rsidRPr="00702ABA">
        <w:t>t</w:t>
      </w:r>
      <w:r w:rsidR="0020704A">
        <w:t> </w:t>
      </w:r>
      <w:r w:rsidR="00797756" w:rsidRPr="00702ABA">
        <w:t>=</w:t>
      </w:r>
      <w:r w:rsidR="0020704A">
        <w:t> </w:t>
      </w:r>
      <w:r w:rsidR="00797756" w:rsidRPr="00702ABA">
        <w:t>0,05</w:t>
      </w:r>
      <w:r w:rsidR="0020704A">
        <w:t> </w:t>
      </w:r>
      <w:proofErr w:type="spellStart"/>
      <w:r w:rsidR="00797756" w:rsidRPr="00702ABA">
        <w:t>mm.</w:t>
      </w:r>
      <w:proofErr w:type="spellEnd"/>
    </w:p>
    <w:p w:rsidR="00797756" w:rsidRPr="00702ABA" w:rsidRDefault="00797756" w:rsidP="00702ABA">
      <w:pPr>
        <w:pStyle w:val="SingleTxtG"/>
        <w:ind w:left="2268" w:hanging="1134"/>
      </w:pPr>
      <w:r w:rsidRPr="00702ABA">
        <w:t>3.2.2.3</w:t>
      </w:r>
      <w:r w:rsidRPr="00702ABA">
        <w:tab/>
        <w:t>Étalonnage et réglage de la fausse tête</w:t>
      </w:r>
    </w:p>
    <w:p w:rsidR="00797756" w:rsidRPr="00702ABA" w:rsidRDefault="00797756" w:rsidP="00702ABA">
      <w:pPr>
        <w:pStyle w:val="SingleTxtG"/>
        <w:ind w:left="2268"/>
      </w:pPr>
      <w:r w:rsidRPr="00702ABA">
        <w:tab/>
      </w:r>
      <w:r w:rsidR="00702ABA">
        <w:t>…</w:t>
      </w:r>
    </w:p>
    <w:p w:rsidR="00797756" w:rsidRPr="00702ABA" w:rsidRDefault="00797756" w:rsidP="00702ABA">
      <w:pPr>
        <w:pStyle w:val="SingleTxtG"/>
        <w:ind w:left="2268"/>
        <w:rPr>
          <w:b/>
        </w:rPr>
      </w:pPr>
      <w:r w:rsidRPr="00702ABA">
        <w:tab/>
        <w:t>La plaque d</w:t>
      </w:r>
      <w:r w:rsidR="001A0723">
        <w:t>’</w:t>
      </w:r>
      <w:r w:rsidRPr="00702ABA">
        <w:t>impact doit être propre et sèche et, pendant l</w:t>
      </w:r>
      <w:r w:rsidR="001A0723">
        <w:t>’</w:t>
      </w:r>
      <w:r w:rsidRPr="00702ABA">
        <w:t xml:space="preserve">essai, être bien calée sur un socle en béton. </w:t>
      </w:r>
      <w:r w:rsidRPr="00702ABA">
        <w:rPr>
          <w:b/>
        </w:rPr>
        <w:t>Elle peut, sinon, être placée dans un dispositif de support de très grandes dimensions</w:t>
      </w:r>
      <w:r w:rsidR="007F6572">
        <w:rPr>
          <w:b/>
        </w:rPr>
        <w:t xml:space="preserve"> </w:t>
      </w:r>
      <w:r w:rsidRPr="00702ABA">
        <w:rPr>
          <w:b/>
        </w:rPr>
        <w:t>s</w:t>
      </w:r>
      <w:r w:rsidR="001A0723">
        <w:rPr>
          <w:b/>
        </w:rPr>
        <w:t>’</w:t>
      </w:r>
      <w:r w:rsidRPr="00702ABA">
        <w:rPr>
          <w:b/>
        </w:rPr>
        <w:t>il est ancré dans un socle en béton.</w:t>
      </w:r>
    </w:p>
    <w:p w:rsidR="00797756" w:rsidRPr="00702ABA" w:rsidRDefault="00797756" w:rsidP="00702ABA">
      <w:pPr>
        <w:pStyle w:val="SingleTxtG"/>
        <w:ind w:left="2268"/>
      </w:pPr>
      <w:r w:rsidRPr="00702ABA">
        <w:tab/>
      </w:r>
      <w:r w:rsidR="00702ABA">
        <w:t>…</w:t>
      </w:r>
    </w:p>
    <w:p w:rsidR="00797756" w:rsidRPr="00702ABA" w:rsidRDefault="00797756" w:rsidP="00702ABA">
      <w:pPr>
        <w:pStyle w:val="SingleTxtG"/>
        <w:ind w:left="2268"/>
      </w:pPr>
      <w:r w:rsidRPr="00702ABA">
        <w:tab/>
        <w:t xml:space="preserve">La décélération maximum </w:t>
      </w:r>
      <w:proofErr w:type="spellStart"/>
      <w:r w:rsidRPr="00702ABA">
        <w:t>a</w:t>
      </w:r>
      <w:r w:rsidRPr="00702ABA">
        <w:rPr>
          <w:vertAlign w:val="subscript"/>
        </w:rPr>
        <w:t>z</w:t>
      </w:r>
      <w:proofErr w:type="spellEnd"/>
      <w:r w:rsidRPr="00702ABA">
        <w:t xml:space="preserve"> obtenue aux différentes hauteurs de chute selon l</w:t>
      </w:r>
      <w:r w:rsidR="001A0723">
        <w:t>’</w:t>
      </w:r>
      <w:r w:rsidRPr="00702ABA">
        <w:t>axe z doit être comprise dans les limites indiquées dans le tableau ci</w:t>
      </w:r>
      <w:r w:rsidR="00702ABA">
        <w:noBreakHyphen/>
      </w:r>
      <w:r w:rsidRPr="00702ABA">
        <w:t>dessous</w:t>
      </w:r>
      <w:r w:rsidR="00702ABA">
        <w:t> </w:t>
      </w:r>
      <w:r w:rsidRPr="00702ABA">
        <w:t>:</w:t>
      </w:r>
    </w:p>
    <w:tbl>
      <w:tblPr>
        <w:tblW w:w="6237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3330"/>
      </w:tblGrid>
      <w:tr w:rsidR="00797756" w:rsidRPr="009A7309" w:rsidTr="00955ACB">
        <w:trPr>
          <w:tblHeader/>
        </w:trPr>
        <w:tc>
          <w:tcPr>
            <w:tcW w:w="290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97756" w:rsidRPr="009A7309" w:rsidRDefault="00797756" w:rsidP="009A7309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9A7309">
              <w:rPr>
                <w:i/>
                <w:sz w:val="16"/>
                <w:szCs w:val="16"/>
              </w:rPr>
              <w:t>Hauteur de chute (en mm)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97756" w:rsidRPr="009A7309" w:rsidRDefault="00797756" w:rsidP="009A730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9A7309">
              <w:rPr>
                <w:i/>
                <w:sz w:val="16"/>
                <w:szCs w:val="16"/>
              </w:rPr>
              <w:t xml:space="preserve">Décélération maximale </w:t>
            </w:r>
            <w:proofErr w:type="spellStart"/>
            <w:r w:rsidRPr="009A7309">
              <w:rPr>
                <w:i/>
                <w:sz w:val="16"/>
                <w:szCs w:val="16"/>
              </w:rPr>
              <w:t>a</w:t>
            </w:r>
            <w:r w:rsidRPr="009A7309">
              <w:rPr>
                <w:i/>
                <w:sz w:val="16"/>
                <w:szCs w:val="16"/>
                <w:vertAlign w:val="subscript"/>
              </w:rPr>
              <w:t>z</w:t>
            </w:r>
            <w:proofErr w:type="spellEnd"/>
            <w:r w:rsidRPr="009A7309">
              <w:rPr>
                <w:i/>
                <w:sz w:val="16"/>
                <w:szCs w:val="16"/>
              </w:rPr>
              <w:t xml:space="preserve"> en multiples</w:t>
            </w:r>
            <w:r w:rsidR="001A0723">
              <w:rPr>
                <w:i/>
                <w:sz w:val="16"/>
                <w:szCs w:val="16"/>
              </w:rPr>
              <w:br/>
            </w:r>
            <w:r w:rsidRPr="009A7309">
              <w:rPr>
                <w:i/>
                <w:sz w:val="16"/>
                <w:szCs w:val="16"/>
              </w:rPr>
              <w:t>de</w:t>
            </w:r>
            <w:r w:rsidR="001A0723">
              <w:rPr>
                <w:i/>
                <w:sz w:val="16"/>
                <w:szCs w:val="16"/>
              </w:rPr>
              <w:t xml:space="preserve"> </w:t>
            </w:r>
            <w:r w:rsidRPr="009A7309">
              <w:rPr>
                <w:i/>
                <w:sz w:val="16"/>
                <w:szCs w:val="16"/>
              </w:rPr>
              <w:t>l</w:t>
            </w:r>
            <w:r w:rsidR="001A0723">
              <w:rPr>
                <w:i/>
                <w:sz w:val="16"/>
                <w:szCs w:val="16"/>
              </w:rPr>
              <w:t>’</w:t>
            </w:r>
            <w:r w:rsidRPr="009A7309">
              <w:rPr>
                <w:i/>
                <w:sz w:val="16"/>
                <w:szCs w:val="16"/>
              </w:rPr>
              <w:t>accélération gravitationnelle g</w:t>
            </w:r>
          </w:p>
        </w:tc>
      </w:tr>
      <w:tr w:rsidR="00797756" w:rsidRPr="00912E69" w:rsidTr="00955ACB">
        <w:tc>
          <w:tcPr>
            <w:tcW w:w="2907" w:type="dxa"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797756" w:rsidRPr="00912E69" w:rsidRDefault="00797756" w:rsidP="00702ABA">
            <w:pPr>
              <w:suppressAutoHyphens w:val="0"/>
              <w:spacing w:before="40" w:after="40"/>
              <w:ind w:left="57" w:right="57"/>
              <w:rPr>
                <w:szCs w:val="24"/>
              </w:rPr>
            </w:pPr>
            <w:r w:rsidRPr="00912E69">
              <w:rPr>
                <w:szCs w:val="24"/>
              </w:rPr>
              <w:t>50</w:t>
            </w:r>
          </w:p>
        </w:tc>
        <w:tc>
          <w:tcPr>
            <w:tcW w:w="3330" w:type="dxa"/>
            <w:tcBorders>
              <w:left w:val="single" w:sz="2" w:space="0" w:color="auto"/>
              <w:bottom w:val="nil"/>
            </w:tcBorders>
            <w:shd w:val="clear" w:color="auto" w:fill="auto"/>
            <w:vAlign w:val="bottom"/>
          </w:tcPr>
          <w:p w:rsidR="00797756" w:rsidRPr="00912E69" w:rsidRDefault="00797756" w:rsidP="009A7309">
            <w:pPr>
              <w:suppressAutoHyphens w:val="0"/>
              <w:spacing w:before="40" w:after="40"/>
              <w:ind w:left="57" w:right="57"/>
              <w:jc w:val="right"/>
              <w:rPr>
                <w:szCs w:val="24"/>
              </w:rPr>
            </w:pPr>
            <w:r w:rsidRPr="00912E69">
              <w:rPr>
                <w:strike/>
                <w:szCs w:val="24"/>
              </w:rPr>
              <w:t xml:space="preserve">64 </w:t>
            </w:r>
            <w:r w:rsidR="009A7309">
              <w:rPr>
                <w:strike/>
                <w:szCs w:val="24"/>
              </w:rPr>
              <w:sym w:font="Symbol" w:char="F0B1"/>
            </w:r>
            <w:r w:rsidR="007F6572">
              <w:rPr>
                <w:strike/>
                <w:szCs w:val="24"/>
              </w:rPr>
              <w:t xml:space="preserve"> </w:t>
            </w:r>
            <w:r w:rsidRPr="00912E69">
              <w:rPr>
                <w:strike/>
                <w:szCs w:val="24"/>
              </w:rPr>
              <w:t>5</w:t>
            </w:r>
            <w:r w:rsidRPr="00912E69">
              <w:rPr>
                <w:szCs w:val="24"/>
              </w:rPr>
              <w:t xml:space="preserve"> </w:t>
            </w:r>
            <w:r w:rsidRPr="00912E69">
              <w:rPr>
                <w:b/>
                <w:szCs w:val="24"/>
              </w:rPr>
              <w:t xml:space="preserve">82 </w:t>
            </w:r>
            <w:r w:rsidR="0020704A">
              <w:rPr>
                <w:b/>
                <w:szCs w:val="24"/>
              </w:rPr>
              <w:sym w:font="Symbol" w:char="F0B1"/>
            </w:r>
            <w:r w:rsidRPr="00912E69">
              <w:rPr>
                <w:b/>
                <w:szCs w:val="24"/>
              </w:rPr>
              <w:t xml:space="preserve"> 8</w:t>
            </w:r>
          </w:p>
        </w:tc>
      </w:tr>
      <w:tr w:rsidR="00955ACB" w:rsidRPr="00912E69" w:rsidTr="00955ACB">
        <w:tc>
          <w:tcPr>
            <w:tcW w:w="290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955ACB" w:rsidRPr="00912E69" w:rsidRDefault="00955ACB" w:rsidP="00702ABA">
            <w:pPr>
              <w:suppressAutoHyphens w:val="0"/>
              <w:spacing w:before="40" w:after="40"/>
              <w:ind w:left="57" w:right="57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bottom"/>
          </w:tcPr>
          <w:p w:rsidR="00955ACB" w:rsidRPr="00912E69" w:rsidRDefault="00955ACB" w:rsidP="009A7309">
            <w:pPr>
              <w:suppressAutoHyphens w:val="0"/>
              <w:spacing w:before="40" w:after="40"/>
              <w:ind w:left="57" w:right="57"/>
              <w:jc w:val="right"/>
              <w:rPr>
                <w:strike/>
                <w:szCs w:val="24"/>
              </w:rPr>
            </w:pPr>
            <w:r w:rsidRPr="00912E69">
              <w:rPr>
                <w:strike/>
                <w:szCs w:val="24"/>
              </w:rPr>
              <w:t xml:space="preserve">107 </w:t>
            </w:r>
            <w:r w:rsidR="009A7309">
              <w:rPr>
                <w:strike/>
                <w:szCs w:val="24"/>
              </w:rPr>
              <w:sym w:font="Symbol" w:char="F0B1"/>
            </w:r>
            <w:r>
              <w:rPr>
                <w:strike/>
                <w:szCs w:val="24"/>
              </w:rPr>
              <w:t xml:space="preserve"> </w:t>
            </w:r>
            <w:r w:rsidRPr="00912E69">
              <w:rPr>
                <w:strike/>
                <w:szCs w:val="24"/>
              </w:rPr>
              <w:t>5</w:t>
            </w:r>
            <w:r w:rsidRPr="00912E69">
              <w:rPr>
                <w:szCs w:val="24"/>
              </w:rPr>
              <w:t xml:space="preserve"> </w:t>
            </w:r>
            <w:r w:rsidRPr="00912E69">
              <w:rPr>
                <w:b/>
                <w:szCs w:val="24"/>
              </w:rPr>
              <w:t xml:space="preserve">128 </w:t>
            </w:r>
            <w:r>
              <w:rPr>
                <w:b/>
                <w:szCs w:val="24"/>
              </w:rPr>
              <w:sym w:font="Symbol" w:char="F0B1"/>
            </w:r>
            <w:r w:rsidRPr="00912E69">
              <w:rPr>
                <w:b/>
                <w:szCs w:val="24"/>
              </w:rPr>
              <w:t xml:space="preserve"> 8</w:t>
            </w:r>
          </w:p>
        </w:tc>
      </w:tr>
      <w:tr w:rsidR="00955ACB" w:rsidRPr="00912E69" w:rsidTr="00955ACB">
        <w:tc>
          <w:tcPr>
            <w:tcW w:w="290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955ACB" w:rsidRPr="00912E69" w:rsidRDefault="00955ACB" w:rsidP="00702ABA">
            <w:pPr>
              <w:suppressAutoHyphens w:val="0"/>
              <w:spacing w:before="40" w:after="40"/>
              <w:ind w:left="57" w:right="57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bottom"/>
          </w:tcPr>
          <w:p w:rsidR="00955ACB" w:rsidRPr="00912E69" w:rsidRDefault="00955ACB" w:rsidP="009A7309">
            <w:pPr>
              <w:suppressAutoHyphens w:val="0"/>
              <w:spacing w:before="40" w:after="40"/>
              <w:ind w:left="57" w:right="57"/>
              <w:jc w:val="right"/>
              <w:rPr>
                <w:strike/>
                <w:szCs w:val="24"/>
              </w:rPr>
            </w:pPr>
            <w:r w:rsidRPr="00912E69">
              <w:rPr>
                <w:strike/>
                <w:szCs w:val="24"/>
              </w:rPr>
              <w:t xml:space="preserve">150 </w:t>
            </w:r>
            <w:r w:rsidR="009A7309">
              <w:rPr>
                <w:strike/>
                <w:szCs w:val="24"/>
              </w:rPr>
              <w:sym w:font="Symbol" w:char="F0B1"/>
            </w:r>
            <w:r>
              <w:rPr>
                <w:strike/>
                <w:szCs w:val="24"/>
              </w:rPr>
              <w:t xml:space="preserve"> </w:t>
            </w:r>
            <w:r w:rsidRPr="00912E69">
              <w:rPr>
                <w:strike/>
                <w:szCs w:val="24"/>
              </w:rPr>
              <w:t>7</w:t>
            </w:r>
            <w:r w:rsidRPr="00912E69">
              <w:rPr>
                <w:szCs w:val="24"/>
              </w:rPr>
              <w:t xml:space="preserve"> </w:t>
            </w:r>
            <w:r w:rsidRPr="00912E69">
              <w:rPr>
                <w:b/>
                <w:szCs w:val="24"/>
              </w:rPr>
              <w:t xml:space="preserve">167 </w:t>
            </w:r>
            <w:r>
              <w:rPr>
                <w:b/>
                <w:szCs w:val="24"/>
              </w:rPr>
              <w:sym w:font="Symbol" w:char="F0B1"/>
            </w:r>
            <w:r w:rsidRPr="00912E69">
              <w:rPr>
                <w:b/>
                <w:szCs w:val="24"/>
              </w:rPr>
              <w:t xml:space="preserve"> 10</w:t>
            </w:r>
          </w:p>
        </w:tc>
      </w:tr>
      <w:tr w:rsidR="00955ACB" w:rsidRPr="00912E69" w:rsidTr="00955ACB">
        <w:tc>
          <w:tcPr>
            <w:tcW w:w="2907" w:type="dxa"/>
            <w:tcBorders>
              <w:top w:val="nil"/>
            </w:tcBorders>
            <w:shd w:val="clear" w:color="auto" w:fill="auto"/>
          </w:tcPr>
          <w:p w:rsidR="00955ACB" w:rsidRPr="00912E69" w:rsidRDefault="00955ACB" w:rsidP="00702ABA">
            <w:pPr>
              <w:suppressAutoHyphens w:val="0"/>
              <w:spacing w:before="40" w:after="40"/>
              <w:ind w:left="57" w:right="57"/>
              <w:rPr>
                <w:szCs w:val="24"/>
              </w:rPr>
            </w:pPr>
            <w:r w:rsidRPr="00912E69">
              <w:rPr>
                <w:szCs w:val="24"/>
              </w:rPr>
              <w:t>254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bottom"/>
          </w:tcPr>
          <w:p w:rsidR="00955ACB" w:rsidRPr="00912E69" w:rsidRDefault="00955ACB" w:rsidP="009A7309">
            <w:pPr>
              <w:suppressAutoHyphens w:val="0"/>
              <w:spacing w:before="40" w:after="40"/>
              <w:ind w:left="57" w:right="57"/>
              <w:jc w:val="right"/>
              <w:rPr>
                <w:strike/>
                <w:szCs w:val="24"/>
              </w:rPr>
            </w:pPr>
            <w:r w:rsidRPr="00912E69">
              <w:rPr>
                <w:strike/>
                <w:szCs w:val="24"/>
              </w:rPr>
              <w:t xml:space="preserve">222 </w:t>
            </w:r>
            <w:r w:rsidR="009A7309">
              <w:rPr>
                <w:strike/>
                <w:szCs w:val="24"/>
              </w:rPr>
              <w:sym w:font="Symbol" w:char="F0B1"/>
            </w:r>
            <w:r w:rsidRPr="00912E69">
              <w:rPr>
                <w:strike/>
                <w:szCs w:val="24"/>
              </w:rPr>
              <w:t xml:space="preserve"> 12</w:t>
            </w:r>
            <w:r w:rsidRPr="00912E69">
              <w:rPr>
                <w:szCs w:val="24"/>
              </w:rPr>
              <w:t xml:space="preserve"> </w:t>
            </w:r>
            <w:r w:rsidRPr="00912E69">
              <w:rPr>
                <w:b/>
                <w:szCs w:val="24"/>
              </w:rPr>
              <w:t xml:space="preserve">227 </w:t>
            </w:r>
            <w:r>
              <w:rPr>
                <w:b/>
                <w:szCs w:val="24"/>
              </w:rPr>
              <w:sym w:font="Symbol" w:char="F0B1"/>
            </w:r>
            <w:r w:rsidRPr="00912E69">
              <w:rPr>
                <w:b/>
                <w:szCs w:val="24"/>
              </w:rPr>
              <w:t xml:space="preserve"> 14</w:t>
            </w:r>
          </w:p>
        </w:tc>
      </w:tr>
    </w:tbl>
    <w:p w:rsidR="00797756" w:rsidRPr="0020704A" w:rsidRDefault="00797756" w:rsidP="0020704A">
      <w:pPr>
        <w:pStyle w:val="SingleTxtG"/>
        <w:spacing w:before="240"/>
        <w:ind w:left="2268"/>
      </w:pPr>
      <w:r w:rsidRPr="0020704A">
        <w:t xml:space="preserve">Les courbes de décélération doivent être fondées sur une vibration </w:t>
      </w:r>
      <w:proofErr w:type="spellStart"/>
      <w:r w:rsidRPr="0020704A">
        <w:t>unimodale</w:t>
      </w:r>
      <w:proofErr w:type="spellEnd"/>
      <w:r w:rsidRPr="0020704A">
        <w:t>. La courbe de décélération à une hauteur de chute de 254</w:t>
      </w:r>
      <w:r w:rsidR="0020704A">
        <w:t> </w:t>
      </w:r>
      <w:r w:rsidRPr="0020704A">
        <w:t xml:space="preserve">mm doit être comprise entre </w:t>
      </w:r>
      <w:r w:rsidRPr="0020704A">
        <w:rPr>
          <w:strike/>
        </w:rPr>
        <w:t>1,2</w:t>
      </w:r>
      <w:r w:rsidRPr="0020704A">
        <w:rPr>
          <w:b/>
        </w:rPr>
        <w:t xml:space="preserve">1,5 </w:t>
      </w:r>
      <w:r w:rsidR="00AE192B">
        <w:t>ms et</w:t>
      </w:r>
      <w:r w:rsidRPr="0020704A">
        <w:t xml:space="preserve"> </w:t>
      </w:r>
      <w:r w:rsidRPr="0020704A">
        <w:rPr>
          <w:strike/>
        </w:rPr>
        <w:t>1,5</w:t>
      </w:r>
      <w:r w:rsidRPr="0020704A">
        <w:rPr>
          <w:b/>
        </w:rPr>
        <w:t>2</w:t>
      </w:r>
      <w:r w:rsidRPr="0020704A">
        <w:t xml:space="preserve"> ms au-dessus de 100</w:t>
      </w:r>
      <w:r w:rsidR="0020704A">
        <w:t> </w:t>
      </w:r>
      <w:r w:rsidRPr="0020704A">
        <w:t>g.</w:t>
      </w:r>
    </w:p>
    <w:p w:rsidR="00797756" w:rsidRPr="00797756" w:rsidRDefault="00797756" w:rsidP="00A408E6">
      <w:pPr>
        <w:pStyle w:val="SingleTxtG"/>
        <w:ind w:left="2268"/>
        <w:rPr>
          <w:b/>
        </w:rPr>
      </w:pPr>
      <w:r w:rsidRPr="00797756">
        <w:rPr>
          <w:b/>
        </w:rPr>
        <w:tab/>
      </w:r>
      <w:r w:rsidR="00A408E6">
        <w:rPr>
          <w:b/>
        </w:rPr>
        <w:t>…</w:t>
      </w:r>
    </w:p>
    <w:p w:rsidR="00797756" w:rsidRPr="0020704A" w:rsidRDefault="00797756" w:rsidP="00A408E6">
      <w:pPr>
        <w:pStyle w:val="SingleTxtG"/>
        <w:ind w:left="2268" w:hanging="1134"/>
        <w:rPr>
          <w:strike/>
        </w:rPr>
      </w:pPr>
      <w:r w:rsidRPr="0020704A">
        <w:t>3.2.3</w:t>
      </w:r>
      <w:r w:rsidRPr="0020704A">
        <w:tab/>
      </w:r>
      <w:r w:rsidRPr="0020704A">
        <w:rPr>
          <w:strike/>
        </w:rPr>
        <w:t xml:space="preserve">Le </w:t>
      </w:r>
      <w:proofErr w:type="spellStart"/>
      <w:r w:rsidRPr="0020704A">
        <w:rPr>
          <w:strike/>
        </w:rPr>
        <w:t>s</w:t>
      </w:r>
      <w:r w:rsidRPr="0020704A">
        <w:rPr>
          <w:b/>
        </w:rPr>
        <w:t>S</w:t>
      </w:r>
      <w:r w:rsidRPr="0020704A">
        <w:t>upport</w:t>
      </w:r>
      <w:proofErr w:type="spellEnd"/>
      <w:r w:rsidRPr="0020704A">
        <w:t xml:space="preserve"> pour échantillons plats</w:t>
      </w:r>
      <w:r w:rsidRPr="0020704A">
        <w:rPr>
          <w:strike/>
        </w:rPr>
        <w:t xml:space="preserve"> doit être comme décrit au paragraphe 3.1.3.</w:t>
      </w:r>
    </w:p>
    <w:p w:rsidR="00797756" w:rsidRPr="00797756" w:rsidRDefault="00797756" w:rsidP="00A408E6">
      <w:pPr>
        <w:pStyle w:val="SingleTxtG"/>
      </w:pPr>
      <w:r w:rsidRPr="00A408E6">
        <w:rPr>
          <w:i/>
        </w:rPr>
        <w:t>Ajouter les nouveaux paragraphes 3.2.3.1 et 3.2.3.2</w:t>
      </w:r>
      <w:r w:rsidRPr="00797756">
        <w:t>, libellés comme suit</w:t>
      </w:r>
      <w:r w:rsidR="00A408E6">
        <w:t> </w:t>
      </w:r>
      <w:r w:rsidRPr="00797756">
        <w:t>:</w:t>
      </w:r>
    </w:p>
    <w:p w:rsidR="00797756" w:rsidRPr="00797756" w:rsidRDefault="00A408E6" w:rsidP="00A408E6">
      <w:pPr>
        <w:pStyle w:val="SingleTxtG"/>
        <w:ind w:left="2268" w:hanging="1134"/>
        <w:rPr>
          <w:b/>
        </w:rPr>
      </w:pPr>
      <w:r w:rsidRPr="0020704A">
        <w:t>« </w:t>
      </w:r>
      <w:r w:rsidR="00797756" w:rsidRPr="00797756">
        <w:rPr>
          <w:b/>
        </w:rPr>
        <w:t>3.2.3.1</w:t>
      </w:r>
      <w:r w:rsidR="00797756" w:rsidRPr="00797756">
        <w:rPr>
          <w:b/>
        </w:rPr>
        <w:tab/>
        <w:t>Le support utilisé lors des essais réalisés sur des éprouvettes plates doit être conforme à la description qui figure au paragraphe 3.1.3, à la différence que les garnitures de caoutchouc doivent être d</w:t>
      </w:r>
      <w:r w:rsidR="001A0723">
        <w:rPr>
          <w:b/>
        </w:rPr>
        <w:t>’</w:t>
      </w:r>
      <w:r w:rsidR="00797756" w:rsidRPr="00797756">
        <w:rPr>
          <w:b/>
        </w:rPr>
        <w:t>une largeur de 50 + 1/- 0 mm (au lieu de 15</w:t>
      </w:r>
      <w:r w:rsidR="001A0723">
        <w:rPr>
          <w:b/>
        </w:rPr>
        <w:t> </w:t>
      </w:r>
      <w:r w:rsidR="00797756" w:rsidRPr="00797756">
        <w:rPr>
          <w:b/>
        </w:rPr>
        <w:t xml:space="preserve">mm </w:t>
      </w:r>
      <w:r w:rsidR="00C479D0">
        <w:rPr>
          <w:b/>
        </w:rPr>
        <w:sym w:font="Symbol" w:char="F0B1"/>
      </w:r>
      <w:r w:rsidR="00797756" w:rsidRPr="00797756">
        <w:rPr>
          <w:b/>
        </w:rPr>
        <w:t xml:space="preserve"> 1</w:t>
      </w:r>
      <w:r w:rsidR="001A0723">
        <w:rPr>
          <w:b/>
        </w:rPr>
        <w:t> </w:t>
      </w:r>
      <w:r w:rsidR="00797756" w:rsidRPr="00797756">
        <w:rPr>
          <w:b/>
        </w:rPr>
        <w:t xml:space="preserve">mm) et recouvrir </w:t>
      </w:r>
      <w:proofErr w:type="spellStart"/>
      <w:r w:rsidR="00797756" w:rsidRPr="00797756">
        <w:rPr>
          <w:b/>
        </w:rPr>
        <w:t>complètement</w:t>
      </w:r>
      <w:proofErr w:type="spellEnd"/>
      <w:r w:rsidR="00797756" w:rsidRPr="00797756">
        <w:rPr>
          <w:b/>
        </w:rPr>
        <w:t xml:space="preserve"> les rebords des deux cadres en acier. Le couple minimal recommandé pour les boulons M20 est de 30 Nm. Il est possible d</w:t>
      </w:r>
      <w:r w:rsidR="001A0723">
        <w:rPr>
          <w:b/>
        </w:rPr>
        <w:t>’</w:t>
      </w:r>
      <w:r w:rsidR="00797756" w:rsidRPr="00797756">
        <w:rPr>
          <w:b/>
        </w:rPr>
        <w:t>utiliser d</w:t>
      </w:r>
      <w:r w:rsidR="001A0723">
        <w:rPr>
          <w:b/>
        </w:rPr>
        <w:t>’</w:t>
      </w:r>
      <w:r w:rsidR="00797756" w:rsidRPr="00797756">
        <w:rPr>
          <w:b/>
        </w:rPr>
        <w:t>autres techniques de serrage, par exemple hydraulique ou pneumatique.</w:t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797756">
        <w:rPr>
          <w:b/>
        </w:rPr>
        <w:t>3.2.3.2</w:t>
      </w:r>
      <w:r w:rsidRPr="00797756">
        <w:rPr>
          <w:b/>
        </w:rPr>
        <w:tab/>
      </w:r>
      <w:r w:rsidRPr="00797756">
        <w:rPr>
          <w:b/>
        </w:rPr>
        <w:tab/>
        <w:t>Pour réaliser les essais sur des vitrages entiers, le support doit être constitué d</w:t>
      </w:r>
      <w:r w:rsidR="001A0723">
        <w:rPr>
          <w:b/>
        </w:rPr>
        <w:t>’</w:t>
      </w:r>
      <w:r w:rsidRPr="00797756">
        <w:rPr>
          <w:b/>
        </w:rPr>
        <w:t>une pièce rigide correspondant à la forme de la vitre de manière que la fausse tête se trouve en face de la face intérieure. Le vitrage doit être fixé sur le porte-échantillon par pincement à l</w:t>
      </w:r>
      <w:r w:rsidR="001A0723">
        <w:rPr>
          <w:b/>
        </w:rPr>
        <w:t>’</w:t>
      </w:r>
      <w:r w:rsidRPr="00797756">
        <w:rPr>
          <w:b/>
        </w:rPr>
        <w:t>aide de dispositifs appropriés, avec interposition de bandes de caoutchouc</w:t>
      </w:r>
      <w:r w:rsidR="007F6572">
        <w:rPr>
          <w:b/>
        </w:rPr>
        <w:t xml:space="preserve"> </w:t>
      </w:r>
      <w:r w:rsidRPr="00797756">
        <w:rPr>
          <w:b/>
        </w:rPr>
        <w:t xml:space="preserve">ayant </w:t>
      </w:r>
      <w:r w:rsidRPr="00797756">
        <w:rPr>
          <w:b/>
        </w:rPr>
        <w:lastRenderedPageBreak/>
        <w:t>une dureté de 70 DIDC et une épaisseur de 3 mm environ, la largeur du contact sur la totalité du périmètre étant de 15 mm environ. </w:t>
      </w:r>
      <w:r w:rsidRPr="0020704A">
        <w:t>».</w:t>
      </w:r>
    </w:p>
    <w:p w:rsidR="00797756" w:rsidRPr="0020704A" w:rsidRDefault="00797756" w:rsidP="00797756">
      <w:pPr>
        <w:pStyle w:val="SingleTxtG"/>
      </w:pPr>
      <w:r w:rsidRPr="0020704A">
        <w:rPr>
          <w:i/>
        </w:rPr>
        <w:t>Paragraphe 3.2.5</w:t>
      </w:r>
      <w:r w:rsidRPr="0020704A">
        <w:t>,</w:t>
      </w:r>
      <w:r w:rsidRPr="0020704A">
        <w:rPr>
          <w:i/>
        </w:rPr>
        <w:t xml:space="preserve"> </w:t>
      </w:r>
      <w:r w:rsidRPr="0020704A">
        <w:t>modifier comme suit</w:t>
      </w:r>
      <w:r w:rsidR="0020704A">
        <w:t> </w:t>
      </w:r>
      <w:r w:rsidRPr="0020704A">
        <w:t xml:space="preserve">: </w:t>
      </w:r>
    </w:p>
    <w:p w:rsidR="00797756" w:rsidRPr="00306328" w:rsidRDefault="00797756" w:rsidP="00A408E6">
      <w:pPr>
        <w:pStyle w:val="SingleTxtG"/>
        <w:ind w:left="2268" w:hanging="1134"/>
        <w:rPr>
          <w:b/>
        </w:rPr>
      </w:pPr>
      <w:r w:rsidRPr="0020704A">
        <w:t>«</w:t>
      </w:r>
      <w:r w:rsidR="00306328">
        <w:t> </w:t>
      </w:r>
      <w:r w:rsidRPr="0020704A">
        <w:t>3.2.5</w:t>
      </w:r>
      <w:r w:rsidRPr="0020704A">
        <w:tab/>
      </w:r>
      <w:r w:rsidRPr="0020704A">
        <w:rPr>
          <w:strike/>
        </w:rPr>
        <w:t>Essai sur des vitrages entiers (</w:t>
      </w:r>
      <w:r w:rsidRPr="00C479D0">
        <w:rPr>
          <w:strike/>
        </w:rPr>
        <w:t>utilis</w:t>
      </w:r>
      <w:r w:rsidR="00C479D0" w:rsidRPr="00C479D0">
        <w:rPr>
          <w:strike/>
        </w:rPr>
        <w:t>é</w:t>
      </w:r>
      <w:r w:rsidRPr="00C479D0">
        <w:rPr>
          <w:strike/>
        </w:rPr>
        <w:t>s</w:t>
      </w:r>
      <w:r w:rsidRPr="0020704A">
        <w:rPr>
          <w:strike/>
        </w:rPr>
        <w:t xml:space="preserve"> pour une hauteur de chute comprise entre 1,5 m et 3 m). Poser le vitrage sur un support après avoir intercalé une bande de caoutchouc de 70 DIDC de dureté et d</w:t>
      </w:r>
      <w:r w:rsidR="001A0723">
        <w:rPr>
          <w:strike/>
        </w:rPr>
        <w:t>’</w:t>
      </w:r>
      <w:r w:rsidRPr="0020704A">
        <w:rPr>
          <w:strike/>
        </w:rPr>
        <w:t>environ 3 mm d</w:t>
      </w:r>
      <w:r w:rsidR="001A0723">
        <w:rPr>
          <w:strike/>
        </w:rPr>
        <w:t>’</w:t>
      </w:r>
      <w:r w:rsidRPr="0020704A">
        <w:rPr>
          <w:strike/>
        </w:rPr>
        <w:t>épaisseur.</w:t>
      </w:r>
      <w:r w:rsidRPr="0020704A">
        <w:t xml:space="preserve"> </w:t>
      </w:r>
      <w:r w:rsidRPr="00306328">
        <w:rPr>
          <w:b/>
        </w:rPr>
        <w:t>Méthode d</w:t>
      </w:r>
      <w:r w:rsidR="001A0723">
        <w:rPr>
          <w:b/>
        </w:rPr>
        <w:t>’</w:t>
      </w:r>
      <w:r w:rsidRPr="00306328">
        <w:rPr>
          <w:b/>
        </w:rPr>
        <w:t>essai</w:t>
      </w:r>
    </w:p>
    <w:p w:rsidR="00797756" w:rsidRPr="0020704A" w:rsidRDefault="00797756" w:rsidP="00306328">
      <w:pPr>
        <w:pStyle w:val="SingleTxtG"/>
        <w:ind w:left="2268"/>
      </w:pPr>
      <w:proofErr w:type="spellStart"/>
      <w:r w:rsidRPr="00306328">
        <w:rPr>
          <w:strike/>
        </w:rPr>
        <w:t>Le</w:t>
      </w:r>
      <w:r w:rsidRPr="00306328">
        <w:rPr>
          <w:b/>
        </w:rPr>
        <w:t>L</w:t>
      </w:r>
      <w:r w:rsidR="001A0723">
        <w:rPr>
          <w:b/>
        </w:rPr>
        <w:t>’</w:t>
      </w:r>
      <w:r w:rsidRPr="00306328">
        <w:rPr>
          <w:b/>
        </w:rPr>
        <w:t>éprouvette</w:t>
      </w:r>
      <w:proofErr w:type="spellEnd"/>
      <w:r w:rsidRPr="00306328">
        <w:rPr>
          <w:b/>
        </w:rPr>
        <w:t xml:space="preserve"> plate ou le</w:t>
      </w:r>
      <w:r w:rsidRPr="0020704A">
        <w:t xml:space="preserve"> vitrage </w:t>
      </w:r>
      <w:r w:rsidRPr="00306328">
        <w:rPr>
          <w:b/>
        </w:rPr>
        <w:t>entier</w:t>
      </w:r>
      <w:r w:rsidRPr="0020704A">
        <w:t xml:space="preserve"> doit être fixé</w:t>
      </w:r>
      <w:r w:rsidRPr="00306328">
        <w:rPr>
          <w:b/>
        </w:rPr>
        <w:t>(e)</w:t>
      </w:r>
      <w:r w:rsidRPr="0020704A">
        <w:t xml:space="preserve"> sur le porte-échantillon par pincement, </w:t>
      </w:r>
      <w:r w:rsidRPr="00306328">
        <w:rPr>
          <w:b/>
        </w:rPr>
        <w:t xml:space="preserve">conformément aux paragraphes 3.2.3.1 et 3.2.3.2, respectivement </w:t>
      </w:r>
      <w:r w:rsidRPr="00306328">
        <w:rPr>
          <w:strike/>
        </w:rPr>
        <w:t>à l</w:t>
      </w:r>
      <w:r w:rsidR="001A0723">
        <w:rPr>
          <w:strike/>
        </w:rPr>
        <w:t>’</w:t>
      </w:r>
      <w:r w:rsidRPr="00306328">
        <w:rPr>
          <w:strike/>
        </w:rPr>
        <w:t>aide de dispositifs appropriés</w:t>
      </w:r>
      <w:r w:rsidRPr="0020704A">
        <w:t xml:space="preserve">. </w:t>
      </w:r>
      <w:r w:rsidRPr="00306328">
        <w:rPr>
          <w:b/>
        </w:rPr>
        <w:t>Le couple appliqué aux boulons, à savoir la pression hydraulique ou pneumatique, doit être tel que le déplacement de l</w:t>
      </w:r>
      <w:r w:rsidR="001A0723">
        <w:rPr>
          <w:b/>
        </w:rPr>
        <w:t>’</w:t>
      </w:r>
      <w:r w:rsidRPr="00306328">
        <w:rPr>
          <w:b/>
        </w:rPr>
        <w:t>éprouvette pendant l</w:t>
      </w:r>
      <w:r w:rsidR="001A0723">
        <w:rPr>
          <w:b/>
        </w:rPr>
        <w:t>’</w:t>
      </w:r>
      <w:r w:rsidRPr="00306328">
        <w:rPr>
          <w:b/>
        </w:rPr>
        <w:t>essai ne dépasse pas 2 </w:t>
      </w:r>
      <w:proofErr w:type="spellStart"/>
      <w:r w:rsidRPr="00306328">
        <w:rPr>
          <w:b/>
        </w:rPr>
        <w:t>mm.</w:t>
      </w:r>
      <w:proofErr w:type="spellEnd"/>
      <w:r w:rsidRPr="0020704A">
        <w:t xml:space="preserve"> La surface </w:t>
      </w:r>
      <w:r w:rsidRPr="00306328">
        <w:rPr>
          <w:b/>
        </w:rPr>
        <w:t>de l</w:t>
      </w:r>
      <w:r w:rsidR="001A0723">
        <w:rPr>
          <w:b/>
        </w:rPr>
        <w:t>’</w:t>
      </w:r>
      <w:r w:rsidRPr="00306328">
        <w:rPr>
          <w:b/>
        </w:rPr>
        <w:t>éprouvette ou</w:t>
      </w:r>
      <w:r w:rsidRPr="0020704A">
        <w:t xml:space="preserve"> du vitrage doit être à peu près perpendiculaire à la direction incidente de la fausse tête. La tête d</w:t>
      </w:r>
      <w:r w:rsidR="001A0723">
        <w:t>’</w:t>
      </w:r>
      <w:r w:rsidRPr="0020704A">
        <w:t xml:space="preserve">essai doit venir heurter </w:t>
      </w:r>
      <w:r w:rsidRPr="00306328">
        <w:rPr>
          <w:b/>
        </w:rPr>
        <w:t>l</w:t>
      </w:r>
      <w:r w:rsidR="001A0723">
        <w:rPr>
          <w:b/>
        </w:rPr>
        <w:t>’</w:t>
      </w:r>
      <w:r w:rsidRPr="00306328">
        <w:rPr>
          <w:b/>
        </w:rPr>
        <w:t>éprouvette ou</w:t>
      </w:r>
      <w:r w:rsidRPr="0020704A">
        <w:t xml:space="preserve"> le vitrage en un point situé à moins de 40 mm de son centre géométrique, sur sa face interne lorsque le vitrage plastique est monté sur le véhicule. La tête ne doit produire qu</w:t>
      </w:r>
      <w:r w:rsidR="001A0723">
        <w:t>’</w:t>
      </w:r>
      <w:r w:rsidRPr="0020704A">
        <w:t>un seul impact.</w:t>
      </w:r>
    </w:p>
    <w:p w:rsidR="00797756" w:rsidRPr="0020704A" w:rsidRDefault="00797756" w:rsidP="00306328">
      <w:pPr>
        <w:pStyle w:val="SingleTxtG"/>
        <w:ind w:left="2268"/>
      </w:pPr>
      <w:r w:rsidRPr="0020704A">
        <w:tab/>
      </w:r>
      <w:r w:rsidRPr="00306328">
        <w:rPr>
          <w:strike/>
        </w:rPr>
        <w:t>Après une hauteur de chute initiale, celle-ci devrait être relevée de 0,5 m en 0,5 m.</w:t>
      </w:r>
      <w:r w:rsidRPr="0020704A">
        <w:t xml:space="preserve"> La décélération se produisant au moment du choc sur l</w:t>
      </w:r>
      <w:r w:rsidR="001A0723">
        <w:t>’</w:t>
      </w:r>
      <w:r w:rsidRPr="0020704A">
        <w:t>échantillon (</w:t>
      </w:r>
      <w:proofErr w:type="spellStart"/>
      <w:r w:rsidRPr="0020704A">
        <w:t>a</w:t>
      </w:r>
      <w:r w:rsidRPr="0020704A">
        <w:rPr>
          <w:vertAlign w:val="subscript"/>
        </w:rPr>
        <w:t>x</w:t>
      </w:r>
      <w:proofErr w:type="spellEnd"/>
      <w:r w:rsidRPr="0020704A">
        <w:t>, a</w:t>
      </w:r>
      <w:r w:rsidRPr="0020704A">
        <w:rPr>
          <w:vertAlign w:val="subscript"/>
        </w:rPr>
        <w:t>y</w:t>
      </w:r>
      <w:r w:rsidRPr="0020704A">
        <w:t xml:space="preserve"> ou </w:t>
      </w:r>
      <w:proofErr w:type="spellStart"/>
      <w:r w:rsidRPr="0020704A">
        <w:t>a</w:t>
      </w:r>
      <w:r w:rsidRPr="0020704A">
        <w:rPr>
          <w:vertAlign w:val="subscript"/>
        </w:rPr>
        <w:t>z</w:t>
      </w:r>
      <w:proofErr w:type="spellEnd"/>
      <w:r w:rsidRPr="0020704A">
        <w:t>) devrait être enregistrée en fonction du temps t.</w:t>
      </w:r>
    </w:p>
    <w:p w:rsidR="00797756" w:rsidRPr="0020704A" w:rsidRDefault="00306328" w:rsidP="00306328">
      <w:pPr>
        <w:pStyle w:val="SingleTxtG"/>
        <w:ind w:left="2268"/>
      </w:pPr>
      <w:r>
        <w:t>…</w:t>
      </w:r>
      <w:r w:rsidR="00797756" w:rsidRPr="0020704A">
        <w:t xml:space="preserve"> Les données d</w:t>
      </w:r>
      <w:r w:rsidR="001A0723">
        <w:t>’</w:t>
      </w:r>
      <w:r w:rsidR="00797756" w:rsidRPr="0020704A">
        <w:t xml:space="preserve">accélération </w:t>
      </w:r>
      <w:proofErr w:type="spellStart"/>
      <w:r w:rsidR="00797756" w:rsidRPr="0020704A">
        <w:t>a</w:t>
      </w:r>
      <w:r w:rsidR="00797756" w:rsidRPr="0020704A">
        <w:rPr>
          <w:vertAlign w:val="subscript"/>
        </w:rPr>
        <w:t>x</w:t>
      </w:r>
      <w:proofErr w:type="spellEnd"/>
      <w:r w:rsidR="00797756" w:rsidRPr="0020704A">
        <w:t xml:space="preserve"> et a</w:t>
      </w:r>
      <w:r w:rsidR="00797756" w:rsidRPr="0020704A">
        <w:rPr>
          <w:vertAlign w:val="subscript"/>
        </w:rPr>
        <w:t>y</w:t>
      </w:r>
      <w:r w:rsidR="00797756" w:rsidRPr="0020704A">
        <w:t xml:space="preserve"> devraient être inférieures, pour les chocs verticaux, à 0,1 </w:t>
      </w:r>
      <w:proofErr w:type="spellStart"/>
      <w:r w:rsidR="00797756" w:rsidRPr="0020704A">
        <w:t>a</w:t>
      </w:r>
      <w:r w:rsidR="00797756" w:rsidRPr="0020704A">
        <w:rPr>
          <w:vertAlign w:val="subscript"/>
        </w:rPr>
        <w:t>z</w:t>
      </w:r>
      <w:proofErr w:type="spellEnd"/>
      <w:r w:rsidR="00797756" w:rsidRPr="0020704A">
        <w:t>.</w:t>
      </w:r>
      <w:r>
        <w:t> </w:t>
      </w:r>
      <w:r w:rsidR="00797756" w:rsidRPr="0020704A">
        <w:t>».</w:t>
      </w:r>
    </w:p>
    <w:p w:rsidR="00797756" w:rsidRPr="0020704A" w:rsidRDefault="00797756" w:rsidP="00797756">
      <w:pPr>
        <w:pStyle w:val="SingleTxtG"/>
      </w:pPr>
      <w:r w:rsidRPr="0020704A">
        <w:rPr>
          <w:i/>
        </w:rPr>
        <w:t>Paragraphe 3.2.6</w:t>
      </w:r>
      <w:r w:rsidRPr="0020704A">
        <w:t>, modifier comme suit (en modifiant également l</w:t>
      </w:r>
      <w:r w:rsidR="001A0723">
        <w:t>’</w:t>
      </w:r>
      <w:r w:rsidRPr="0020704A">
        <w:t>équation (2))</w:t>
      </w:r>
      <w:r w:rsidR="00306328">
        <w:t> :</w:t>
      </w:r>
    </w:p>
    <w:p w:rsidR="00797756" w:rsidRPr="0020704A" w:rsidRDefault="00797756" w:rsidP="00A408E6">
      <w:pPr>
        <w:pStyle w:val="SingleTxtG"/>
        <w:ind w:left="2268" w:hanging="1134"/>
      </w:pPr>
      <w:r w:rsidRPr="0020704A">
        <w:t>«</w:t>
      </w:r>
      <w:r w:rsidR="00306328">
        <w:t> </w:t>
      </w:r>
      <w:r w:rsidRPr="0020704A">
        <w:t>3.2.6</w:t>
      </w:r>
      <w:r w:rsidRPr="0020704A">
        <w:tab/>
        <w:t>Évaluation</w:t>
      </w:r>
    </w:p>
    <w:p w:rsidR="00797756" w:rsidRPr="0020704A" w:rsidRDefault="00797756" w:rsidP="00306328">
      <w:pPr>
        <w:pStyle w:val="SingleTxtG"/>
        <w:ind w:left="2268"/>
      </w:pPr>
      <w:r w:rsidRPr="0020704A">
        <w:tab/>
      </w:r>
      <w:r w:rsidR="00306328">
        <w:t>…</w:t>
      </w:r>
    </w:p>
    <w:p w:rsidR="00797756" w:rsidRDefault="00797756" w:rsidP="00306328">
      <w:pPr>
        <w:pStyle w:val="SingleTxtG"/>
        <w:ind w:left="2268"/>
      </w:pPr>
      <w:r w:rsidRPr="0020704A">
        <w:tab/>
      </w:r>
      <w:r w:rsidRPr="00B825C9">
        <w:rPr>
          <w:strike/>
        </w:rPr>
        <w:t>Le temps pendant lequel a</w:t>
      </w:r>
      <w:r w:rsidRPr="00B825C9">
        <w:rPr>
          <w:strike/>
          <w:vertAlign w:val="subscript"/>
        </w:rPr>
        <w:t>res</w:t>
      </w:r>
      <w:r w:rsidRPr="00B825C9">
        <w:rPr>
          <w:strike/>
        </w:rPr>
        <w:t xml:space="preserve"> dépasse 80 g en continu et la valeur la plus élevée de a</w:t>
      </w:r>
      <w:r w:rsidRPr="00B825C9">
        <w:rPr>
          <w:strike/>
          <w:vertAlign w:val="subscript"/>
        </w:rPr>
        <w:t>res</w:t>
      </w:r>
      <w:r w:rsidRPr="00B825C9">
        <w:rPr>
          <w:strike/>
        </w:rPr>
        <w:t xml:space="preserve"> devraient être déterminés.</w:t>
      </w:r>
      <w:r w:rsidRPr="0020704A">
        <w:t xml:space="preserve"> La valeur HIC devrait être calculée en fonction du risque de blessure grave au crâne et au cerveau, au moyen de l</w:t>
      </w:r>
      <w:r w:rsidR="001A0723">
        <w:t>’</w:t>
      </w:r>
      <w:r w:rsidRPr="0020704A">
        <w:t>équation ci-dessous (2)</w:t>
      </w:r>
      <w:r w:rsidR="007F6572">
        <w:t> </w:t>
      </w:r>
      <w:r w:rsidRPr="0020704A">
        <w:t>:</w:t>
      </w:r>
    </w:p>
    <w:p w:rsidR="00B326FB" w:rsidRPr="00FB070D" w:rsidRDefault="00B326FB" w:rsidP="00B326FB">
      <w:pPr>
        <w:pStyle w:val="para"/>
        <w:ind w:firstLine="0"/>
        <w:rPr>
          <w:strike/>
          <w:lang w:val="ru-RU"/>
        </w:rPr>
      </w:pPr>
      <w:r w:rsidRPr="00FB070D">
        <w:rPr>
          <w:lang w:val="ru-RU"/>
        </w:rPr>
        <w:t xml:space="preserve">(2) </w:t>
      </w:r>
      <w:r w:rsidRPr="00FB070D">
        <w:rPr>
          <w:strike/>
          <w:position w:val="-36"/>
          <w:lang w:val="ru-RU"/>
        </w:rPr>
        <w:object w:dxaOrig="31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45.05pt" o:ole="" fillcolor="window">
            <v:imagedata r:id="rId10" o:title=""/>
          </v:shape>
          <o:OLEObject Type="Embed" ProgID="Equation.3" ShapeID="_x0000_i1025" DrawAspect="Content" ObjectID="_1550057276" r:id="rId11"/>
        </w:object>
      </w:r>
    </w:p>
    <w:p w:rsidR="00B326FB" w:rsidRDefault="00B326FB" w:rsidP="00B326FB">
      <w:pPr>
        <w:pStyle w:val="SingleTxtGR"/>
        <w:ind w:left="2268"/>
        <w:jc w:val="left"/>
        <w:rPr>
          <w:lang w:val="en-US"/>
        </w:rPr>
      </w:pPr>
      <w:r w:rsidRPr="00FB070D">
        <w:rPr>
          <w:rFonts w:ascii="Courier New" w:hAnsi="Courier New"/>
          <w:b/>
          <w:position w:val="-44"/>
        </w:rPr>
        <w:object w:dxaOrig="5020" w:dyaOrig="999">
          <v:shape id="_x0000_i1026" type="#_x0000_t75" style="width:251pt;height:50.05pt" o:ole="" fillcolor="window">
            <v:imagedata r:id="rId12" o:title=""/>
          </v:shape>
          <o:OLEObject Type="Embed" ProgID="Equation.3" ShapeID="_x0000_i1026" DrawAspect="Content" ObjectID="_1550057277" r:id="rId13"/>
        </w:object>
      </w:r>
    </w:p>
    <w:p w:rsidR="00797756" w:rsidRPr="00B825C9" w:rsidRDefault="00797756" w:rsidP="00B825C9">
      <w:pPr>
        <w:pStyle w:val="SingleTxtG"/>
        <w:ind w:left="2268"/>
      </w:pPr>
      <w:r w:rsidRPr="00B825C9">
        <w:t>Les limites intégrales t</w:t>
      </w:r>
      <w:r w:rsidRPr="00B825C9">
        <w:rPr>
          <w:vertAlign w:val="subscript"/>
        </w:rPr>
        <w:t>1</w:t>
      </w:r>
      <w:r w:rsidRPr="00B825C9">
        <w:t xml:space="preserve"> et t</w:t>
      </w:r>
      <w:r w:rsidRPr="00B825C9">
        <w:rPr>
          <w:vertAlign w:val="subscript"/>
        </w:rPr>
        <w:t>2</w:t>
      </w:r>
      <w:r w:rsidRPr="00B825C9">
        <w:t xml:space="preserve"> devraient être sélectionnées de façon que </w:t>
      </w:r>
      <w:r w:rsidRPr="00B825C9">
        <w:rPr>
          <w:strike/>
        </w:rPr>
        <w:t>l</w:t>
      </w:r>
      <w:r w:rsidR="001A0723">
        <w:rPr>
          <w:strike/>
        </w:rPr>
        <w:t>’</w:t>
      </w:r>
      <w:r w:rsidRPr="00B825C9">
        <w:rPr>
          <w:strike/>
        </w:rPr>
        <w:t xml:space="preserve">intégrale </w:t>
      </w:r>
      <w:r w:rsidRPr="00797756">
        <w:rPr>
          <w:b/>
        </w:rPr>
        <w:t xml:space="preserve">la fonction f(t) </w:t>
      </w:r>
      <w:r w:rsidRPr="00B825C9">
        <w:t>ait une valeur maximale.</w:t>
      </w:r>
      <w:r w:rsidR="00B825C9">
        <w:t> </w:t>
      </w:r>
      <w:r w:rsidRPr="00B825C9">
        <w:t>».</w:t>
      </w:r>
    </w:p>
    <w:p w:rsidR="00797756" w:rsidRPr="00B825C9" w:rsidRDefault="00797756" w:rsidP="00797756">
      <w:pPr>
        <w:pStyle w:val="SingleTxtG"/>
      </w:pPr>
      <w:r w:rsidRPr="00B825C9">
        <w:rPr>
          <w:i/>
        </w:rPr>
        <w:t>Paragraphe</w:t>
      </w:r>
      <w:r w:rsidR="00B825C9">
        <w:rPr>
          <w:i/>
        </w:rPr>
        <w:t xml:space="preserve"> </w:t>
      </w:r>
      <w:r w:rsidRPr="00B825C9">
        <w:rPr>
          <w:i/>
        </w:rPr>
        <w:t>4.1</w:t>
      </w:r>
      <w:r w:rsidRPr="00B825C9">
        <w:t>,</w:t>
      </w:r>
      <w:r w:rsidRPr="00B825C9">
        <w:rPr>
          <w:i/>
        </w:rPr>
        <w:t xml:space="preserve"> </w:t>
      </w:r>
      <w:r w:rsidRPr="00B825C9">
        <w:t>modifier comme suit</w:t>
      </w:r>
      <w:r w:rsidR="00B825C9">
        <w:t> :</w:t>
      </w:r>
    </w:p>
    <w:p w:rsidR="00797756" w:rsidRPr="00B825C9" w:rsidRDefault="00797756" w:rsidP="00A408E6">
      <w:pPr>
        <w:pStyle w:val="SingleTxtG"/>
        <w:ind w:left="2268" w:hanging="1134"/>
        <w:rPr>
          <w:u w:val="single"/>
        </w:rPr>
      </w:pPr>
      <w:r w:rsidRPr="00B825C9">
        <w:t>«</w:t>
      </w:r>
      <w:r w:rsidR="00B825C9">
        <w:t> </w:t>
      </w:r>
      <w:r w:rsidRPr="00B825C9">
        <w:t>4.1</w:t>
      </w:r>
      <w:r w:rsidRPr="00B825C9">
        <w:tab/>
        <w:t xml:space="preserve">Appareillage </w:t>
      </w:r>
      <w:r w:rsidRPr="00B825C9">
        <w:rPr>
          <w:b/>
        </w:rPr>
        <w:t>pour l</w:t>
      </w:r>
      <w:r w:rsidR="001A0723">
        <w:rPr>
          <w:b/>
        </w:rPr>
        <w:t>’</w:t>
      </w:r>
      <w:r w:rsidRPr="00B825C9">
        <w:rPr>
          <w:b/>
        </w:rPr>
        <w:t>essai Taber</w:t>
      </w:r>
      <w:r w:rsidR="00B825C9">
        <w:rPr>
          <w:b/>
        </w:rPr>
        <w:t> </w:t>
      </w:r>
      <w:r w:rsidRPr="00B825C9">
        <w:t>».</w:t>
      </w:r>
    </w:p>
    <w:p w:rsidR="00797756" w:rsidRPr="00B825C9" w:rsidRDefault="00797756" w:rsidP="00B326FB">
      <w:pPr>
        <w:pStyle w:val="SingleTxtG"/>
        <w:keepNext/>
      </w:pPr>
      <w:r w:rsidRPr="00B825C9">
        <w:rPr>
          <w:i/>
        </w:rPr>
        <w:lastRenderedPageBreak/>
        <w:t>Paragraphes 4.1.1 à 4.1.2</w:t>
      </w:r>
      <w:r w:rsidRPr="00B825C9">
        <w:t>, modifier comme suit (en renumérotant les figures 4 à 4.1 et en ajoutant la nouvelle figure 4.2)</w:t>
      </w:r>
      <w:r w:rsidR="00B825C9">
        <w:t> :</w:t>
      </w:r>
    </w:p>
    <w:p w:rsidR="00797756" w:rsidRPr="00B825C9" w:rsidRDefault="00797756" w:rsidP="00B825C9">
      <w:pPr>
        <w:pStyle w:val="SingleTxtG"/>
        <w:keepNext/>
        <w:ind w:left="2268" w:hanging="1134"/>
      </w:pPr>
      <w:r w:rsidRPr="00B825C9">
        <w:t>«</w:t>
      </w:r>
      <w:r w:rsidR="00B825C9">
        <w:t> </w:t>
      </w:r>
      <w:r w:rsidRPr="00B825C9">
        <w:t>4.1.1</w:t>
      </w:r>
      <w:r w:rsidRPr="00B825C9">
        <w:tab/>
        <w:t>Dispositif d</w:t>
      </w:r>
      <w:r w:rsidR="001A0723">
        <w:t>’</w:t>
      </w:r>
      <w:r w:rsidRPr="00B825C9">
        <w:t>abrasion</w:t>
      </w:r>
      <w:r w:rsidR="00B825C9">
        <w:rPr>
          <w:rStyle w:val="Appelnotedebasdep"/>
        </w:rPr>
        <w:footnoteReference w:id="3"/>
      </w:r>
      <w:r w:rsidRPr="00B825C9">
        <w:t xml:space="preserve">, représenté schématiquement </w:t>
      </w:r>
      <w:r w:rsidRPr="00B825C9">
        <w:rPr>
          <w:strike/>
        </w:rPr>
        <w:t>à la</w:t>
      </w:r>
      <w:r w:rsidRPr="00B825C9">
        <w:t xml:space="preserve"> </w:t>
      </w:r>
      <w:r w:rsidRPr="00B825C9">
        <w:rPr>
          <w:b/>
        </w:rPr>
        <w:t xml:space="preserve">aux </w:t>
      </w:r>
      <w:r w:rsidRPr="00B825C9">
        <w:t>figure</w:t>
      </w:r>
      <w:r w:rsidRPr="00B326FB">
        <w:rPr>
          <w:b/>
        </w:rPr>
        <w:t>s</w:t>
      </w:r>
      <w:r w:rsidRPr="00B825C9">
        <w:t xml:space="preserve"> 4</w:t>
      </w:r>
      <w:r w:rsidRPr="00B825C9">
        <w:rPr>
          <w:b/>
        </w:rPr>
        <w:t>.1 et 4.2</w:t>
      </w:r>
      <w:r w:rsidRPr="00B825C9">
        <w:t xml:space="preserve"> et composé des éléments suivants</w:t>
      </w:r>
      <w:r w:rsidR="00B825C9">
        <w:t> </w:t>
      </w:r>
      <w:r w:rsidRPr="00B825C9">
        <w:t>:</w:t>
      </w:r>
    </w:p>
    <w:p w:rsidR="00797756" w:rsidRPr="00B825C9" w:rsidRDefault="00797756" w:rsidP="00B825C9">
      <w:pPr>
        <w:pStyle w:val="SingleTxtG"/>
        <w:ind w:left="2268"/>
      </w:pPr>
      <w:r w:rsidRPr="00797756">
        <w:rPr>
          <w:b/>
        </w:rPr>
        <w:tab/>
      </w:r>
      <w:r w:rsidRPr="00B825C9">
        <w:t>a)</w:t>
      </w:r>
      <w:r w:rsidRPr="00B825C9">
        <w:tab/>
        <w:t>Un plateau tournant horizontal, fixé en son centre dont le sens de rotation est contraire à celui des aiguilles d</w:t>
      </w:r>
      <w:r w:rsidR="001A0723">
        <w:t>’</w:t>
      </w:r>
      <w:r w:rsidRPr="00B825C9">
        <w:t xml:space="preserve">une montre et dont la vitesse </w:t>
      </w:r>
      <w:r w:rsidRPr="00B825C9">
        <w:rPr>
          <w:b/>
        </w:rPr>
        <w:t>fixe</w:t>
      </w:r>
      <w:r w:rsidRPr="00B825C9">
        <w:t xml:space="preserve"> est de </w:t>
      </w:r>
      <w:r w:rsidRPr="00B825C9">
        <w:rPr>
          <w:strike/>
        </w:rPr>
        <w:t xml:space="preserve">65 à 75 </w:t>
      </w:r>
      <w:r w:rsidRPr="00B825C9">
        <w:rPr>
          <w:b/>
        </w:rPr>
        <w:t xml:space="preserve">60 </w:t>
      </w:r>
      <w:r w:rsidR="00474D8E">
        <w:rPr>
          <w:b/>
        </w:rPr>
        <w:sym w:font="Symbol" w:char="F0B1"/>
      </w:r>
      <w:r w:rsidRPr="00B825C9">
        <w:rPr>
          <w:b/>
        </w:rPr>
        <w:t xml:space="preserve"> 2 ou 72 </w:t>
      </w:r>
      <w:r w:rsidR="00474D8E">
        <w:rPr>
          <w:b/>
        </w:rPr>
        <w:sym w:font="Symbol" w:char="F0B1"/>
      </w:r>
      <w:r w:rsidRPr="00B825C9">
        <w:rPr>
          <w:b/>
        </w:rPr>
        <w:t xml:space="preserve"> 2</w:t>
      </w:r>
      <w:r w:rsidRPr="00B825C9">
        <w:t> tr/min</w:t>
      </w:r>
      <w:r w:rsidR="00B825C9">
        <w:t> </w:t>
      </w:r>
      <w:r w:rsidRPr="00B825C9">
        <w:t>;</w:t>
      </w:r>
    </w:p>
    <w:p w:rsidR="00797756" w:rsidRPr="00797756" w:rsidRDefault="00797756" w:rsidP="00B825C9">
      <w:pPr>
        <w:pStyle w:val="SingleTxtG"/>
        <w:ind w:left="2268"/>
        <w:rPr>
          <w:b/>
        </w:rPr>
      </w:pPr>
      <w:r w:rsidRPr="00797756">
        <w:rPr>
          <w:b/>
        </w:rPr>
        <w:tab/>
      </w:r>
      <w:r w:rsidR="00B825C9" w:rsidRPr="00B825C9">
        <w:t>b)</w:t>
      </w:r>
      <w:r w:rsidR="00B825C9" w:rsidRPr="00B825C9">
        <w:tab/>
      </w:r>
      <w:r w:rsidRPr="00B825C9">
        <w:t>Deux bras parallèles lestés</w:t>
      </w:r>
      <w:r w:rsidR="007F6572">
        <w:t> </w:t>
      </w:r>
      <w:r w:rsidRPr="00B825C9">
        <w:t>; chaque bras porte une roulette abrasive spéciale tournant librement sur un axe horizontal à roulement à billes, chaque roulette repose sur l</w:t>
      </w:r>
      <w:r w:rsidR="001A0723">
        <w:t>’</w:t>
      </w:r>
      <w:r w:rsidRPr="00B825C9">
        <w:t>éprouvette d</w:t>
      </w:r>
      <w:r w:rsidR="001A0723">
        <w:t>’</w:t>
      </w:r>
      <w:r w:rsidRPr="00B825C9">
        <w:t xml:space="preserve">essai sous la pression appliquée par une masse de 500 g. </w:t>
      </w:r>
      <w:r w:rsidRPr="00797756">
        <w:rPr>
          <w:b/>
        </w:rPr>
        <w:t xml:space="preserve">La distance entre les faces intérieures des roulettes doit être de 52,4 </w:t>
      </w:r>
      <w:r w:rsidR="007F6572">
        <w:rPr>
          <w:b/>
        </w:rPr>
        <w:sym w:font="Symbol" w:char="F0B1"/>
      </w:r>
      <w:r w:rsidRPr="00797756">
        <w:rPr>
          <w:b/>
        </w:rPr>
        <w:t xml:space="preserve"> 1,0 mm (ce qui correspond à une distance de 65,1 mm entre les plans de symétrie des roulettes). La ligne virtuelle qui traverse les axes des deux roulettes doit être décalée horizontalement de 19,05 </w:t>
      </w:r>
      <w:r w:rsidR="007F6572">
        <w:rPr>
          <w:b/>
        </w:rPr>
        <w:sym w:font="Symbol" w:char="F0B1"/>
      </w:r>
      <w:r w:rsidRPr="00797756">
        <w:rPr>
          <w:b/>
        </w:rPr>
        <w:t> 0,30 mm par rapport à l</w:t>
      </w:r>
      <w:r w:rsidR="001A0723">
        <w:rPr>
          <w:b/>
        </w:rPr>
        <w:t>’</w:t>
      </w:r>
      <w:r w:rsidRPr="00797756">
        <w:rPr>
          <w:b/>
        </w:rPr>
        <w:t>axe du plateau tournant.</w:t>
      </w:r>
    </w:p>
    <w:p w:rsidR="00797756" w:rsidRPr="00797756" w:rsidRDefault="00797756" w:rsidP="00B825C9">
      <w:pPr>
        <w:pStyle w:val="SingleTxtG"/>
        <w:ind w:left="2268"/>
        <w:rPr>
          <w:b/>
        </w:rPr>
      </w:pPr>
      <w:r w:rsidRPr="00797756">
        <w:rPr>
          <w:b/>
        </w:rPr>
        <w:tab/>
        <w:t>c)</w:t>
      </w:r>
      <w:r w:rsidRPr="00797756">
        <w:rPr>
          <w:b/>
        </w:rPr>
        <w:tab/>
        <w:t>Un système d</w:t>
      </w:r>
      <w:r w:rsidR="001A0723">
        <w:rPr>
          <w:b/>
        </w:rPr>
        <w:t>’</w:t>
      </w:r>
      <w:r w:rsidRPr="00797756">
        <w:rPr>
          <w:b/>
        </w:rPr>
        <w:t>aspiration (non représenté aux figures 4.1 et 4.2) muni d</w:t>
      </w:r>
      <w:r w:rsidR="001A0723">
        <w:rPr>
          <w:b/>
        </w:rPr>
        <w:t>’</w:t>
      </w:r>
      <w:r w:rsidRPr="00797756">
        <w:rPr>
          <w:b/>
        </w:rPr>
        <w:t>une buse d</w:t>
      </w:r>
      <w:r w:rsidR="001A0723">
        <w:rPr>
          <w:b/>
        </w:rPr>
        <w:t>’</w:t>
      </w:r>
      <w:r w:rsidRPr="00797756">
        <w:rPr>
          <w:b/>
        </w:rPr>
        <w:t>aspiration, destinée à éliminer les résidus et particules abrasives de la surface de l</w:t>
      </w:r>
      <w:r w:rsidR="001A0723">
        <w:rPr>
          <w:b/>
        </w:rPr>
        <w:t>’</w:t>
      </w:r>
      <w:r w:rsidRPr="00797756">
        <w:rPr>
          <w:b/>
        </w:rPr>
        <w:t>éprouvette pendant l</w:t>
      </w:r>
      <w:r w:rsidR="001A0723">
        <w:rPr>
          <w:b/>
        </w:rPr>
        <w:t>’</w:t>
      </w:r>
      <w:r w:rsidRPr="00797756">
        <w:rPr>
          <w:b/>
        </w:rPr>
        <w:t>essai. La buse doit être réglable en hauteur, et ses orifices doivent avoir un diamètre de 11 mm.</w:t>
      </w:r>
    </w:p>
    <w:p w:rsidR="00797756" w:rsidRPr="00B825C9" w:rsidRDefault="00797756" w:rsidP="00B825C9">
      <w:pPr>
        <w:pStyle w:val="SingleTxtG"/>
        <w:ind w:left="2268"/>
      </w:pPr>
      <w:r w:rsidRPr="00797756">
        <w:rPr>
          <w:b/>
        </w:rPr>
        <w:tab/>
      </w:r>
      <w:r w:rsidRPr="00B825C9">
        <w:t>Le plateau tournant du dispositif d</w:t>
      </w:r>
      <w:r w:rsidR="001A0723">
        <w:t>’</w:t>
      </w:r>
      <w:r w:rsidRPr="00B825C9">
        <w:t>abrasion doit tourner avec régularité, sensiblement dans un plan (l</w:t>
      </w:r>
      <w:r w:rsidR="001A0723">
        <w:t>’</w:t>
      </w:r>
      <w:r w:rsidRPr="00B825C9">
        <w:t xml:space="preserve">écart par rapport à ce plan ne doit pas dépasser </w:t>
      </w:r>
      <w:r w:rsidR="00474D8E">
        <w:sym w:font="Symbol" w:char="F0B1"/>
      </w:r>
      <w:r w:rsidRPr="00B825C9">
        <w:t xml:space="preserve"> 0,05 mm à une distance de 1,6 mm de la périphérie du plateau).</w:t>
      </w:r>
    </w:p>
    <w:p w:rsidR="00797756" w:rsidRPr="00B825C9" w:rsidRDefault="00797756" w:rsidP="00B825C9">
      <w:pPr>
        <w:pStyle w:val="SingleTxtG"/>
        <w:ind w:left="2268"/>
      </w:pPr>
      <w:r w:rsidRPr="00B825C9">
        <w:tab/>
        <w:t xml:space="preserve">Les roulettes doivent être </w:t>
      </w:r>
      <w:r w:rsidRPr="00B825C9">
        <w:rPr>
          <w:strike/>
        </w:rPr>
        <w:t>montées</w:t>
      </w:r>
      <w:r w:rsidRPr="00474D8E">
        <w:rPr>
          <w:strike/>
        </w:rPr>
        <w:t xml:space="preserve"> </w:t>
      </w:r>
      <w:r w:rsidRPr="00B825C9">
        <w:rPr>
          <w:b/>
        </w:rPr>
        <w:t>disposées</w:t>
      </w:r>
      <w:r w:rsidRPr="00B825C9">
        <w:t xml:space="preserve"> de manière </w:t>
      </w:r>
      <w:r w:rsidRPr="00B825C9">
        <w:rPr>
          <w:strike/>
        </w:rPr>
        <w:t>que</w:t>
      </w:r>
      <w:r w:rsidRPr="00474D8E">
        <w:rPr>
          <w:strike/>
        </w:rPr>
        <w:t xml:space="preserve">, </w:t>
      </w:r>
      <w:r w:rsidRPr="00B825C9">
        <w:rPr>
          <w:b/>
        </w:rPr>
        <w:t>à reposer sur l</w:t>
      </w:r>
      <w:r w:rsidR="001A0723">
        <w:rPr>
          <w:b/>
        </w:rPr>
        <w:t>’</w:t>
      </w:r>
      <w:r w:rsidRPr="00B825C9">
        <w:rPr>
          <w:b/>
        </w:rPr>
        <w:t>éprouvette de manière uniforme sur</w:t>
      </w:r>
      <w:r w:rsidRPr="00B825C9">
        <w:t xml:space="preserve"> toute </w:t>
      </w:r>
      <w:r w:rsidRPr="00BC0F6D">
        <w:rPr>
          <w:b/>
        </w:rPr>
        <w:t>la largeur de leur tranche</w:t>
      </w:r>
      <w:r w:rsidRPr="00B825C9">
        <w:t xml:space="preserve">. </w:t>
      </w:r>
      <w:r w:rsidRPr="00BC0F6D">
        <w:rPr>
          <w:strike/>
        </w:rPr>
        <w:t>l</w:t>
      </w:r>
      <w:r w:rsidRPr="00BC0F6D">
        <w:rPr>
          <w:b/>
        </w:rPr>
        <w:t>L</w:t>
      </w:r>
      <w:r w:rsidRPr="00B825C9">
        <w:t>orsqu</w:t>
      </w:r>
      <w:r w:rsidR="001A0723">
        <w:t>’</w:t>
      </w:r>
      <w:r w:rsidRPr="00B825C9">
        <w:t>elles sont en contact avec l</w:t>
      </w:r>
      <w:r w:rsidR="001A0723">
        <w:t>’</w:t>
      </w:r>
      <w:r w:rsidRPr="00B825C9">
        <w:t>éprouvette tournante, elles tournent en sens inverse l</w:t>
      </w:r>
      <w:r w:rsidR="001A0723">
        <w:t>’</w:t>
      </w:r>
      <w:r w:rsidRPr="00B825C9">
        <w:t>une par rapport à l</w:t>
      </w:r>
      <w:r w:rsidR="001A0723">
        <w:t>’</w:t>
      </w:r>
      <w:r w:rsidRPr="00B825C9">
        <w:t>autre et exercent ainsi une action compressive et abrasive suivant des lignes courbes sur une couronne de 30</w:t>
      </w:r>
      <w:r w:rsidR="00AE192B">
        <w:t> </w:t>
      </w:r>
      <w:r w:rsidRPr="00B825C9">
        <w:t>cm</w:t>
      </w:r>
      <w:r w:rsidRPr="00B825C9">
        <w:rPr>
          <w:vertAlign w:val="superscript"/>
        </w:rPr>
        <w:t>2</w:t>
      </w:r>
      <w:r w:rsidRPr="00B825C9">
        <w:t xml:space="preserve"> environ, deux fois au cours de chacune des rotations de l</w:t>
      </w:r>
      <w:r w:rsidR="001A0723">
        <w:t>’</w:t>
      </w:r>
      <w:r w:rsidRPr="00B825C9">
        <w:t>éprouvette.</w:t>
      </w:r>
    </w:p>
    <w:p w:rsidR="00797756" w:rsidRPr="001F3FBA" w:rsidRDefault="00797756" w:rsidP="00AE192B">
      <w:pPr>
        <w:pStyle w:val="Titre1"/>
        <w:rPr>
          <w:b/>
        </w:rPr>
      </w:pPr>
      <w:r>
        <w:rPr>
          <w:strike/>
        </w:rPr>
        <w:t>Figure 4</w:t>
      </w:r>
      <w:r w:rsidRPr="00474D8E">
        <w:rPr>
          <w:strike/>
        </w:rPr>
        <w:t xml:space="preserve"> </w:t>
      </w:r>
      <w:r>
        <w:rPr>
          <w:b/>
        </w:rPr>
        <w:t>Figure 4.1</w:t>
      </w:r>
      <w:r w:rsidR="00AE192B">
        <w:rPr>
          <w:b/>
        </w:rPr>
        <w:br/>
      </w:r>
      <w:r>
        <w:rPr>
          <w:b/>
        </w:rPr>
        <w:t>Schéma du dispositif d</w:t>
      </w:r>
      <w:r w:rsidR="001A0723">
        <w:rPr>
          <w:b/>
        </w:rPr>
        <w:t>’</w:t>
      </w:r>
      <w:r>
        <w:rPr>
          <w:b/>
        </w:rPr>
        <w:t>abrasion</w:t>
      </w:r>
    </w:p>
    <w:p w:rsidR="00797756" w:rsidRPr="001F3FBA" w:rsidRDefault="00797756" w:rsidP="00797756">
      <w:pPr>
        <w:tabs>
          <w:tab w:val="left" w:pos="1701"/>
          <w:tab w:val="right" w:leader="dot" w:pos="9184"/>
        </w:tabs>
        <w:spacing w:after="240" w:line="600" w:lineRule="auto"/>
        <w:ind w:left="1134"/>
      </w:pPr>
      <w:r>
        <w:rPr>
          <w:noProof/>
          <w:lang w:eastAsia="fr-CH"/>
        </w:rPr>
        <w:drawing>
          <wp:inline distT="0" distB="0" distL="0" distR="0" wp14:anchorId="3A9B8022" wp14:editId="7A8F7915">
            <wp:extent cx="3295650" cy="2724150"/>
            <wp:effectExtent l="0" t="0" r="0" b="0"/>
            <wp:docPr id="4" name="Grafik 4" descr="figu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56" w:rsidRPr="00797756" w:rsidRDefault="00797756" w:rsidP="00AE192B">
      <w:pPr>
        <w:pStyle w:val="Titre1"/>
        <w:ind w:right="1134"/>
      </w:pPr>
      <w:r w:rsidRPr="00AE192B">
        <w:rPr>
          <w:b/>
        </w:rPr>
        <w:lastRenderedPageBreak/>
        <w:t>Figure 4.2</w:t>
      </w:r>
      <w:r w:rsidR="00AE192B" w:rsidRPr="00AE192B">
        <w:rPr>
          <w:b/>
        </w:rPr>
        <w:br/>
      </w:r>
      <w:r w:rsidRPr="00797756">
        <w:rPr>
          <w:b/>
        </w:rPr>
        <w:t>Vue schématique du dessus du dispositif d</w:t>
      </w:r>
      <w:r w:rsidR="001A0723">
        <w:rPr>
          <w:b/>
        </w:rPr>
        <w:t>’</w:t>
      </w:r>
      <w:r w:rsidRPr="00797756">
        <w:rPr>
          <w:b/>
        </w:rPr>
        <w:t>abrasion</w:t>
      </w:r>
      <w:r w:rsidRPr="00797756">
        <w:rPr>
          <w:b/>
        </w:rPr>
        <w:br/>
        <w:t>Sont indiqués le poids effectif exercé sur l</w:t>
      </w:r>
      <w:r w:rsidR="001A0723">
        <w:rPr>
          <w:b/>
        </w:rPr>
        <w:t>’</w:t>
      </w:r>
      <w:r w:rsidRPr="00797756">
        <w:rPr>
          <w:b/>
        </w:rPr>
        <w:t>éprouvette par les roulettes ainsi que la</w:t>
      </w:r>
      <w:r w:rsidR="00AE192B">
        <w:rPr>
          <w:b/>
        </w:rPr>
        <w:t> </w:t>
      </w:r>
      <w:r w:rsidRPr="00797756">
        <w:rPr>
          <w:b/>
        </w:rPr>
        <w:t xml:space="preserve">distance entre les plans de symétrie des roulettes et le décalage horizontal </w:t>
      </w:r>
      <w:r w:rsidR="00AE192B">
        <w:rPr>
          <w:b/>
        </w:rPr>
        <w:br/>
      </w:r>
      <w:r w:rsidRPr="00797756">
        <w:rPr>
          <w:b/>
        </w:rPr>
        <w:t>entre les axes des roulettes et celui du plateau tournant (valeurs arrondies).</w:t>
      </w:r>
      <w:r w:rsidRPr="00797756">
        <w:t xml:space="preserve"> </w:t>
      </w:r>
      <w:r w:rsidRPr="00797756">
        <w:rPr>
          <w:noProof/>
          <w:lang w:eastAsia="fr-CH"/>
        </w:rPr>
        <w:drawing>
          <wp:inline distT="0" distB="0" distL="0" distR="0" wp14:anchorId="3ED28585" wp14:editId="2D591DA7">
            <wp:extent cx="4362450" cy="3543300"/>
            <wp:effectExtent l="0" t="0" r="0" b="0"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797756">
        <w:t>4.1.2</w:t>
      </w:r>
      <w:r w:rsidRPr="00797756">
        <w:tab/>
        <w:t>Roulettes abrasives</w:t>
      </w:r>
      <w:r w:rsidR="00AE192B">
        <w:rPr>
          <w:rStyle w:val="Appelnotedebasdep"/>
        </w:rPr>
        <w:footnoteReference w:id="4"/>
      </w:r>
      <w:r w:rsidRPr="00AE192B">
        <w:rPr>
          <w:strike/>
        </w:rPr>
        <w:t>, de diamètre 45 à 50 mm et d</w:t>
      </w:r>
      <w:r w:rsidR="001A0723">
        <w:rPr>
          <w:strike/>
        </w:rPr>
        <w:t>’</w:t>
      </w:r>
      <w:r w:rsidRPr="00AE192B">
        <w:rPr>
          <w:strike/>
        </w:rPr>
        <w:t>épaisseur 12,5 mm. Elles sont constituées par un matériau abrasif spécial finement pulvérisé, noyé dans une masse de caoutchouc de dureté moyenne. Les roulettes doivent présenter une dureté de 72 ± 5 DIDC mesurée en quatre points également espacés sur la ligne moyenne de la surface abrasive, la pression étant appliquée verticalement le long d</w:t>
      </w:r>
      <w:r w:rsidR="001A0723">
        <w:rPr>
          <w:strike/>
        </w:rPr>
        <w:t>’</w:t>
      </w:r>
      <w:r w:rsidRPr="00AE192B">
        <w:rPr>
          <w:strike/>
        </w:rPr>
        <w:t>un diamètre de la roulette</w:t>
      </w:r>
      <w:r w:rsidR="007F6572">
        <w:rPr>
          <w:strike/>
        </w:rPr>
        <w:t> </w:t>
      </w:r>
      <w:r w:rsidRPr="00AE192B">
        <w:rPr>
          <w:strike/>
        </w:rPr>
        <w:t>; les lectures doivent être effectuées 10</w:t>
      </w:r>
      <w:r w:rsidR="007F6572">
        <w:rPr>
          <w:strike/>
        </w:rPr>
        <w:t> </w:t>
      </w:r>
      <w:r w:rsidRPr="00AE192B">
        <w:rPr>
          <w:strike/>
        </w:rPr>
        <w:t>s après l</w:t>
      </w:r>
      <w:r w:rsidR="001A0723">
        <w:rPr>
          <w:strike/>
        </w:rPr>
        <w:t>’</w:t>
      </w:r>
      <w:r w:rsidRPr="00AE192B">
        <w:rPr>
          <w:strike/>
        </w:rPr>
        <w:t>application de la pression.</w:t>
      </w:r>
      <w:r w:rsidRPr="00797756">
        <w:t xml:space="preserve"> </w:t>
      </w:r>
      <w:r w:rsidRPr="00797756">
        <w:rPr>
          <w:b/>
        </w:rPr>
        <w:t>de forme circulaire, composées d</w:t>
      </w:r>
      <w:r w:rsidR="001A0723">
        <w:rPr>
          <w:b/>
        </w:rPr>
        <w:t>’</w:t>
      </w:r>
      <w:r w:rsidRPr="00797756">
        <w:rPr>
          <w:b/>
        </w:rPr>
        <w:t>un liant souple et de particules abrasives d</w:t>
      </w:r>
      <w:r w:rsidR="001A0723">
        <w:rPr>
          <w:b/>
        </w:rPr>
        <w:t>’</w:t>
      </w:r>
      <w:r w:rsidRPr="00797756">
        <w:rPr>
          <w:b/>
        </w:rPr>
        <w:t>une matière telle que l</w:t>
      </w:r>
      <w:r w:rsidR="001A0723">
        <w:rPr>
          <w:b/>
        </w:rPr>
        <w:t>’</w:t>
      </w:r>
      <w:r w:rsidRPr="00797756">
        <w:rPr>
          <w:b/>
        </w:rPr>
        <w:t>oxyde d</w:t>
      </w:r>
      <w:r w:rsidR="001A0723">
        <w:rPr>
          <w:b/>
        </w:rPr>
        <w:t>’</w:t>
      </w:r>
      <w:r w:rsidRPr="00797756">
        <w:rPr>
          <w:b/>
        </w:rPr>
        <w:t>aluminium ou le carbure de silicium. Les particules abrasives doivent mesurer</w:t>
      </w:r>
      <w:r w:rsidR="007F6572">
        <w:rPr>
          <w:b/>
        </w:rPr>
        <w:t xml:space="preserve"> </w:t>
      </w:r>
      <w:r w:rsidRPr="00797756">
        <w:rPr>
          <w:b/>
        </w:rPr>
        <w:t>entre 20 et 102 µm et</w:t>
      </w:r>
      <w:r w:rsidR="007F6572">
        <w:rPr>
          <w:b/>
        </w:rPr>
        <w:t xml:space="preserve"> </w:t>
      </w:r>
      <w:r w:rsidRPr="00797756">
        <w:rPr>
          <w:b/>
        </w:rPr>
        <w:t>être réparties uniformément dans le liant souple. Chaque roulette</w:t>
      </w:r>
      <w:r w:rsidR="007F6572">
        <w:rPr>
          <w:b/>
        </w:rPr>
        <w:t xml:space="preserve"> </w:t>
      </w:r>
      <w:r w:rsidRPr="00797756">
        <w:rPr>
          <w:b/>
        </w:rPr>
        <w:t>doit être moulée autour d</w:t>
      </w:r>
      <w:r w:rsidR="001A0723">
        <w:rPr>
          <w:b/>
        </w:rPr>
        <w:t>’</w:t>
      </w:r>
      <w:r w:rsidRPr="00797756">
        <w:rPr>
          <w:b/>
        </w:rPr>
        <w:t xml:space="preserve">un moyeu qui comprend un trou axial de 16,0 </w:t>
      </w:r>
      <w:r w:rsidR="00AE192B">
        <w:rPr>
          <w:b/>
        </w:rPr>
        <w:sym w:font="Symbol" w:char="F0B1"/>
      </w:r>
      <w:r w:rsidRPr="00797756">
        <w:rPr>
          <w:b/>
        </w:rPr>
        <w:t> 0,1 mm et peut donc être montée sur le support latéral avec embout escamotable de fixation que comporte chaque bras du dispositif. Les tranches des roulettes, d</w:t>
      </w:r>
      <w:r w:rsidR="001A0723">
        <w:rPr>
          <w:b/>
        </w:rPr>
        <w:t>’</w:t>
      </w:r>
      <w:r w:rsidRPr="00797756">
        <w:rPr>
          <w:b/>
        </w:rPr>
        <w:t xml:space="preserve">une largeur de 12,7 </w:t>
      </w:r>
      <w:r w:rsidR="00AE192B">
        <w:rPr>
          <w:b/>
        </w:rPr>
        <w:sym w:font="Symbol" w:char="F0B1"/>
      </w:r>
      <w:r w:rsidRPr="00797756">
        <w:rPr>
          <w:b/>
        </w:rPr>
        <w:t xml:space="preserve"> 0,3 mm et d</w:t>
      </w:r>
      <w:r w:rsidR="001A0723">
        <w:rPr>
          <w:b/>
        </w:rPr>
        <w:t>’</w:t>
      </w:r>
      <w:r w:rsidRPr="00797756">
        <w:rPr>
          <w:b/>
        </w:rPr>
        <w:t>un diamètre extérieur inférieur à 52,5 mm et supérieur ou égal à 44,4 mm, doivent être disposées de manière parallèle.</w:t>
      </w:r>
    </w:p>
    <w:p w:rsidR="00797756" w:rsidRPr="00AE192B" w:rsidRDefault="00797756" w:rsidP="00AE192B">
      <w:pPr>
        <w:pStyle w:val="SingleTxtG"/>
        <w:ind w:left="2268"/>
        <w:rPr>
          <w:strike/>
        </w:rPr>
      </w:pPr>
      <w:r w:rsidRPr="00AE192B">
        <w:rPr>
          <w:strike/>
        </w:rPr>
        <w:t>Les roulettes abrasives doivent être rodées très lentement sur une feuille de verre plate, afin de présenter une surface rigoureusement plane.</w:t>
      </w:r>
      <w:r w:rsidR="00474D8E" w:rsidRPr="00474D8E">
        <w:t> </w:t>
      </w:r>
      <w:r w:rsidRPr="00474D8E">
        <w:t>».</w:t>
      </w:r>
    </w:p>
    <w:p w:rsidR="00797756" w:rsidRPr="00797756" w:rsidRDefault="00797756" w:rsidP="00797756">
      <w:pPr>
        <w:pStyle w:val="SingleTxtG"/>
      </w:pPr>
      <w:r w:rsidRPr="00797756">
        <w:rPr>
          <w:i/>
        </w:rPr>
        <w:t>Ajouter les nouveaux paragraphes 4.1.2.1 et 4.1.2.3</w:t>
      </w:r>
      <w:r w:rsidRPr="00797756">
        <w:t>, libellés comme suit</w:t>
      </w:r>
      <w:r w:rsidR="00AE192B">
        <w:t> </w:t>
      </w:r>
      <w:r w:rsidRPr="00797756">
        <w:t>:</w:t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797756">
        <w:t>«</w:t>
      </w:r>
      <w:r w:rsidR="00AE192B">
        <w:t> </w:t>
      </w:r>
      <w:r w:rsidRPr="00797756">
        <w:rPr>
          <w:b/>
        </w:rPr>
        <w:t>4.1.2.1</w:t>
      </w:r>
      <w:r w:rsidRPr="00797756">
        <w:rPr>
          <w:b/>
        </w:rPr>
        <w:tab/>
        <w:t>Essai des verres</w:t>
      </w:r>
    </w:p>
    <w:p w:rsidR="00797756" w:rsidRPr="00797756" w:rsidRDefault="00797756" w:rsidP="00AE192B">
      <w:pPr>
        <w:pStyle w:val="SingleTxtG"/>
        <w:ind w:left="2268"/>
        <w:rPr>
          <w:b/>
        </w:rPr>
      </w:pPr>
      <w:r w:rsidRPr="00797756">
        <w:rPr>
          <w:b/>
        </w:rPr>
        <w:tab/>
        <w:t>La roulette abrasive doit être telle que le facteur de diffusion résultant de 1 000 cycles d</w:t>
      </w:r>
      <w:r w:rsidR="001A0723">
        <w:rPr>
          <w:b/>
        </w:rPr>
        <w:t>’</w:t>
      </w:r>
      <w:r w:rsidRPr="00797756">
        <w:rPr>
          <w:b/>
        </w:rPr>
        <w:t xml:space="preserve">abrasion (atténuation de visibilité finale moins atténuation de visibilité initiale, cf. par. 4.5.1) soit de 0,7 </w:t>
      </w:r>
      <w:r w:rsidR="00AE192B">
        <w:rPr>
          <w:b/>
        </w:rPr>
        <w:sym w:font="Symbol" w:char="F0B1"/>
      </w:r>
      <w:r w:rsidRPr="00797756">
        <w:rPr>
          <w:b/>
        </w:rPr>
        <w:t xml:space="preserve"> 0,5 % pour tous les échantillons de glace flottée. La glace flottée doit avoir une épaisseur comprise entre 3 et 4 mm et un taux de transmission de la lumière de </w:t>
      </w:r>
      <w:r w:rsidRPr="00797756">
        <w:rPr>
          <w:b/>
        </w:rPr>
        <w:lastRenderedPageBreak/>
        <w:t>70 %. L</w:t>
      </w:r>
      <w:r w:rsidR="001A0723">
        <w:rPr>
          <w:b/>
        </w:rPr>
        <w:t>’</w:t>
      </w:r>
      <w:r w:rsidRPr="00797756">
        <w:rPr>
          <w:b/>
        </w:rPr>
        <w:t>essai d</w:t>
      </w:r>
      <w:r w:rsidR="001A0723">
        <w:rPr>
          <w:b/>
        </w:rPr>
        <w:t>’</w:t>
      </w:r>
      <w:r w:rsidRPr="00797756">
        <w:rPr>
          <w:b/>
        </w:rPr>
        <w:t>abrasion doit être réalisé sur la partie supérieure du verre (la partie destinée à être en contact avec l</w:t>
      </w:r>
      <w:r w:rsidR="001A0723">
        <w:rPr>
          <w:b/>
        </w:rPr>
        <w:t>’</w:t>
      </w:r>
      <w:r w:rsidRPr="00797756">
        <w:rPr>
          <w:b/>
        </w:rPr>
        <w:t>air ou le feu).</w:t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797756">
        <w:rPr>
          <w:b/>
        </w:rPr>
        <w:t>4.1.2.2</w:t>
      </w:r>
      <w:r w:rsidRPr="00797756">
        <w:rPr>
          <w:b/>
        </w:rPr>
        <w:tab/>
        <w:t>Essai des matières plastiques</w:t>
      </w:r>
    </w:p>
    <w:p w:rsidR="00797756" w:rsidRPr="00797756" w:rsidRDefault="00797756" w:rsidP="00AE192B">
      <w:pPr>
        <w:pStyle w:val="SingleTxtG"/>
        <w:ind w:left="2268"/>
        <w:rPr>
          <w:b/>
        </w:rPr>
      </w:pPr>
      <w:r w:rsidRPr="00797756">
        <w:rPr>
          <w:b/>
        </w:rPr>
        <w:tab/>
        <w:t>La roulette abrasive doit être telle que le facteur de diffusion résultant de l</w:t>
      </w:r>
      <w:r w:rsidR="001A0723">
        <w:rPr>
          <w:b/>
        </w:rPr>
        <w:t>’</w:t>
      </w:r>
      <w:r w:rsidRPr="00797756">
        <w:rPr>
          <w:b/>
        </w:rPr>
        <w:t xml:space="preserve">abrasion (atténuation de visibilité finale moins atténuation de visibilité </w:t>
      </w:r>
      <w:bookmarkStart w:id="0" w:name="_GoBack"/>
      <w:r w:rsidRPr="00797756">
        <w:rPr>
          <w:b/>
        </w:rPr>
        <w:t xml:space="preserve">initiale, cf. par. 4.5.1) de chacun des trois échantillons de polycarbonate </w:t>
      </w:r>
      <w:bookmarkEnd w:id="0"/>
      <w:r w:rsidRPr="00797756">
        <w:rPr>
          <w:b/>
        </w:rPr>
        <w:t>enduits d</w:t>
      </w:r>
      <w:r w:rsidR="001A0723">
        <w:rPr>
          <w:b/>
        </w:rPr>
        <w:t>’</w:t>
      </w:r>
      <w:r w:rsidRPr="00797756">
        <w:rPr>
          <w:b/>
        </w:rPr>
        <w:t>un revêtement dur AS4000S</w:t>
      </w:r>
      <w:r w:rsidR="00EF54E4">
        <w:rPr>
          <w:rStyle w:val="Appelnotedebasdep"/>
          <w:b/>
        </w:rPr>
        <w:footnoteReference w:id="5"/>
      </w:r>
      <w:r w:rsidRPr="00797756">
        <w:rPr>
          <w:b/>
        </w:rPr>
        <w:t xml:space="preserve"> se situe dans les plages de qualification suivantes</w:t>
      </w:r>
      <w:r w:rsidR="00EF54E4">
        <w:rPr>
          <w:rStyle w:val="Appelnotedebasdep"/>
          <w:b/>
        </w:rPr>
        <w:footnoteReference w:id="6"/>
      </w:r>
      <w:r w:rsidR="00EF54E4">
        <w:rPr>
          <w:b/>
        </w:rPr>
        <w:t> </w:t>
      </w:r>
      <w:r w:rsidRPr="00797756">
        <w:rPr>
          <w:b/>
        </w:rPr>
        <w:t>: 0 à 2,6 % après 100 cycles, 0,5 à 6,3 % après 500 cycles, et 1,0 à 7,4 % après 1 000 cycles.</w:t>
      </w:r>
    </w:p>
    <w:p w:rsidR="00797756" w:rsidRPr="00797756" w:rsidRDefault="00797756" w:rsidP="00AE192B">
      <w:pPr>
        <w:pStyle w:val="SingleTxtG"/>
        <w:ind w:left="2268"/>
        <w:rPr>
          <w:b/>
        </w:rPr>
      </w:pPr>
      <w:r w:rsidRPr="00797756">
        <w:rPr>
          <w:b/>
        </w:rPr>
        <w:tab/>
        <w:t>Les échantillons de polycarbonate enduits de revêtement dur de type AS4000S doivent être exempts de toute imperfection superficielle décelable à l</w:t>
      </w:r>
      <w:r w:rsidR="001A0723">
        <w:rPr>
          <w:b/>
        </w:rPr>
        <w:t>’</w:t>
      </w:r>
      <w:r w:rsidRPr="00797756">
        <w:rPr>
          <w:b/>
        </w:rPr>
        <w:t>œil nu et présenter un taux de transmission de la lumière d</w:t>
      </w:r>
      <w:r w:rsidR="001A0723">
        <w:rPr>
          <w:b/>
        </w:rPr>
        <w:t>’</w:t>
      </w:r>
      <w:r w:rsidRPr="00797756">
        <w:rPr>
          <w:b/>
        </w:rPr>
        <w:t>au moins 70 %, l</w:t>
      </w:r>
      <w:r w:rsidR="001A0723">
        <w:rPr>
          <w:b/>
        </w:rPr>
        <w:t>’</w:t>
      </w:r>
      <w:r w:rsidRPr="00797756">
        <w:rPr>
          <w:b/>
        </w:rPr>
        <w:t>épaisseur de la couche d</w:t>
      </w:r>
      <w:r w:rsidR="001A0723">
        <w:rPr>
          <w:b/>
        </w:rPr>
        <w:t>’</w:t>
      </w:r>
      <w:r w:rsidRPr="00797756">
        <w:rPr>
          <w:b/>
        </w:rPr>
        <w:t>apprêt doit être comprise entre 0,5 et 1,5 μm et celle de la couche de finition entre 4,5 et 8,5 μm, après séchage thermique à 130 °C pendant 30 minutes. Les échantillons de référence enduits de revêtement dur de type AS4000S peuvent être accompagnés d</w:t>
      </w:r>
      <w:r w:rsidR="001A0723">
        <w:rPr>
          <w:b/>
        </w:rPr>
        <w:t>’</w:t>
      </w:r>
      <w:r w:rsidRPr="00797756">
        <w:rPr>
          <w:b/>
        </w:rPr>
        <w:t>un certificat délivré à l</w:t>
      </w:r>
      <w:r w:rsidR="001A0723">
        <w:rPr>
          <w:b/>
        </w:rPr>
        <w:t>’</w:t>
      </w:r>
      <w:r w:rsidRPr="00797756">
        <w:rPr>
          <w:b/>
        </w:rPr>
        <w:t>issue d</w:t>
      </w:r>
      <w:r w:rsidR="001A0723">
        <w:rPr>
          <w:b/>
        </w:rPr>
        <w:t>’</w:t>
      </w:r>
      <w:r w:rsidRPr="00797756">
        <w:rPr>
          <w:b/>
        </w:rPr>
        <w:t>analyses attestant de la qualité de fabrication en ce qui concerne l</w:t>
      </w:r>
      <w:r w:rsidR="001A0723">
        <w:rPr>
          <w:b/>
        </w:rPr>
        <w:t>’</w:t>
      </w:r>
      <w:r w:rsidRPr="00797756">
        <w:rPr>
          <w:b/>
        </w:rPr>
        <w:t>épaisseur des revêtements ainsi que la durée et la température du séchage. On peut également utiliser</w:t>
      </w:r>
      <w:r w:rsidR="007F6572">
        <w:rPr>
          <w:b/>
        </w:rPr>
        <w:t xml:space="preserve"> </w:t>
      </w:r>
      <w:r w:rsidRPr="00797756">
        <w:rPr>
          <w:b/>
        </w:rPr>
        <w:t>un échantillon de polycarbonate enduit d</w:t>
      </w:r>
      <w:r w:rsidR="001A0723">
        <w:rPr>
          <w:b/>
        </w:rPr>
        <w:t>’</w:t>
      </w:r>
      <w:r w:rsidRPr="00797756">
        <w:rPr>
          <w:b/>
        </w:rPr>
        <w:t>un autre type de revêtement dur, pourvu qu</w:t>
      </w:r>
      <w:r w:rsidR="001A0723">
        <w:rPr>
          <w:b/>
        </w:rPr>
        <w:t>’</w:t>
      </w:r>
      <w:r w:rsidRPr="00797756">
        <w:rPr>
          <w:b/>
        </w:rPr>
        <w:t>un lien ait été établi entre lui</w:t>
      </w:r>
      <w:r w:rsidR="007F6572">
        <w:rPr>
          <w:b/>
        </w:rPr>
        <w:t xml:space="preserve"> </w:t>
      </w:r>
      <w:r w:rsidRPr="00797756">
        <w:rPr>
          <w:b/>
        </w:rPr>
        <w:t>et les échantillons de polycarbonate de référence enduits de revêtement dur de type AS4000S. Tout échantillon de polycarbonate enduit d</w:t>
      </w:r>
      <w:r w:rsidR="001A0723">
        <w:rPr>
          <w:b/>
        </w:rPr>
        <w:t>’</w:t>
      </w:r>
      <w:r w:rsidRPr="00797756">
        <w:rPr>
          <w:b/>
        </w:rPr>
        <w:t>un autre type de revêtement dur qu</w:t>
      </w:r>
      <w:r w:rsidR="001A0723">
        <w:rPr>
          <w:b/>
        </w:rPr>
        <w:t>’</w:t>
      </w:r>
      <w:r w:rsidRPr="00797756">
        <w:rPr>
          <w:b/>
        </w:rPr>
        <w:t>il est proposé d</w:t>
      </w:r>
      <w:r w:rsidR="001A0723">
        <w:rPr>
          <w:b/>
        </w:rPr>
        <w:t>’</w:t>
      </w:r>
      <w:r w:rsidRPr="00797756">
        <w:rPr>
          <w:b/>
        </w:rPr>
        <w:t>utiliser doit satisfaire aux mêmes prescriptions de qualification que les échantillons de référence enduits de revêtement AS4000S.</w:t>
      </w:r>
    </w:p>
    <w:p w:rsidR="00797756" w:rsidRPr="00797756" w:rsidRDefault="00797756" w:rsidP="00AE192B">
      <w:pPr>
        <w:pStyle w:val="SingleTxtG"/>
        <w:ind w:left="2268"/>
        <w:rPr>
          <w:b/>
        </w:rPr>
      </w:pPr>
      <w:r w:rsidRPr="00797756">
        <w:rPr>
          <w:b/>
        </w:rPr>
        <w:tab/>
        <w:t>Les roulettes sont réputées qualifiées si les valeurs d</w:t>
      </w:r>
      <w:r w:rsidR="001A0723">
        <w:rPr>
          <w:b/>
        </w:rPr>
        <w:t>’</w:t>
      </w:r>
      <w:r w:rsidRPr="00797756">
        <w:rPr>
          <w:b/>
        </w:rPr>
        <w:t>atténuation de visibilité, pour les trois échantillons de polycarbonate de référence enduits de revêtement dur de type AS4000S et pour</w:t>
      </w:r>
      <w:r w:rsidR="007F6572">
        <w:rPr>
          <w:b/>
        </w:rPr>
        <w:t xml:space="preserve"> </w:t>
      </w:r>
      <w:r w:rsidRPr="00797756">
        <w:rPr>
          <w:b/>
        </w:rPr>
        <w:t>chacun des trois</w:t>
      </w:r>
      <w:r w:rsidR="007F6572">
        <w:rPr>
          <w:b/>
        </w:rPr>
        <w:t xml:space="preserve"> </w:t>
      </w:r>
      <w:r w:rsidRPr="00797756">
        <w:rPr>
          <w:b/>
        </w:rPr>
        <w:t>nombres de cycles retenus</w:t>
      </w:r>
      <w:r w:rsidR="00EF54E4">
        <w:rPr>
          <w:rStyle w:val="Appelnotedebasdep"/>
          <w:b/>
        </w:rPr>
        <w:footnoteReference w:id="7"/>
      </w:r>
      <w:r w:rsidRPr="00797756">
        <w:rPr>
          <w:b/>
        </w:rPr>
        <w:t>, se situent dans les plages de qualification. Ces roulettes ne peuvent être utilisées pour procéder à l</w:t>
      </w:r>
      <w:r w:rsidR="001A0723">
        <w:rPr>
          <w:b/>
        </w:rPr>
        <w:t>’</w:t>
      </w:r>
      <w:r w:rsidRPr="00797756">
        <w:rPr>
          <w:b/>
        </w:rPr>
        <w:t>essai que si elles satisfont</w:t>
      </w:r>
      <w:r w:rsidR="007F6572">
        <w:rPr>
          <w:b/>
        </w:rPr>
        <w:t xml:space="preserve"> </w:t>
      </w:r>
      <w:r w:rsidRPr="00797756">
        <w:rPr>
          <w:b/>
        </w:rPr>
        <w:t>aux prescriptions applicables. La moyenne des valeurs mesurées pour les trois échantillons de polycarbonate de référence enduits de revêtement dur de type AS4000S sert à calculer un facteur de correction pour les deux roulettes concernées (cf. paragraphe 4.5.2.2), ce qui permet d</w:t>
      </w:r>
      <w:r w:rsidR="001A0723">
        <w:rPr>
          <w:b/>
        </w:rPr>
        <w:t>’</w:t>
      </w:r>
      <w:r w:rsidRPr="00797756">
        <w:rPr>
          <w:b/>
        </w:rPr>
        <w:t>ajuster les valeurs obtenues lors des essais réalisés sur une éprouvette à l</w:t>
      </w:r>
      <w:r w:rsidR="001A0723">
        <w:rPr>
          <w:b/>
        </w:rPr>
        <w:t>’</w:t>
      </w:r>
      <w:r w:rsidRPr="00797756">
        <w:rPr>
          <w:b/>
        </w:rPr>
        <w:t>aide des deux roulettes en question.</w:t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797756">
        <w:rPr>
          <w:b/>
        </w:rPr>
        <w:t>4.1.2.3</w:t>
      </w:r>
      <w:r w:rsidRPr="00797756">
        <w:rPr>
          <w:b/>
        </w:rPr>
        <w:tab/>
        <w:t>Standardisation des roulettes abrasives</w:t>
      </w:r>
    </w:p>
    <w:p w:rsidR="00797756" w:rsidRPr="00797756" w:rsidRDefault="00797756" w:rsidP="00EF54E4">
      <w:pPr>
        <w:pStyle w:val="SingleTxtG"/>
        <w:ind w:left="2268"/>
        <w:rPr>
          <w:b/>
        </w:rPr>
      </w:pPr>
      <w:r w:rsidRPr="00797756">
        <w:rPr>
          <w:b/>
        </w:rPr>
        <w:tab/>
        <w:t>On doit utiliser la face à grain fin d</w:t>
      </w:r>
      <w:r w:rsidR="001A0723">
        <w:rPr>
          <w:b/>
        </w:rPr>
        <w:t>’</w:t>
      </w:r>
      <w:r w:rsidRPr="00797756">
        <w:rPr>
          <w:b/>
        </w:rPr>
        <w:t>une pierre à refaçonner Taber ST</w:t>
      </w:r>
      <w:r w:rsidR="00EF54E4">
        <w:rPr>
          <w:b/>
        </w:rPr>
        <w:noBreakHyphen/>
      </w:r>
      <w:r w:rsidRPr="00797756">
        <w:rPr>
          <w:b/>
        </w:rPr>
        <w:t>11 (ou un produit équivalent) pour restaurer la couche superficielle des roulettes abrasives. Il importe que la base du plateau tournant puisse se déplacer sans contraintes sur le dispositif d</w:t>
      </w:r>
      <w:r w:rsidR="001A0723">
        <w:rPr>
          <w:b/>
        </w:rPr>
        <w:t>’</w:t>
      </w:r>
      <w:r w:rsidRPr="00797756">
        <w:rPr>
          <w:b/>
        </w:rPr>
        <w:t>abrasion et que la pierre à refaçonner</w:t>
      </w:r>
      <w:r w:rsidR="007F6572">
        <w:rPr>
          <w:b/>
        </w:rPr>
        <w:t xml:space="preserve"> </w:t>
      </w:r>
      <w:r w:rsidRPr="00797756">
        <w:rPr>
          <w:b/>
        </w:rPr>
        <w:t>soit disposée à plat sur le plateau.</w:t>
      </w:r>
    </w:p>
    <w:p w:rsidR="00797756" w:rsidRPr="00797756" w:rsidRDefault="00797756" w:rsidP="00EF54E4">
      <w:pPr>
        <w:pStyle w:val="SingleTxtG"/>
        <w:ind w:left="2268"/>
        <w:rPr>
          <w:b/>
        </w:rPr>
      </w:pPr>
      <w:r w:rsidRPr="00797756">
        <w:rPr>
          <w:b/>
        </w:rPr>
        <w:tab/>
        <w:t>Lorsqu</w:t>
      </w:r>
      <w:r w:rsidR="001A0723">
        <w:rPr>
          <w:b/>
        </w:rPr>
        <w:t>’</w:t>
      </w:r>
      <w:r w:rsidRPr="00797756">
        <w:rPr>
          <w:b/>
        </w:rPr>
        <w:t>une nouvelle pierre à refaçonner</w:t>
      </w:r>
      <w:r w:rsidR="007F6572">
        <w:rPr>
          <w:b/>
        </w:rPr>
        <w:t xml:space="preserve"> </w:t>
      </w:r>
      <w:r w:rsidRPr="00797756">
        <w:rPr>
          <w:b/>
        </w:rPr>
        <w:t>est utilisée au cours de la durée de vie d</w:t>
      </w:r>
      <w:r w:rsidR="001A0723">
        <w:rPr>
          <w:b/>
        </w:rPr>
        <w:t>’</w:t>
      </w:r>
      <w:r w:rsidRPr="00797756">
        <w:rPr>
          <w:b/>
        </w:rPr>
        <w:t>une paire de roulettes qualifiées, de nouveaux essais de qualification doivent être réalisés conformément aux prescriptions des</w:t>
      </w:r>
      <w:r w:rsidR="001A0723">
        <w:rPr>
          <w:b/>
        </w:rPr>
        <w:t xml:space="preserve"> </w:t>
      </w:r>
      <w:r w:rsidRPr="00797756">
        <w:rPr>
          <w:b/>
        </w:rPr>
        <w:t xml:space="preserve">4.1.2.1 et 4.1.2.2, et (exclusivement pour les essais des matières </w:t>
      </w:r>
      <w:r w:rsidRPr="00797756">
        <w:rPr>
          <w:b/>
        </w:rPr>
        <w:lastRenderedPageBreak/>
        <w:t>plastiques) il convient de procéder de nouveau au calcul du facteur de correction pour la paire de roulettes concernée.</w:t>
      </w:r>
    </w:p>
    <w:p w:rsidR="00797756" w:rsidRPr="00797756" w:rsidRDefault="00797756" w:rsidP="00EF54E4">
      <w:pPr>
        <w:pStyle w:val="SingleTxtG"/>
        <w:ind w:left="2268"/>
        <w:rPr>
          <w:b/>
        </w:rPr>
      </w:pPr>
      <w:r w:rsidRPr="00797756">
        <w:rPr>
          <w:b/>
        </w:rPr>
        <w:tab/>
        <w:t>Pour garder intact le pouvoi</w:t>
      </w:r>
      <w:r w:rsidR="00EF54E4">
        <w:rPr>
          <w:b/>
        </w:rPr>
        <w:t xml:space="preserve">r abrasif des roulettes, elles </w:t>
      </w:r>
      <w:r w:rsidRPr="00797756">
        <w:rPr>
          <w:b/>
        </w:rPr>
        <w:t>doivent être préparées avant chaque essai. Monter chaque roulette sur l</w:t>
      </w:r>
      <w:r w:rsidR="001A0723">
        <w:rPr>
          <w:b/>
        </w:rPr>
        <w:t>’</w:t>
      </w:r>
      <w:r w:rsidRPr="00797756">
        <w:rPr>
          <w:b/>
        </w:rPr>
        <w:t>un des supports latéraux avec embout escamotable de fixation, en veillant à ne pas les manipuler par leur surface abrasive. Fixer sur la pierre abrasive la charge</w:t>
      </w:r>
      <w:r w:rsidR="00EF54E4">
        <w:rPr>
          <w:rStyle w:val="Appelnotedebasdep"/>
          <w:b/>
        </w:rPr>
        <w:footnoteReference w:id="8"/>
      </w:r>
      <w:r w:rsidRPr="00797756">
        <w:rPr>
          <w:b/>
        </w:rPr>
        <w:t xml:space="preserve"> correspondant à une masse totale de 500 g (par roulette). Inspecter visuellement la face à grain fin de la pierre à refaçonner Taber ST-11, qui ne doit être utilisée qu</w:t>
      </w:r>
      <w:r w:rsidR="001A0723">
        <w:rPr>
          <w:b/>
        </w:rPr>
        <w:t>’</w:t>
      </w:r>
      <w:r w:rsidRPr="00797756">
        <w:rPr>
          <w:b/>
        </w:rPr>
        <w:t>en l</w:t>
      </w:r>
      <w:r w:rsidR="001A0723">
        <w:rPr>
          <w:b/>
        </w:rPr>
        <w:t>’</w:t>
      </w:r>
      <w:r w:rsidRPr="00797756">
        <w:rPr>
          <w:b/>
        </w:rPr>
        <w:t>absence de toute altération visible</w:t>
      </w:r>
      <w:r w:rsidR="00EF54E4">
        <w:rPr>
          <w:b/>
        </w:rPr>
        <w:t>. Monter la pierre à refaçonner</w:t>
      </w:r>
      <w:r w:rsidRPr="00797756">
        <w:rPr>
          <w:b/>
        </w:rPr>
        <w:t xml:space="preserve"> Taber ST-11 (ou son équivalent) ainsi contrôlée sur le plateau tournant, en positionnant la face à grain fin vers le haut, et la fixer à l</w:t>
      </w:r>
      <w:r w:rsidR="001A0723">
        <w:rPr>
          <w:b/>
        </w:rPr>
        <w:t>’</w:t>
      </w:r>
      <w:r w:rsidRPr="00797756">
        <w:rPr>
          <w:b/>
        </w:rPr>
        <w:t>aide de l</w:t>
      </w:r>
      <w:r w:rsidR="001A0723">
        <w:rPr>
          <w:b/>
        </w:rPr>
        <w:t>’</w:t>
      </w:r>
      <w:r w:rsidRPr="00797756">
        <w:rPr>
          <w:b/>
        </w:rPr>
        <w:t>écrou.</w:t>
      </w:r>
    </w:p>
    <w:p w:rsidR="00797756" w:rsidRPr="00797756" w:rsidRDefault="00797756" w:rsidP="00EF54E4">
      <w:pPr>
        <w:pStyle w:val="SingleTxtG"/>
        <w:ind w:left="2268"/>
        <w:rPr>
          <w:b/>
        </w:rPr>
      </w:pPr>
      <w:r w:rsidRPr="00797756">
        <w:rPr>
          <w:b/>
        </w:rPr>
        <w:tab/>
        <w:t>Abaisser la buse d</w:t>
      </w:r>
      <w:r w:rsidR="001A0723">
        <w:rPr>
          <w:b/>
        </w:rPr>
        <w:t>’</w:t>
      </w:r>
      <w:r w:rsidRPr="00797756">
        <w:rPr>
          <w:b/>
        </w:rPr>
        <w:t>aspiration à 1</w:t>
      </w:r>
      <w:r w:rsidR="00B56DFB">
        <w:rPr>
          <w:b/>
        </w:rPr>
        <w:t> </w:t>
      </w:r>
      <w:r w:rsidRPr="00797756">
        <w:rPr>
          <w:b/>
        </w:rPr>
        <w:t>mm au-dessus de la pierre à refaçonner, à l</w:t>
      </w:r>
      <w:r w:rsidR="001A0723">
        <w:rPr>
          <w:b/>
        </w:rPr>
        <w:t>’</w:t>
      </w:r>
      <w:r w:rsidRPr="00797756">
        <w:rPr>
          <w:b/>
        </w:rPr>
        <w:t>aide d</w:t>
      </w:r>
      <w:r w:rsidR="001A0723">
        <w:rPr>
          <w:b/>
        </w:rPr>
        <w:t>’</w:t>
      </w:r>
      <w:r w:rsidRPr="00797756">
        <w:rPr>
          <w:b/>
        </w:rPr>
        <w:t>un étalon d</w:t>
      </w:r>
      <w:r w:rsidR="001A0723">
        <w:rPr>
          <w:b/>
        </w:rPr>
        <w:t>’</w:t>
      </w:r>
      <w:r w:rsidRPr="00797756">
        <w:rPr>
          <w:b/>
        </w:rPr>
        <w:t>une épaisseur de 1</w:t>
      </w:r>
      <w:r w:rsidR="00B56DFB">
        <w:rPr>
          <w:b/>
        </w:rPr>
        <w:t> </w:t>
      </w:r>
      <w:r w:rsidRPr="00797756">
        <w:rPr>
          <w:b/>
        </w:rPr>
        <w:t>mm ou d</w:t>
      </w:r>
      <w:r w:rsidR="001A0723">
        <w:rPr>
          <w:b/>
        </w:rPr>
        <w:t>’</w:t>
      </w:r>
      <w:r w:rsidRPr="00797756">
        <w:rPr>
          <w:b/>
        </w:rPr>
        <w:t>une goupille de positionnement cylindrique d</w:t>
      </w:r>
      <w:r w:rsidR="001A0723">
        <w:rPr>
          <w:b/>
        </w:rPr>
        <w:t>’</w:t>
      </w:r>
      <w:r w:rsidRPr="00797756">
        <w:rPr>
          <w:b/>
        </w:rPr>
        <w:t>un diamètre de 1 mm. Après avoir réglé la hauteur de la buse d</w:t>
      </w:r>
      <w:r w:rsidR="001A0723">
        <w:rPr>
          <w:b/>
        </w:rPr>
        <w:t>’</w:t>
      </w:r>
      <w:r w:rsidRPr="00797756">
        <w:rPr>
          <w:b/>
        </w:rPr>
        <w:t>aspiration, veiller à ce que l</w:t>
      </w:r>
      <w:r w:rsidR="001A0723">
        <w:rPr>
          <w:b/>
        </w:rPr>
        <w:t>’</w:t>
      </w:r>
      <w:r w:rsidRPr="00797756">
        <w:rPr>
          <w:b/>
        </w:rPr>
        <w:t>orifice inférieur de la buse ne se trouve pas au contact de la pierre à refaçonner. Régler la force d</w:t>
      </w:r>
      <w:r w:rsidR="001A0723">
        <w:rPr>
          <w:b/>
        </w:rPr>
        <w:t>’</w:t>
      </w:r>
      <w:r w:rsidRPr="00797756">
        <w:rPr>
          <w:b/>
        </w:rPr>
        <w:t>aspiration à une pression résiduelle inférieure ou égale à 13,7 kPa (137 mbar). Abaisser les bras de sorte que les roulettes soient au contact de la surface de la pierre à refaçonner</w:t>
      </w:r>
      <w:r w:rsidR="007F6572">
        <w:rPr>
          <w:b/>
        </w:rPr>
        <w:t xml:space="preserve"> </w:t>
      </w:r>
      <w:r w:rsidRPr="00797756">
        <w:rPr>
          <w:b/>
        </w:rPr>
        <w:t>ST-11. Procéder au resurfaçage des roulettes pendant 25 cycles.</w:t>
      </w:r>
    </w:p>
    <w:p w:rsidR="00797756" w:rsidRPr="00797756" w:rsidRDefault="00797756" w:rsidP="00EF54E4">
      <w:pPr>
        <w:pStyle w:val="SingleTxtG"/>
        <w:ind w:left="2268"/>
        <w:rPr>
          <w:b/>
        </w:rPr>
      </w:pPr>
      <w:r w:rsidRPr="00797756">
        <w:rPr>
          <w:b/>
        </w:rPr>
        <w:tab/>
        <w:t>Après avoir procédé au resurfaçage, utiliser une brosse antistatique à poils souples pour débarrasser délicatement la surface des roulettes de toutes les particules résiduelles. Pour ce faire, on peut utiliser une brosse en fibre acrylique souple à dissip</w:t>
      </w:r>
      <w:r w:rsidR="00EF54E4">
        <w:rPr>
          <w:b/>
        </w:rPr>
        <w:t>ation électrostatique (filament</w:t>
      </w:r>
      <w:r w:rsidRPr="00797756">
        <w:rPr>
          <w:b/>
        </w:rPr>
        <w:t xml:space="preserve"> de 0,04</w:t>
      </w:r>
      <w:r w:rsidR="00EF54E4">
        <w:rPr>
          <w:b/>
        </w:rPr>
        <w:t> </w:t>
      </w:r>
      <w:r w:rsidRPr="00797756">
        <w:rPr>
          <w:b/>
        </w:rPr>
        <w:t>mm de diamètre) liée chimiquement à une couche de sulfure de cuivre afin de générer une résistance électrique de</w:t>
      </w:r>
      <w:r w:rsidR="00EF54E4">
        <w:rPr>
          <w:b/>
        </w:rPr>
        <w:t xml:space="preserve"> </w:t>
      </w:r>
      <w:r w:rsidRPr="00797756">
        <w:rPr>
          <w:b/>
        </w:rPr>
        <w:t>3 à 5 x 10</w:t>
      </w:r>
      <w:r w:rsidRPr="00797756">
        <w:rPr>
          <w:b/>
          <w:vertAlign w:val="superscript"/>
        </w:rPr>
        <w:t>-4</w:t>
      </w:r>
      <w:r w:rsidRPr="00797756">
        <w:rPr>
          <w:b/>
        </w:rPr>
        <w:t> Ω/cm.</w:t>
      </w:r>
    </w:p>
    <w:p w:rsidR="00797756" w:rsidRPr="00797756" w:rsidRDefault="00797756" w:rsidP="00EF54E4">
      <w:pPr>
        <w:pStyle w:val="SingleTxtG"/>
        <w:ind w:left="2268"/>
        <w:rPr>
          <w:b/>
        </w:rPr>
      </w:pPr>
      <w:r w:rsidRPr="00797756">
        <w:rPr>
          <w:b/>
        </w:rPr>
        <w:tab/>
        <w:t>Avant toute chose, il convient de soumettre les nouvelles roulettes ou celles qui ont été dressées au moyen d</w:t>
      </w:r>
      <w:r w:rsidR="001A0723">
        <w:rPr>
          <w:b/>
        </w:rPr>
        <w:t>’</w:t>
      </w:r>
      <w:r w:rsidRPr="00797756">
        <w:rPr>
          <w:b/>
        </w:rPr>
        <w:t>une meule diamantée (Taber ou équivalent), à une série de 100 cycles en utilisant la face à grains fins de la pierre à refaçonner ST-11 puis de procéder à un essai sur la matière à évaluer (sans tenir compte des résultats obtenus).</w:t>
      </w:r>
    </w:p>
    <w:p w:rsidR="00797756" w:rsidRPr="00797756" w:rsidRDefault="00797756" w:rsidP="00EF54E4">
      <w:pPr>
        <w:pStyle w:val="SingleTxtG"/>
        <w:ind w:left="2268"/>
        <w:rPr>
          <w:b/>
        </w:rPr>
      </w:pPr>
      <w:r w:rsidRPr="00797756">
        <w:rPr>
          <w:b/>
        </w:rPr>
        <w:tab/>
        <w:t xml:space="preserve">La face à grains </w:t>
      </w:r>
      <w:r w:rsidR="00EF54E4">
        <w:rPr>
          <w:b/>
        </w:rPr>
        <w:t xml:space="preserve">fins de la pierre à refaçonner </w:t>
      </w:r>
      <w:r w:rsidRPr="00797756">
        <w:rPr>
          <w:b/>
        </w:rPr>
        <w:t xml:space="preserve">ST-11 a une durée de vie </w:t>
      </w:r>
      <w:r w:rsidRPr="00EF54E4">
        <w:rPr>
          <w:b/>
          <w:spacing w:val="-4"/>
        </w:rPr>
        <w:t>limitée et doit être remplacée après 7 500 cycles (environ 300 resurfaçages)</w:t>
      </w:r>
      <w:r w:rsidRPr="00797756">
        <w:rPr>
          <w:b/>
        </w:rPr>
        <w:t>.</w:t>
      </w:r>
    </w:p>
    <w:p w:rsidR="00797756" w:rsidRPr="00797756" w:rsidRDefault="00797756" w:rsidP="00EF54E4">
      <w:pPr>
        <w:pStyle w:val="SingleTxtG"/>
        <w:ind w:left="2268"/>
        <w:rPr>
          <w:b/>
        </w:rPr>
      </w:pPr>
      <w:r w:rsidRPr="00797756">
        <w:rPr>
          <w:b/>
        </w:rPr>
        <w:tab/>
        <w:t>Une fine saillie constituée de la matière dont est faite la roulette se forme parfois sur le bord gauche de cette roulette, à mesure que se détériore son corps principal. Il convient, pour l</w:t>
      </w:r>
      <w:r w:rsidR="001A0723">
        <w:rPr>
          <w:b/>
        </w:rPr>
        <w:t>’</w:t>
      </w:r>
      <w:r w:rsidRPr="00797756">
        <w:rPr>
          <w:b/>
        </w:rPr>
        <w:t>éliminer, de frotter délicatement le bord de la roulette avec un doigt ganté avant de procéder au resurfaçage. Éviter de toucher la surface de la roulette quand elle</w:t>
      </w:r>
      <w:r w:rsidR="007F6572">
        <w:rPr>
          <w:b/>
        </w:rPr>
        <w:t xml:space="preserve"> </w:t>
      </w:r>
      <w:r w:rsidRPr="00797756">
        <w:rPr>
          <w:b/>
        </w:rPr>
        <w:t>est en rotation.</w:t>
      </w:r>
    </w:p>
    <w:p w:rsidR="00797756" w:rsidRPr="00797756" w:rsidRDefault="00797756" w:rsidP="00EF54E4">
      <w:pPr>
        <w:pStyle w:val="SingleTxtG"/>
        <w:ind w:left="2268"/>
        <w:rPr>
          <w:b/>
        </w:rPr>
      </w:pPr>
      <w:r w:rsidRPr="00797756">
        <w:rPr>
          <w:b/>
        </w:rPr>
        <w:tab/>
        <w:t>Le resurfaçage et l</w:t>
      </w:r>
      <w:r w:rsidR="001A0723">
        <w:rPr>
          <w:b/>
        </w:rPr>
        <w:t>’</w:t>
      </w:r>
      <w:r w:rsidRPr="00797756">
        <w:rPr>
          <w:b/>
        </w:rPr>
        <w:t>essai ne doivent pas être réalisés à plus de deux minutes d</w:t>
      </w:r>
      <w:r w:rsidR="001A0723">
        <w:rPr>
          <w:b/>
        </w:rPr>
        <w:t>’</w:t>
      </w:r>
      <w:r w:rsidRPr="00797756">
        <w:rPr>
          <w:b/>
        </w:rPr>
        <w:t>intervalle.</w:t>
      </w:r>
      <w:r w:rsidRPr="00797756">
        <w:t> ».</w:t>
      </w:r>
    </w:p>
    <w:p w:rsidR="00797756" w:rsidRPr="00797756" w:rsidRDefault="00797756" w:rsidP="00797756">
      <w:pPr>
        <w:pStyle w:val="SingleTxtG"/>
      </w:pPr>
      <w:r w:rsidRPr="00797756">
        <w:rPr>
          <w:i/>
        </w:rPr>
        <w:t>Paragraphe 4.1.3</w:t>
      </w:r>
      <w:r w:rsidRPr="00797756">
        <w:t>,</w:t>
      </w:r>
      <w:r w:rsidRPr="00797756">
        <w:rPr>
          <w:i/>
        </w:rPr>
        <w:t xml:space="preserve"> </w:t>
      </w:r>
      <w:r w:rsidRPr="00797756">
        <w:t>modifier comme suit</w:t>
      </w:r>
      <w:r w:rsidR="00DA5458">
        <w:t> </w:t>
      </w:r>
      <w:r w:rsidRPr="00797756">
        <w:t>:</w:t>
      </w:r>
    </w:p>
    <w:p w:rsidR="00797756" w:rsidRPr="00797756" w:rsidRDefault="00797756" w:rsidP="00A408E6">
      <w:pPr>
        <w:pStyle w:val="SingleTxtG"/>
        <w:ind w:left="2268" w:hanging="1134"/>
        <w:rPr>
          <w:b/>
          <w:lang w:val="fr-FR"/>
        </w:rPr>
      </w:pPr>
      <w:r w:rsidRPr="00797756">
        <w:t>«</w:t>
      </w:r>
      <w:r w:rsidR="00DA5458">
        <w:t> </w:t>
      </w:r>
      <w:r w:rsidRPr="00797756">
        <w:t>4.1.3</w:t>
      </w:r>
      <w:r w:rsidRPr="00797756">
        <w:tab/>
      </w:r>
      <w:r w:rsidRPr="00DA5458">
        <w:rPr>
          <w:strike/>
        </w:rPr>
        <w:t>Source lumineuse, consistant en une ampoule à incandescence dont le filament est contenu dans un volume parallélépipédique de 1,5 x 1,5 x 3 mm. La tension appliquée au filament de l</w:t>
      </w:r>
      <w:r w:rsidR="001A0723">
        <w:rPr>
          <w:strike/>
        </w:rPr>
        <w:t>’</w:t>
      </w:r>
      <w:r w:rsidRPr="00DA5458">
        <w:rPr>
          <w:strike/>
        </w:rPr>
        <w:t xml:space="preserve">ampoule doit être telle que sa température de couleur soit 2 856 </w:t>
      </w:r>
      <w:r w:rsidR="00DA5458">
        <w:rPr>
          <w:strike/>
        </w:rPr>
        <w:sym w:font="Symbol" w:char="F0B1"/>
      </w:r>
      <w:r w:rsidRPr="00DA5458">
        <w:rPr>
          <w:strike/>
        </w:rPr>
        <w:t xml:space="preserve"> 50 K. Cette tension doit être stabilisée à </w:t>
      </w:r>
      <w:r w:rsidR="00DA5458">
        <w:rPr>
          <w:strike/>
        </w:rPr>
        <w:sym w:font="Symbol" w:char="F0B1"/>
      </w:r>
      <w:r w:rsidRPr="00DA5458">
        <w:rPr>
          <w:strike/>
        </w:rPr>
        <w:t>1/1 000. L</w:t>
      </w:r>
      <w:r w:rsidR="001A0723">
        <w:rPr>
          <w:strike/>
        </w:rPr>
        <w:t>’</w:t>
      </w:r>
      <w:r w:rsidRPr="00DA5458">
        <w:rPr>
          <w:strike/>
        </w:rPr>
        <w:t xml:space="preserve">appareil de mesurage, utilisé pour la vérification de cette tension, doit présenter une précision appropriée pour cette application. </w:t>
      </w:r>
      <w:r w:rsidRPr="00797756">
        <w:rPr>
          <w:b/>
          <w:lang w:val="fr-FR"/>
        </w:rPr>
        <w:t xml:space="preserve">Appareillage </w:t>
      </w:r>
      <w:r w:rsidRPr="00797756">
        <w:rPr>
          <w:b/>
          <w:lang w:val="fr-FR"/>
        </w:rPr>
        <w:lastRenderedPageBreak/>
        <w:t>de mesurage de l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atténuation de visibilité</w:t>
      </w:r>
      <w:r w:rsidR="00DA5458">
        <w:rPr>
          <w:rStyle w:val="Appelnotedebasdep"/>
          <w:b/>
        </w:rPr>
        <w:footnoteReference w:id="9"/>
      </w:r>
      <w:r w:rsidRPr="00797756">
        <w:rPr>
          <w:b/>
        </w:rPr>
        <w:t>, représenté à la figure</w:t>
      </w:r>
      <w:r w:rsidR="00DA5458">
        <w:rPr>
          <w:b/>
        </w:rPr>
        <w:t xml:space="preserve"> </w:t>
      </w:r>
      <w:r w:rsidRPr="00797756">
        <w:rPr>
          <w:b/>
        </w:rPr>
        <w:t>5.1 et constitué</w:t>
      </w:r>
      <w:r w:rsidR="00DA5458">
        <w:rPr>
          <w:b/>
        </w:rPr>
        <w:t> </w:t>
      </w:r>
      <w:r w:rsidRPr="00797756">
        <w:rPr>
          <w:b/>
        </w:rPr>
        <w:t>:</w:t>
      </w:r>
      <w:r w:rsidRPr="00797756">
        <w:t> ».</w:t>
      </w:r>
    </w:p>
    <w:p w:rsidR="00797756" w:rsidRPr="00797756" w:rsidRDefault="00797756" w:rsidP="00797756">
      <w:pPr>
        <w:pStyle w:val="SingleTxtG"/>
      </w:pPr>
      <w:r w:rsidRPr="00797756">
        <w:rPr>
          <w:i/>
        </w:rPr>
        <w:t>Ajouter les nouveaux paragraphes 4.1.3.1 et 4.1.3.2</w:t>
      </w:r>
      <w:r w:rsidRPr="00797756">
        <w:t>, libellés comme suit</w:t>
      </w:r>
      <w:r w:rsidR="00DA5458">
        <w:t> </w:t>
      </w:r>
      <w:r w:rsidRPr="00797756">
        <w:t>:</w:t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797756">
        <w:t>«</w:t>
      </w:r>
      <w:r w:rsidR="00DA5458">
        <w:t> </w:t>
      </w:r>
      <w:r w:rsidR="00DA5458">
        <w:rPr>
          <w:b/>
        </w:rPr>
        <w:t>4.1.3.1</w:t>
      </w:r>
      <w:r w:rsidR="00DA5458">
        <w:rPr>
          <w:b/>
        </w:rPr>
        <w:tab/>
        <w:t>D</w:t>
      </w:r>
      <w:r w:rsidR="001A0723">
        <w:rPr>
          <w:b/>
        </w:rPr>
        <w:t>’</w:t>
      </w:r>
      <w:r w:rsidR="00DA5458">
        <w:rPr>
          <w:b/>
        </w:rPr>
        <w:t>une source lumineuse</w:t>
      </w:r>
      <w:r w:rsidRPr="00797756">
        <w:rPr>
          <w:b/>
        </w:rPr>
        <w:t xml:space="preserve"> ayant une température de couleur de 2 856 K </w:t>
      </w:r>
      <w:r w:rsidR="00DA5458">
        <w:rPr>
          <w:b/>
        </w:rPr>
        <w:sym w:font="Symbol" w:char="F0B1"/>
      </w:r>
      <w:r w:rsidRPr="00797756">
        <w:rPr>
          <w:b/>
        </w:rPr>
        <w:t xml:space="preserve"> 50 K ainsi que d</w:t>
      </w:r>
      <w:r w:rsidR="001A0723">
        <w:rPr>
          <w:b/>
        </w:rPr>
        <w:t>’</w:t>
      </w:r>
      <w:r w:rsidRPr="00797756">
        <w:rPr>
          <w:b/>
        </w:rPr>
        <w:t>un photodétec</w:t>
      </w:r>
      <w:r w:rsidR="00DA5458">
        <w:rPr>
          <w:b/>
        </w:rPr>
        <w:t xml:space="preserve">teur, ces deux éléments devant être filtrés de </w:t>
      </w:r>
      <w:r w:rsidRPr="00797756">
        <w:rPr>
          <w:b/>
        </w:rPr>
        <w:t>manière à produire u</w:t>
      </w:r>
      <w:r w:rsidR="00DA5458">
        <w:rPr>
          <w:b/>
        </w:rPr>
        <w:t xml:space="preserve">ne luminosité correspondant à </w:t>
      </w:r>
      <w:r w:rsidRPr="00797756">
        <w:rPr>
          <w:b/>
        </w:rPr>
        <w:t>celle de l</w:t>
      </w:r>
      <w:r w:rsidR="001A0723">
        <w:rPr>
          <w:b/>
        </w:rPr>
        <w:t>’</w:t>
      </w:r>
      <w:r w:rsidRPr="00797756">
        <w:rPr>
          <w:b/>
        </w:rPr>
        <w:t>observateur de référence colorimétrique CIE 1931 avec l</w:t>
      </w:r>
      <w:r w:rsidR="001A0723">
        <w:rPr>
          <w:b/>
        </w:rPr>
        <w:t>’</w:t>
      </w:r>
      <w:r w:rsidRPr="00797756">
        <w:rPr>
          <w:b/>
        </w:rPr>
        <w:t>illuminant normalisé A de la CIE. Le résultat doit ê</w:t>
      </w:r>
      <w:r w:rsidR="00DA5458">
        <w:rPr>
          <w:b/>
        </w:rPr>
        <w:t xml:space="preserve">tre proportionnel, à 1 % près, </w:t>
      </w:r>
      <w:r w:rsidRPr="00797756">
        <w:rPr>
          <w:b/>
        </w:rPr>
        <w:t>au flux incident sur toute la gamme des flux utilisés. Pour toutes les</w:t>
      </w:r>
      <w:r w:rsidR="00DA5458">
        <w:rPr>
          <w:b/>
        </w:rPr>
        <w:t xml:space="preserve"> éprouvettes soumises à l</w:t>
      </w:r>
      <w:r w:rsidR="001A0723">
        <w:rPr>
          <w:b/>
        </w:rPr>
        <w:t>’</w:t>
      </w:r>
      <w:r w:rsidR="00DA5458">
        <w:rPr>
          <w:b/>
        </w:rPr>
        <w:t>essai</w:t>
      </w:r>
      <w:r w:rsidRPr="00797756">
        <w:rPr>
          <w:b/>
        </w:rPr>
        <w:t>, la stabilité photométrique doit être constante au niveau de la source et du détecteur pen</w:t>
      </w:r>
      <w:r w:rsidR="008E599E">
        <w:rPr>
          <w:b/>
        </w:rPr>
        <w:t>dant toute la durée de l</w:t>
      </w:r>
      <w:r w:rsidR="001A0723">
        <w:rPr>
          <w:b/>
        </w:rPr>
        <w:t>’</w:t>
      </w:r>
      <w:r w:rsidR="008E599E">
        <w:rPr>
          <w:b/>
        </w:rPr>
        <w:t>essai.</w:t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797756">
        <w:rPr>
          <w:b/>
        </w:rPr>
        <w:t>4.1.3.2</w:t>
      </w:r>
      <w:r w:rsidRPr="00797756">
        <w:rPr>
          <w:b/>
        </w:rPr>
        <w:tab/>
        <w:t>D</w:t>
      </w:r>
      <w:r w:rsidR="001A0723">
        <w:rPr>
          <w:b/>
        </w:rPr>
        <w:t>’</w:t>
      </w:r>
      <w:r w:rsidRPr="00797756">
        <w:rPr>
          <w:b/>
        </w:rPr>
        <w:t>une sphère d</w:t>
      </w:r>
      <w:r w:rsidR="001A0723">
        <w:rPr>
          <w:b/>
        </w:rPr>
        <w:t>’</w:t>
      </w:r>
      <w:r w:rsidRPr="00797756">
        <w:rPr>
          <w:b/>
        </w:rPr>
        <w:t>intégration destinée à recevoir le flux émis, qui peut être de n</w:t>
      </w:r>
      <w:r w:rsidR="001A0723">
        <w:rPr>
          <w:b/>
        </w:rPr>
        <w:t>’</w:t>
      </w:r>
      <w:r w:rsidRPr="00797756">
        <w:rPr>
          <w:b/>
        </w:rPr>
        <w:t>importe quel diamètre pourvu que l</w:t>
      </w:r>
      <w:r w:rsidR="001A0723">
        <w:rPr>
          <w:b/>
        </w:rPr>
        <w:t>’</w:t>
      </w:r>
      <w:r w:rsidRPr="00797756">
        <w:rPr>
          <w:b/>
        </w:rPr>
        <w:t>ensemble des zones d</w:t>
      </w:r>
      <w:r w:rsidR="001A0723">
        <w:rPr>
          <w:b/>
        </w:rPr>
        <w:t>’</w:t>
      </w:r>
      <w:r w:rsidRPr="00797756">
        <w:rPr>
          <w:b/>
        </w:rPr>
        <w:t>ouverture n</w:t>
      </w:r>
      <w:r w:rsidR="001A0723">
        <w:rPr>
          <w:b/>
        </w:rPr>
        <w:t>’</w:t>
      </w:r>
      <w:r w:rsidRPr="00797756">
        <w:rPr>
          <w:b/>
        </w:rPr>
        <w:t>occupe pas plus de 4,0 % de la zone intérieure de réflexion de la sphère. Les ouvertures d</w:t>
      </w:r>
      <w:r w:rsidR="001A0723">
        <w:rPr>
          <w:b/>
        </w:rPr>
        <w:t>’</w:t>
      </w:r>
      <w:r w:rsidRPr="00797756">
        <w:rPr>
          <w:b/>
        </w:rPr>
        <w:t>entrée et de sort</w:t>
      </w:r>
      <w:r w:rsidR="00DA5458">
        <w:rPr>
          <w:b/>
        </w:rPr>
        <w:t>ie doivent se trouver sur</w:t>
      </w:r>
      <w:r w:rsidRPr="00797756">
        <w:rPr>
          <w:b/>
        </w:rPr>
        <w:t xml:space="preserve"> le même g</w:t>
      </w:r>
      <w:r w:rsidR="00DA5458">
        <w:rPr>
          <w:b/>
        </w:rPr>
        <w:t>rand cercle de circonférence de</w:t>
      </w:r>
      <w:r w:rsidRPr="00797756">
        <w:rPr>
          <w:b/>
        </w:rPr>
        <w:t xml:space="preserve"> la sphère et leurs centres séparé</w:t>
      </w:r>
      <w:r w:rsidR="00DA5458">
        <w:rPr>
          <w:b/>
        </w:rPr>
        <w:t>s les uns des autres par un arc</w:t>
      </w:r>
      <w:r w:rsidRPr="00797756">
        <w:rPr>
          <w:b/>
        </w:rPr>
        <w:t xml:space="preserve"> d</w:t>
      </w:r>
      <w:r w:rsidR="001A0723">
        <w:rPr>
          <w:b/>
        </w:rPr>
        <w:t>’</w:t>
      </w:r>
      <w:r w:rsidRPr="00797756">
        <w:rPr>
          <w:b/>
        </w:rPr>
        <w:t>au moins 2,97 rad (170°). L</w:t>
      </w:r>
      <w:r w:rsidR="001A0723">
        <w:rPr>
          <w:b/>
        </w:rPr>
        <w:t>’</w:t>
      </w:r>
      <w:r w:rsidRPr="00797756">
        <w:rPr>
          <w:b/>
        </w:rPr>
        <w:t>ouverture de sortie doit sous-tendre un angle de 0,14 rad (8°) par rapport au centre de l</w:t>
      </w:r>
      <w:r w:rsidR="001A0723">
        <w:rPr>
          <w:b/>
        </w:rPr>
        <w:t>’</w:t>
      </w:r>
      <w:r w:rsidRPr="00797756">
        <w:rPr>
          <w:b/>
        </w:rPr>
        <w:t>ouverture d</w:t>
      </w:r>
      <w:r w:rsidR="001A0723">
        <w:rPr>
          <w:b/>
        </w:rPr>
        <w:t>’</w:t>
      </w:r>
      <w:r w:rsidRPr="00797756">
        <w:rPr>
          <w:b/>
        </w:rPr>
        <w:t>entrée. Un fois le</w:t>
      </w:r>
      <w:r w:rsidR="007F6572">
        <w:rPr>
          <w:b/>
        </w:rPr>
        <w:t xml:space="preserve"> </w:t>
      </w:r>
      <w:r w:rsidRPr="00797756">
        <w:rPr>
          <w:b/>
        </w:rPr>
        <w:t>piège à lumière en place, en l</w:t>
      </w:r>
      <w:r w:rsidR="001A0723">
        <w:rPr>
          <w:b/>
        </w:rPr>
        <w:t>’</w:t>
      </w:r>
      <w:r w:rsidRPr="00797756">
        <w:rPr>
          <w:b/>
        </w:rPr>
        <w:t>absence de l</w:t>
      </w:r>
      <w:r w:rsidR="001A0723">
        <w:rPr>
          <w:b/>
        </w:rPr>
        <w:t>’</w:t>
      </w:r>
      <w:r w:rsidRPr="00797756">
        <w:rPr>
          <w:b/>
        </w:rPr>
        <w:t>éprouvette d</w:t>
      </w:r>
      <w:r w:rsidR="001A0723">
        <w:rPr>
          <w:b/>
        </w:rPr>
        <w:t>’</w:t>
      </w:r>
      <w:r w:rsidRPr="00797756">
        <w:rPr>
          <w:b/>
        </w:rPr>
        <w:t>essai, l</w:t>
      </w:r>
      <w:r w:rsidR="001A0723">
        <w:rPr>
          <w:b/>
        </w:rPr>
        <w:t>’</w:t>
      </w:r>
      <w:r w:rsidRPr="00797756">
        <w:rPr>
          <w:b/>
        </w:rPr>
        <w:t>axe du faisceau d</w:t>
      </w:r>
      <w:r w:rsidR="001A0723">
        <w:rPr>
          <w:b/>
        </w:rPr>
        <w:t>’</w:t>
      </w:r>
      <w:r w:rsidRPr="00797756">
        <w:rPr>
          <w:b/>
        </w:rPr>
        <w:t>irradiation doit passer par les centres des ouvertures d</w:t>
      </w:r>
      <w:r w:rsidR="001A0723">
        <w:rPr>
          <w:b/>
        </w:rPr>
        <w:t>’</w:t>
      </w:r>
      <w:r w:rsidRPr="00797756">
        <w:rPr>
          <w:b/>
        </w:rPr>
        <w:t>entrée et de sortie. Pour un appareil de mesurage de l</w:t>
      </w:r>
      <w:r w:rsidR="001A0723">
        <w:rPr>
          <w:b/>
        </w:rPr>
        <w:t>’</w:t>
      </w:r>
      <w:r w:rsidRPr="00797756">
        <w:rPr>
          <w:b/>
        </w:rPr>
        <w:t>atténuation de visibilité, placer la ou les cellules photoélectriques</w:t>
      </w:r>
      <w:r w:rsidR="00DA5458">
        <w:rPr>
          <w:b/>
        </w:rPr>
        <w:t xml:space="preserve"> </w:t>
      </w:r>
      <w:r w:rsidRPr="00797756">
        <w:rPr>
          <w:b/>
        </w:rPr>
        <w:t xml:space="preserve">sur la sphère, à 1,57 rad </w:t>
      </w:r>
      <w:r w:rsidR="00DA5458">
        <w:rPr>
          <w:b/>
        </w:rPr>
        <w:sym w:font="Symbol" w:char="F0B1"/>
      </w:r>
      <w:r w:rsidRPr="00797756">
        <w:rPr>
          <w:b/>
        </w:rPr>
        <w:t xml:space="preserve"> 0,17 rad (90° </w:t>
      </w:r>
      <w:r w:rsidR="00DA5458">
        <w:rPr>
          <w:b/>
        </w:rPr>
        <w:sym w:font="Symbol" w:char="F0B1"/>
      </w:r>
      <w:r w:rsidRPr="00797756">
        <w:rPr>
          <w:b/>
        </w:rPr>
        <w:t xml:space="preserve"> 10°) par rapport à l</w:t>
      </w:r>
      <w:r w:rsidR="001A0723">
        <w:rPr>
          <w:b/>
        </w:rPr>
        <w:t>’</w:t>
      </w:r>
      <w:r w:rsidRPr="00797756">
        <w:rPr>
          <w:b/>
        </w:rPr>
        <w:t>ouverture d</w:t>
      </w:r>
      <w:r w:rsidR="001A0723">
        <w:rPr>
          <w:b/>
        </w:rPr>
        <w:t>’</w:t>
      </w:r>
      <w:r w:rsidRPr="00797756">
        <w:rPr>
          <w:b/>
        </w:rPr>
        <w:t>entrée et faire en sorte qu</w:t>
      </w:r>
      <w:r w:rsidR="001A0723">
        <w:rPr>
          <w:b/>
        </w:rPr>
        <w:t>’</w:t>
      </w:r>
      <w:r w:rsidRPr="00797756">
        <w:rPr>
          <w:b/>
        </w:rPr>
        <w:t>elles ne soient pas directement exposées à l</w:t>
      </w:r>
      <w:r w:rsidR="001A0723">
        <w:rPr>
          <w:b/>
        </w:rPr>
        <w:t>’</w:t>
      </w:r>
      <w:r w:rsidRPr="00797756">
        <w:rPr>
          <w:b/>
        </w:rPr>
        <w:t>ouverture d</w:t>
      </w:r>
      <w:r w:rsidR="001A0723">
        <w:rPr>
          <w:b/>
        </w:rPr>
        <w:t>’</w:t>
      </w:r>
      <w:r w:rsidRPr="00797756">
        <w:rPr>
          <w:b/>
        </w:rPr>
        <w:t>entrée. Au niveau de la modification pivotante où la face intérieure adjacente à l</w:t>
      </w:r>
      <w:r w:rsidR="001A0723">
        <w:rPr>
          <w:b/>
        </w:rPr>
        <w:t>’</w:t>
      </w:r>
      <w:r w:rsidRPr="00797756">
        <w:rPr>
          <w:b/>
        </w:rPr>
        <w:t>ouverture d</w:t>
      </w:r>
      <w:r w:rsidR="001A0723">
        <w:rPr>
          <w:b/>
        </w:rPr>
        <w:t>’</w:t>
      </w:r>
      <w:r w:rsidRPr="00797756">
        <w:rPr>
          <w:b/>
        </w:rPr>
        <w:t xml:space="preserve">entrée est utilisée en tant que </w:t>
      </w:r>
      <w:bookmarkStart w:id="1" w:name="hit_last"/>
      <w:bookmarkEnd w:id="1"/>
      <w:r w:rsidRPr="00797756">
        <w:rPr>
          <w:b/>
        </w:rPr>
        <w:t>référence en matière de réflectance, l</w:t>
      </w:r>
      <w:r w:rsidR="001A0723">
        <w:rPr>
          <w:b/>
        </w:rPr>
        <w:t>’</w:t>
      </w:r>
      <w:r w:rsidRPr="00797756">
        <w:rPr>
          <w:b/>
        </w:rPr>
        <w:t xml:space="preserve">angle de rotation de la sphère doit être de 0,140 rad </w:t>
      </w:r>
      <w:r w:rsidR="00DA5458">
        <w:rPr>
          <w:b/>
        </w:rPr>
        <w:sym w:font="Symbol" w:char="F0B1"/>
      </w:r>
      <w:r w:rsidRPr="00797756">
        <w:rPr>
          <w:b/>
        </w:rPr>
        <w:t xml:space="preserve"> 0,008 rad (8,0° </w:t>
      </w:r>
      <w:r w:rsidR="00DA5458">
        <w:rPr>
          <w:b/>
        </w:rPr>
        <w:sym w:font="Symbol" w:char="F0B1"/>
      </w:r>
      <w:r w:rsidRPr="00797756">
        <w:rPr>
          <w:b/>
        </w:rPr>
        <w:t xml:space="preserve"> 0,5°).</w:t>
      </w:r>
      <w:r w:rsidRPr="00797756">
        <w:t> ».</w:t>
      </w:r>
    </w:p>
    <w:p w:rsidR="00797756" w:rsidRPr="00797756" w:rsidRDefault="00797756" w:rsidP="00797756">
      <w:pPr>
        <w:pStyle w:val="SingleTxtG"/>
      </w:pPr>
      <w:r w:rsidRPr="00797756">
        <w:rPr>
          <w:i/>
        </w:rPr>
        <w:t>Paragraphes 4.1.4 et 4.1.5</w:t>
      </w:r>
      <w:r w:rsidRPr="00797756">
        <w:t>, modifier comme suit (en modifiant également la figure 5.1)</w:t>
      </w:r>
      <w:r w:rsidR="00DA5458">
        <w:t> </w:t>
      </w:r>
      <w:r w:rsidRPr="00797756">
        <w:t xml:space="preserve">: </w:t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797756">
        <w:t>«</w:t>
      </w:r>
      <w:r w:rsidR="00DA5458">
        <w:t xml:space="preserve"> </w:t>
      </w:r>
      <w:r w:rsidRPr="00797756">
        <w:t>4.1.4</w:t>
      </w:r>
      <w:r w:rsidRPr="00797756">
        <w:tab/>
      </w:r>
      <w:r w:rsidRPr="00DA5458">
        <w:rPr>
          <w:strike/>
        </w:rPr>
        <w:t>Système optique, composé d</w:t>
      </w:r>
      <w:r w:rsidR="001A0723">
        <w:rPr>
          <w:strike/>
        </w:rPr>
        <w:t>’</w:t>
      </w:r>
      <w:r w:rsidRPr="00DA5458">
        <w:rPr>
          <w:strike/>
        </w:rPr>
        <w:t>une lentille de distance focale, f, égale à 500</w:t>
      </w:r>
      <w:r w:rsidR="00DA5458" w:rsidRPr="00DA5458">
        <w:rPr>
          <w:strike/>
        </w:rPr>
        <w:t> </w:t>
      </w:r>
      <w:r w:rsidRPr="00DA5458">
        <w:rPr>
          <w:strike/>
        </w:rPr>
        <w:t xml:space="preserve">mm au moins et corrigée pour les aberrations chromatiques. La pleine ouverture de la lentille ne doit pas dépasser f/20. La distance entre la lentille et la source lumineuse doit être réglée de manière à obtenir un faisceau lumineux sensiblement parallèle. Placer un diaphragme pour limiter le diamètre du faisceau lumineux à 7 </w:t>
      </w:r>
      <w:r w:rsidR="00DA5458" w:rsidRPr="00DA5458">
        <w:rPr>
          <w:strike/>
        </w:rPr>
        <w:sym w:font="Symbol" w:char="F0B1"/>
      </w:r>
      <w:r w:rsidRPr="00DA5458">
        <w:rPr>
          <w:strike/>
        </w:rPr>
        <w:t xml:space="preserve"> 1 mm. Ce diaphragme doit être placé à une distance de 100 </w:t>
      </w:r>
      <w:r w:rsidR="00DA5458">
        <w:rPr>
          <w:strike/>
        </w:rPr>
        <w:sym w:font="Symbol" w:char="F0B1"/>
      </w:r>
      <w:r w:rsidRPr="00DA5458">
        <w:rPr>
          <w:strike/>
        </w:rPr>
        <w:t xml:space="preserve"> 50 mm de la lentille, du côté opposé à la source lumineuse. </w:t>
      </w:r>
      <w:r w:rsidRPr="00797756">
        <w:rPr>
          <w:b/>
        </w:rPr>
        <w:t>Éclairer l</w:t>
      </w:r>
      <w:r w:rsidR="001A0723">
        <w:rPr>
          <w:b/>
        </w:rPr>
        <w:t>’</w:t>
      </w:r>
      <w:r w:rsidRPr="00797756">
        <w:rPr>
          <w:b/>
        </w:rPr>
        <w:t>éprouvette d</w:t>
      </w:r>
      <w:r w:rsidR="001A0723">
        <w:rPr>
          <w:b/>
        </w:rPr>
        <w:t>’</w:t>
      </w:r>
      <w:r w:rsidRPr="00797756">
        <w:rPr>
          <w:b/>
        </w:rPr>
        <w:t>essai au moyen d</w:t>
      </w:r>
      <w:r w:rsidR="001A0723">
        <w:rPr>
          <w:b/>
        </w:rPr>
        <w:t>’</w:t>
      </w:r>
      <w:r w:rsidRPr="00797756">
        <w:rPr>
          <w:b/>
        </w:rPr>
        <w:t>un faisceau largement unidirectionnel ; l</w:t>
      </w:r>
      <w:r w:rsidR="001A0723">
        <w:rPr>
          <w:b/>
        </w:rPr>
        <w:t>’</w:t>
      </w:r>
      <w:r w:rsidRPr="00797756">
        <w:rPr>
          <w:b/>
        </w:rPr>
        <w:t>angle entre les rayons de ce faisceau et son axe</w:t>
      </w:r>
      <w:r w:rsidR="007F6572">
        <w:rPr>
          <w:b/>
        </w:rPr>
        <w:t xml:space="preserve"> </w:t>
      </w:r>
      <w:r w:rsidRPr="00797756">
        <w:rPr>
          <w:b/>
        </w:rPr>
        <w:t>ne doit pas dépasser 0,05 rad (3°). Le faisceau en question ne doit présenter aucun vignettage aux ouvertures d</w:t>
      </w:r>
      <w:r w:rsidR="001A0723">
        <w:rPr>
          <w:b/>
        </w:rPr>
        <w:t>’</w:t>
      </w:r>
      <w:r w:rsidRPr="00797756">
        <w:rPr>
          <w:b/>
        </w:rPr>
        <w:t>entrée et de sortie de la sphère.</w:t>
      </w:r>
    </w:p>
    <w:p w:rsidR="00797756" w:rsidRPr="00797756" w:rsidRDefault="00797756" w:rsidP="00DA5458">
      <w:pPr>
        <w:pStyle w:val="SingleTxtG"/>
        <w:ind w:left="2268"/>
        <w:rPr>
          <w:b/>
        </w:rPr>
      </w:pPr>
      <w:r w:rsidRPr="00797756">
        <w:rPr>
          <w:b/>
        </w:rPr>
        <w:tab/>
        <w:t>Lorsque l</w:t>
      </w:r>
      <w:r w:rsidR="001A0723">
        <w:rPr>
          <w:b/>
        </w:rPr>
        <w:t>’</w:t>
      </w:r>
      <w:r w:rsidRPr="00797756">
        <w:rPr>
          <w:b/>
        </w:rPr>
        <w:t>éprouvette d</w:t>
      </w:r>
      <w:r w:rsidR="001A0723">
        <w:rPr>
          <w:b/>
        </w:rPr>
        <w:t>’</w:t>
      </w:r>
      <w:r w:rsidRPr="00797756">
        <w:rPr>
          <w:b/>
        </w:rPr>
        <w:t>essai est placée contre l</w:t>
      </w:r>
      <w:r w:rsidR="001A0723">
        <w:rPr>
          <w:b/>
        </w:rPr>
        <w:t>’</w:t>
      </w:r>
      <w:r w:rsidRPr="00797756">
        <w:rPr>
          <w:b/>
        </w:rPr>
        <w:t>ouverture d</w:t>
      </w:r>
      <w:r w:rsidR="001A0723">
        <w:rPr>
          <w:b/>
        </w:rPr>
        <w:t>’</w:t>
      </w:r>
      <w:r w:rsidRPr="00797756">
        <w:rPr>
          <w:b/>
        </w:rPr>
        <w:t>entrée de la sphère d</w:t>
      </w:r>
      <w:r w:rsidR="001A0723">
        <w:rPr>
          <w:b/>
        </w:rPr>
        <w:t>’</w:t>
      </w:r>
      <w:r w:rsidRPr="00797756">
        <w:rPr>
          <w:b/>
        </w:rPr>
        <w:t>intégration, l</w:t>
      </w:r>
      <w:r w:rsidR="001A0723">
        <w:rPr>
          <w:b/>
        </w:rPr>
        <w:t>’</w:t>
      </w:r>
      <w:r w:rsidRPr="00797756">
        <w:rPr>
          <w:b/>
        </w:rPr>
        <w:t>angle entre la perpendiculaire à l</w:t>
      </w:r>
      <w:r w:rsidR="001A0723">
        <w:rPr>
          <w:b/>
        </w:rPr>
        <w:t>’</w:t>
      </w:r>
      <w:r w:rsidRPr="00797756">
        <w:rPr>
          <w:b/>
        </w:rPr>
        <w:t>éprouvette et la ligne qui relie les centres des ouvertures d</w:t>
      </w:r>
      <w:r w:rsidR="001A0723">
        <w:rPr>
          <w:b/>
        </w:rPr>
        <w:t>’</w:t>
      </w:r>
      <w:r w:rsidRPr="00797756">
        <w:rPr>
          <w:b/>
        </w:rPr>
        <w:t>entrée et de sortie ne doit pas être supérieur à 0,14 rad (8°).</w:t>
      </w:r>
    </w:p>
    <w:p w:rsidR="00797756" w:rsidRPr="00797756" w:rsidRDefault="00797756" w:rsidP="00DA5458">
      <w:pPr>
        <w:pStyle w:val="SingleTxtG"/>
        <w:ind w:left="2268"/>
        <w:rPr>
          <w:b/>
        </w:rPr>
      </w:pPr>
      <w:r w:rsidRPr="00797756">
        <w:rPr>
          <w:b/>
        </w:rPr>
        <w:tab/>
        <w:t>On doit insérer</w:t>
      </w:r>
      <w:r w:rsidR="007F6572">
        <w:rPr>
          <w:b/>
        </w:rPr>
        <w:t xml:space="preserve"> </w:t>
      </w:r>
      <w:r w:rsidRPr="00797756">
        <w:rPr>
          <w:b/>
        </w:rPr>
        <w:t>au centre de l</w:t>
      </w:r>
      <w:r w:rsidR="001A0723">
        <w:rPr>
          <w:b/>
        </w:rPr>
        <w:t>’</w:t>
      </w:r>
      <w:r w:rsidRPr="00797756">
        <w:rPr>
          <w:b/>
        </w:rPr>
        <w:t>appareil de mesurage de l</w:t>
      </w:r>
      <w:r w:rsidR="001A0723">
        <w:rPr>
          <w:b/>
        </w:rPr>
        <w:t>’</w:t>
      </w:r>
      <w:r w:rsidRPr="00797756">
        <w:rPr>
          <w:b/>
        </w:rPr>
        <w:t>atténuation de visibilité une ouverture ou un diaphragme afin de centrer le faisceau lumineux par rapport à la piste soumise à l</w:t>
      </w:r>
      <w:r w:rsidR="001A0723">
        <w:rPr>
          <w:b/>
        </w:rPr>
        <w:t>’</w:t>
      </w:r>
      <w:r w:rsidRPr="00797756">
        <w:rPr>
          <w:b/>
        </w:rPr>
        <w:t>abrasion et de limiter le diamètre du faisceau au niveau de l</w:t>
      </w:r>
      <w:r w:rsidR="001A0723">
        <w:rPr>
          <w:b/>
        </w:rPr>
        <w:t>’</w:t>
      </w:r>
      <w:r w:rsidRPr="00797756">
        <w:rPr>
          <w:b/>
        </w:rPr>
        <w:t>éprouvette d</w:t>
      </w:r>
      <w:r w:rsidR="001A0723">
        <w:rPr>
          <w:b/>
        </w:rPr>
        <w:t>’</w:t>
      </w:r>
      <w:r w:rsidRPr="00797756">
        <w:rPr>
          <w:b/>
        </w:rPr>
        <w:t xml:space="preserve">essai à une valeur de 7 mm </w:t>
      </w:r>
      <w:r w:rsidR="00DA5458">
        <w:rPr>
          <w:b/>
        </w:rPr>
        <w:sym w:font="Symbol" w:char="F0B1"/>
      </w:r>
      <w:r w:rsidRPr="00797756">
        <w:rPr>
          <w:b/>
        </w:rPr>
        <w:t xml:space="preserve"> 1 mm.</w:t>
      </w:r>
    </w:p>
    <w:p w:rsidR="00797756" w:rsidRPr="00797756" w:rsidRDefault="00797756" w:rsidP="00DA5458">
      <w:pPr>
        <w:pStyle w:val="SingleTxtG"/>
        <w:ind w:left="2268"/>
        <w:rPr>
          <w:b/>
        </w:rPr>
      </w:pPr>
      <w:r w:rsidRPr="00797756">
        <w:rPr>
          <w:b/>
        </w:rPr>
        <w:lastRenderedPageBreak/>
        <w:tab/>
        <w:t>Lorsque la lumière réduite n</w:t>
      </w:r>
      <w:r w:rsidR="001A0723">
        <w:rPr>
          <w:b/>
        </w:rPr>
        <w:t>’</w:t>
      </w:r>
      <w:r w:rsidRPr="00797756">
        <w:rPr>
          <w:b/>
        </w:rPr>
        <w:t>est pas obstruée par une éprouvette, sa section transversale à l</w:t>
      </w:r>
      <w:r w:rsidR="001A0723">
        <w:rPr>
          <w:b/>
        </w:rPr>
        <w:t>’</w:t>
      </w:r>
      <w:r w:rsidRPr="00797756">
        <w:rPr>
          <w:b/>
        </w:rPr>
        <w:t>ouverture de sortie doit être de forme approximativement circulaire, nettement définie, uniformément lumineuse et concentrique par rapport à l</w:t>
      </w:r>
      <w:r w:rsidR="001A0723">
        <w:rPr>
          <w:b/>
        </w:rPr>
        <w:t>’</w:t>
      </w:r>
      <w:r w:rsidRPr="00797756">
        <w:rPr>
          <w:b/>
        </w:rPr>
        <w:t xml:space="preserve">ouverture de sortie, laissant un anneau de 0,023 rad </w:t>
      </w:r>
      <w:r w:rsidR="00DA5458">
        <w:rPr>
          <w:b/>
        </w:rPr>
        <w:sym w:font="Symbol" w:char="F0B1"/>
      </w:r>
      <w:r w:rsidRPr="00797756">
        <w:rPr>
          <w:b/>
        </w:rPr>
        <w:t xml:space="preserve"> 0,002 rad (1,3° </w:t>
      </w:r>
      <w:r w:rsidR="00DA5458">
        <w:rPr>
          <w:b/>
        </w:rPr>
        <w:sym w:font="Symbol" w:char="F0B1"/>
      </w:r>
      <w:r w:rsidRPr="00797756">
        <w:rPr>
          <w:b/>
        </w:rPr>
        <w:t xml:space="preserve"> 0,1°) sous-tendu à l</w:t>
      </w:r>
      <w:r w:rsidR="001A0723">
        <w:rPr>
          <w:b/>
        </w:rPr>
        <w:t>’</w:t>
      </w:r>
      <w:r w:rsidRPr="00797756">
        <w:rPr>
          <w:b/>
        </w:rPr>
        <w:t>ouverture d</w:t>
      </w:r>
      <w:r w:rsidR="001A0723">
        <w:rPr>
          <w:b/>
        </w:rPr>
        <w:t>’</w:t>
      </w:r>
      <w:r w:rsidRPr="00797756">
        <w:rPr>
          <w:b/>
        </w:rPr>
        <w:t>entrée.</w:t>
      </w:r>
    </w:p>
    <w:p w:rsidR="00797756" w:rsidRPr="00797756" w:rsidRDefault="00797756" w:rsidP="00DA5458">
      <w:pPr>
        <w:pStyle w:val="SingleTxtG"/>
        <w:ind w:left="2268"/>
        <w:rPr>
          <w:b/>
        </w:rPr>
      </w:pPr>
      <w:r w:rsidRPr="00797756">
        <w:rPr>
          <w:b/>
        </w:rPr>
        <w:tab/>
        <w:t>Les surfaces intérieures de la sphère d</w:t>
      </w:r>
      <w:r w:rsidR="001A0723">
        <w:rPr>
          <w:b/>
        </w:rPr>
        <w:t>’</w:t>
      </w:r>
      <w:r w:rsidRPr="00797756">
        <w:rPr>
          <w:b/>
        </w:rPr>
        <w:t>intégration, des déflecteurs, et de l</w:t>
      </w:r>
      <w:r w:rsidR="001A0723">
        <w:rPr>
          <w:b/>
        </w:rPr>
        <w:t>’</w:t>
      </w:r>
      <w:r w:rsidRPr="00797756">
        <w:rPr>
          <w:b/>
        </w:rPr>
        <w:t>étalon de réflexion, lorsqu</w:t>
      </w:r>
      <w:r w:rsidR="001A0723">
        <w:rPr>
          <w:b/>
        </w:rPr>
        <w:t>’</w:t>
      </w:r>
      <w:r w:rsidRPr="00797756">
        <w:rPr>
          <w:b/>
        </w:rPr>
        <w:t>il y en a un, doivent être d</w:t>
      </w:r>
      <w:r w:rsidR="001A0723">
        <w:rPr>
          <w:b/>
        </w:rPr>
        <w:t>’</w:t>
      </w:r>
      <w:r w:rsidRPr="00797756">
        <w:rPr>
          <w:b/>
        </w:rPr>
        <w:t>un niveau de réflectance égal, mats, et d</w:t>
      </w:r>
      <w:r w:rsidR="001A0723">
        <w:rPr>
          <w:b/>
        </w:rPr>
        <w:t>’</w:t>
      </w:r>
      <w:r w:rsidRPr="00797756">
        <w:rPr>
          <w:b/>
        </w:rPr>
        <w:t>un pouvoir fortement réfléchissant sur l</w:t>
      </w:r>
      <w:r w:rsidR="001A0723">
        <w:rPr>
          <w:b/>
        </w:rPr>
        <w:t>’</w:t>
      </w:r>
      <w:r w:rsidRPr="00797756">
        <w:rPr>
          <w:b/>
        </w:rPr>
        <w:t>ensemble du spectre visible.</w:t>
      </w:r>
    </w:p>
    <w:p w:rsidR="00797756" w:rsidRPr="00797756" w:rsidRDefault="00797756" w:rsidP="00DA5458">
      <w:pPr>
        <w:pStyle w:val="SingleTxtG"/>
        <w:ind w:left="2268"/>
        <w:rPr>
          <w:b/>
        </w:rPr>
      </w:pPr>
      <w:r w:rsidRPr="00797756">
        <w:rPr>
          <w:b/>
        </w:rPr>
        <w:tab/>
        <w:t>Un piège à lumière doit être installé pour absorber toute la lumi</w:t>
      </w:r>
      <w:r w:rsidR="00CC18C2">
        <w:rPr>
          <w:b/>
        </w:rPr>
        <w:t>ère du faisceau en l</w:t>
      </w:r>
      <w:r w:rsidR="001A0723">
        <w:rPr>
          <w:b/>
        </w:rPr>
        <w:t>’</w:t>
      </w:r>
      <w:r w:rsidR="00CC18C2">
        <w:rPr>
          <w:b/>
        </w:rPr>
        <w:t>absence d</w:t>
      </w:r>
      <w:r w:rsidR="001A0723">
        <w:rPr>
          <w:b/>
        </w:rPr>
        <w:t>’</w:t>
      </w:r>
      <w:r w:rsidRPr="00797756">
        <w:rPr>
          <w:b/>
        </w:rPr>
        <w:t>éprouvette, à moins que la conception de l</w:t>
      </w:r>
      <w:r w:rsidR="001A0723">
        <w:rPr>
          <w:b/>
        </w:rPr>
        <w:t>’</w:t>
      </w:r>
      <w:r w:rsidRPr="00797756">
        <w:rPr>
          <w:b/>
        </w:rPr>
        <w:t>instrument rende cette disposition superflue.</w:t>
      </w:r>
    </w:p>
    <w:p w:rsidR="00797756" w:rsidRPr="00797756" w:rsidRDefault="00797756" w:rsidP="00DA5458">
      <w:pPr>
        <w:pStyle w:val="SingleTxtG"/>
        <w:ind w:left="2268"/>
        <w:rPr>
          <w:b/>
        </w:rPr>
      </w:pPr>
      <w:r w:rsidRPr="00797756">
        <w:rPr>
          <w:b/>
        </w:rPr>
        <w:tab/>
        <w:t>On peut utiliser des étalons en verre pour mesurer le facteur de diffusion de la lumière vers l</w:t>
      </w:r>
      <w:r w:rsidR="001A0723">
        <w:rPr>
          <w:b/>
        </w:rPr>
        <w:t>’</w:t>
      </w:r>
      <w:r w:rsidRPr="00797756">
        <w:rPr>
          <w:b/>
        </w:rPr>
        <w:t>avant et ainsi vérifier que le dispositif optique de l</w:t>
      </w:r>
      <w:r w:rsidR="001A0723">
        <w:rPr>
          <w:b/>
        </w:rPr>
        <w:t>’</w:t>
      </w:r>
      <w:r w:rsidRPr="00797756">
        <w:rPr>
          <w:b/>
        </w:rPr>
        <w:t>appareil de mesurage de l</w:t>
      </w:r>
      <w:r w:rsidR="001A0723">
        <w:rPr>
          <w:b/>
        </w:rPr>
        <w:t>’</w:t>
      </w:r>
      <w:r w:rsidRPr="00797756">
        <w:rPr>
          <w:b/>
        </w:rPr>
        <w:t>atténuation de visibilité est correctement réglé.</w:t>
      </w:r>
    </w:p>
    <w:p w:rsidR="00797756" w:rsidRPr="00797756" w:rsidRDefault="00797756" w:rsidP="00CC18C2">
      <w:pPr>
        <w:pStyle w:val="SingleTxtG"/>
        <w:jc w:val="left"/>
        <w:rPr>
          <w:b/>
        </w:rPr>
      </w:pPr>
      <w:r w:rsidRPr="00797756">
        <w:rPr>
          <w:b/>
        </w:rPr>
        <w:t>Figure 5.1</w:t>
      </w:r>
      <w:r w:rsidR="00CC18C2">
        <w:rPr>
          <w:b/>
        </w:rPr>
        <w:br/>
      </w:r>
      <w:r w:rsidRPr="00797756">
        <w:rPr>
          <w:b/>
          <w:lang w:val="fr-FR"/>
        </w:rPr>
        <w:t>Appareillage de mesurage de l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atténuation de visibilité</w:t>
      </w:r>
    </w:p>
    <w:p w:rsidR="00797756" w:rsidRPr="00797756" w:rsidRDefault="00CC18C2" w:rsidP="00046D19">
      <w:pPr>
        <w:pStyle w:val="SingleTxtG"/>
        <w:spacing w:after="240"/>
      </w:pPr>
      <w:r w:rsidRPr="00797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35238" wp14:editId="4CE618BE">
                <wp:simplePos x="0" y="0"/>
                <wp:positionH relativeFrom="column">
                  <wp:posOffset>3051810</wp:posOffset>
                </wp:positionH>
                <wp:positionV relativeFrom="paragraph">
                  <wp:posOffset>1936750</wp:posOffset>
                </wp:positionV>
                <wp:extent cx="1751838" cy="353325"/>
                <wp:effectExtent l="0" t="0" r="1270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838" cy="3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3" w:rsidRPr="00D90CCF" w:rsidRDefault="001A0723" w:rsidP="00CC18C2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Les lignes en pointillé montrent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la position de l’étalon de réflexion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pour la mesure de la transmission totale.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3pt;margin-top:152.5pt;width:137.95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" stroked="f">
                <v:textbox inset="0,0,0,0">
                  <w:txbxContent>
                    <w:p w:rsidR="001A0723" w:rsidRPr="00D90CCF" w:rsidRDefault="001A0723" w:rsidP="00CC18C2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Les lignes en pointillé montrent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la position de l’étalon de réflexion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pour la mesure de la transmission totale.</w:t>
                      </w:r>
                    </w:p>
                  </w:txbxContent>
                </v:textbox>
              </v:shape>
            </w:pict>
          </mc:Fallback>
        </mc:AlternateContent>
      </w:r>
      <w:r w:rsidRPr="00797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0082B" wp14:editId="4356169D">
                <wp:simplePos x="0" y="0"/>
                <wp:positionH relativeFrom="column">
                  <wp:posOffset>2264410</wp:posOffset>
                </wp:positionH>
                <wp:positionV relativeFrom="paragraph">
                  <wp:posOffset>150495</wp:posOffset>
                </wp:positionV>
                <wp:extent cx="575310" cy="304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3" w:rsidRPr="00A57437" w:rsidRDefault="001A0723" w:rsidP="00CC18C2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Ouverture d’entrée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3pt;margin-top:11.85pt;width:45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" stroked="f">
                <v:textbox inset="0,0,0,0">
                  <w:txbxContent>
                    <w:p w:rsidR="001A0723" w:rsidRPr="00A57437" w:rsidRDefault="001A0723" w:rsidP="00CC18C2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Ouverture d’entrée</w:t>
                      </w:r>
                    </w:p>
                  </w:txbxContent>
                </v:textbox>
              </v:shape>
            </w:pict>
          </mc:Fallback>
        </mc:AlternateContent>
      </w:r>
      <w:r w:rsidRPr="00797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E5954" wp14:editId="33A5D29E">
                <wp:simplePos x="0" y="0"/>
                <wp:positionH relativeFrom="column">
                  <wp:posOffset>4035425</wp:posOffset>
                </wp:positionH>
                <wp:positionV relativeFrom="paragraph">
                  <wp:posOffset>17145</wp:posOffset>
                </wp:positionV>
                <wp:extent cx="800100" cy="2082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3" w:rsidRPr="00A57437" w:rsidRDefault="001A0723" w:rsidP="00797756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Photodétecteur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7.75pt;margin-top:1.35pt;width:63pt;height:16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" stroked="f">
                <v:textbox style="mso-fit-shape-to-text:t" inset="0,0,0,0">
                  <w:txbxContent>
                    <w:p w:rsidR="001A0723" w:rsidRPr="00A57437" w:rsidRDefault="001A0723" w:rsidP="00797756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Photodétecteur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97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DCED6" wp14:editId="0A44E6F9">
                <wp:simplePos x="0" y="0"/>
                <wp:positionH relativeFrom="column">
                  <wp:posOffset>3903345</wp:posOffset>
                </wp:positionH>
                <wp:positionV relativeFrom="paragraph">
                  <wp:posOffset>1764665</wp:posOffset>
                </wp:positionV>
                <wp:extent cx="1168400" cy="2082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3" w:rsidRPr="00A57437" w:rsidRDefault="001A0723" w:rsidP="00797756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Étalon de réflexion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7.35pt;margin-top:138.95pt;width:92pt;height:16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" stroked="f">
                <v:textbox style="mso-fit-shape-to-text:t" inset="0,0,0,0">
                  <w:txbxContent>
                    <w:p w:rsidR="001A0723" w:rsidRPr="00A57437" w:rsidRDefault="001A0723" w:rsidP="00797756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Étalon de réflexion</w:t>
                      </w:r>
                    </w:p>
                  </w:txbxContent>
                </v:textbox>
              </v:shape>
            </w:pict>
          </mc:Fallback>
        </mc:AlternateContent>
      </w:r>
      <w:r w:rsidRPr="00797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DA245" wp14:editId="7326F34D">
                <wp:simplePos x="0" y="0"/>
                <wp:positionH relativeFrom="column">
                  <wp:posOffset>3160395</wp:posOffset>
                </wp:positionH>
                <wp:positionV relativeFrom="paragraph">
                  <wp:posOffset>1598930</wp:posOffset>
                </wp:positionV>
                <wp:extent cx="575310" cy="2082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3" w:rsidRPr="00A57437" w:rsidRDefault="001A0723" w:rsidP="00797756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Échantillon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8.85pt;margin-top:125.9pt;width:45.3pt;height:16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" stroked="f">
                <v:textbox style="mso-fit-shape-to-text:t" inset="0,0,0,0">
                  <w:txbxContent>
                    <w:p w:rsidR="001A0723" w:rsidRPr="00A57437" w:rsidRDefault="001A0723" w:rsidP="00797756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Échantillon</w:t>
                      </w:r>
                    </w:p>
                  </w:txbxContent>
                </v:textbox>
              </v:shape>
            </w:pict>
          </mc:Fallback>
        </mc:AlternateContent>
      </w:r>
      <w:r w:rsidRPr="00797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0C0B1" wp14:editId="0CFD198D">
                <wp:simplePos x="0" y="0"/>
                <wp:positionH relativeFrom="column">
                  <wp:posOffset>2147570</wp:posOffset>
                </wp:positionH>
                <wp:positionV relativeFrom="paragraph">
                  <wp:posOffset>1661160</wp:posOffset>
                </wp:positionV>
                <wp:extent cx="575310" cy="2082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3" w:rsidRPr="00A57437" w:rsidRDefault="001A0723" w:rsidP="00797756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Ouverture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9.1pt;margin-top:130.8pt;width:45.3pt;height:1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" stroked="f">
                <v:textbox style="mso-fit-shape-to-text:t" inset="0,0,0,0">
                  <w:txbxContent>
                    <w:p w:rsidR="001A0723" w:rsidRPr="00A57437" w:rsidRDefault="001A0723" w:rsidP="00797756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Ouverture</w:t>
                      </w:r>
                    </w:p>
                  </w:txbxContent>
                </v:textbox>
              </v:shape>
            </w:pict>
          </mc:Fallback>
        </mc:AlternateContent>
      </w:r>
      <w:r w:rsidRPr="00797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9E221" wp14:editId="2FF4F6C3">
                <wp:simplePos x="0" y="0"/>
                <wp:positionH relativeFrom="column">
                  <wp:posOffset>1102360</wp:posOffset>
                </wp:positionH>
                <wp:positionV relativeFrom="paragraph">
                  <wp:posOffset>1539240</wp:posOffset>
                </wp:positionV>
                <wp:extent cx="440055" cy="2082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3" w:rsidRPr="00A57437" w:rsidRDefault="001A0723" w:rsidP="00797756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Source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6.8pt;margin-top:121.2pt;width:34.65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" stroked="f">
                <v:textbox style="mso-fit-shape-to-text:t" inset="0,0,0,0">
                  <w:txbxContent>
                    <w:p w:rsidR="001A0723" w:rsidRPr="00A57437" w:rsidRDefault="001A0723" w:rsidP="00797756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Pr="00797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B6A75" wp14:editId="421FFF9E">
                <wp:simplePos x="0" y="0"/>
                <wp:positionH relativeFrom="column">
                  <wp:posOffset>1282065</wp:posOffset>
                </wp:positionH>
                <wp:positionV relativeFrom="paragraph">
                  <wp:posOffset>444500</wp:posOffset>
                </wp:positionV>
                <wp:extent cx="575310" cy="208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3" w:rsidRPr="00A57437" w:rsidRDefault="001A0723" w:rsidP="00797756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Condenseur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0.95pt;margin-top:35pt;width:45.3pt;height:16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" stroked="f">
                <v:textbox style="mso-fit-shape-to-text:t" inset="0,0,0,0">
                  <w:txbxContent>
                    <w:p w:rsidR="001A0723" w:rsidRPr="00A57437" w:rsidRDefault="001A0723" w:rsidP="00797756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Condenseur</w:t>
                      </w:r>
                    </w:p>
                  </w:txbxContent>
                </v:textbox>
              </v:shape>
            </w:pict>
          </mc:Fallback>
        </mc:AlternateContent>
      </w:r>
      <w:r w:rsidRPr="00797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E2690" wp14:editId="2E3A5E2C">
                <wp:simplePos x="0" y="0"/>
                <wp:positionH relativeFrom="column">
                  <wp:posOffset>4541520</wp:posOffset>
                </wp:positionH>
                <wp:positionV relativeFrom="paragraph">
                  <wp:posOffset>197485</wp:posOffset>
                </wp:positionV>
                <wp:extent cx="475464" cy="307848"/>
                <wp:effectExtent l="0" t="0" r="127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64" cy="307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3" w:rsidRPr="00A57437" w:rsidRDefault="001A0723" w:rsidP="00CC18C2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Pièce à lumière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7.6pt;margin-top:15.55pt;width:37.45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" stroked="f">
                <v:textbox inset="0,0,0,0">
                  <w:txbxContent>
                    <w:p w:rsidR="001A0723" w:rsidRPr="00A57437" w:rsidRDefault="001A0723" w:rsidP="00CC18C2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Pièce à lumière</w:t>
                      </w:r>
                    </w:p>
                  </w:txbxContent>
                </v:textbox>
              </v:shape>
            </w:pict>
          </mc:Fallback>
        </mc:AlternateContent>
      </w:r>
      <w:r w:rsidR="00797756" w:rsidRPr="00797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B7B21" wp14:editId="54EF5CDB">
                <wp:simplePos x="0" y="0"/>
                <wp:positionH relativeFrom="column">
                  <wp:posOffset>3033712</wp:posOffset>
                </wp:positionH>
                <wp:positionV relativeFrom="paragraph">
                  <wp:posOffset>1346835</wp:posOffset>
                </wp:positionV>
                <wp:extent cx="461645" cy="20828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3" w:rsidRPr="00A57437" w:rsidRDefault="001A0723" w:rsidP="00797756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Lentille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8.85pt;margin-top:106.05pt;width:36.35pt;height:16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" stroked="f">
                <v:textbox style="mso-fit-shape-to-text:t" inset="0,0,0,0">
                  <w:txbxContent>
                    <w:p w:rsidR="001A0723" w:rsidRPr="00A57437" w:rsidRDefault="001A0723" w:rsidP="00797756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Lentille</w:t>
                      </w:r>
                    </w:p>
                  </w:txbxContent>
                </v:textbox>
              </v:shape>
            </w:pict>
          </mc:Fallback>
        </mc:AlternateContent>
      </w:r>
      <w:r w:rsidR="00797756" w:rsidRPr="00797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A1C6A" wp14:editId="4DB10D10">
                <wp:simplePos x="0" y="0"/>
                <wp:positionH relativeFrom="column">
                  <wp:posOffset>3572933</wp:posOffset>
                </wp:positionH>
                <wp:positionV relativeFrom="paragraph">
                  <wp:posOffset>261620</wp:posOffset>
                </wp:positionV>
                <wp:extent cx="359410" cy="208280"/>
                <wp:effectExtent l="0" t="0" r="254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3" w:rsidRPr="00A57437" w:rsidRDefault="001A0723" w:rsidP="00797756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Filtre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1.35pt;margin-top:20.6pt;width:28.3pt;height:16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" stroked="f">
                <v:textbox style="mso-fit-shape-to-text:t" inset="1mm,1mm,1mm,1mm">
                  <w:txbxContent>
                    <w:p w:rsidR="001A0723" w:rsidRPr="00A57437" w:rsidRDefault="001A0723" w:rsidP="00797756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Filtre</w:t>
                      </w:r>
                    </w:p>
                  </w:txbxContent>
                </v:textbox>
              </v:shape>
            </w:pict>
          </mc:Fallback>
        </mc:AlternateContent>
      </w:r>
      <w:r w:rsidR="00797756" w:rsidRPr="00797756">
        <w:rPr>
          <w:noProof/>
          <w:lang w:eastAsia="fr-CH"/>
        </w:rPr>
        <w:drawing>
          <wp:inline distT="0" distB="0" distL="0" distR="0" wp14:anchorId="1C4EF0B6" wp14:editId="1B753E0D">
            <wp:extent cx="4457700" cy="2428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56" w:rsidRPr="00046D19" w:rsidRDefault="00797756" w:rsidP="00A408E6">
      <w:pPr>
        <w:pStyle w:val="SingleTxtG"/>
        <w:ind w:left="2268" w:hanging="1134"/>
        <w:rPr>
          <w:strike/>
        </w:rPr>
      </w:pPr>
      <w:r w:rsidRPr="008E599E">
        <w:t>4.1.5</w:t>
      </w:r>
      <w:r w:rsidRPr="00797756">
        <w:rPr>
          <w:b/>
        </w:rPr>
        <w:tab/>
      </w:r>
      <w:r w:rsidRPr="00046D19">
        <w:rPr>
          <w:strike/>
        </w:rPr>
        <w:t>Appareil de mesurage de la lumière diffuse (voir fig.</w:t>
      </w:r>
      <w:r w:rsidR="00046D19" w:rsidRPr="00046D19">
        <w:rPr>
          <w:strike/>
        </w:rPr>
        <w:t> </w:t>
      </w:r>
      <w:r w:rsidRPr="00046D19">
        <w:rPr>
          <w:strike/>
        </w:rPr>
        <w:t>5), consistant en une cellule photoélectrique avec une sphère d</w:t>
      </w:r>
      <w:r w:rsidR="001A0723">
        <w:rPr>
          <w:strike/>
        </w:rPr>
        <w:t>’</w:t>
      </w:r>
      <w:r w:rsidRPr="00046D19">
        <w:rPr>
          <w:strike/>
        </w:rPr>
        <w:t>intégration d</w:t>
      </w:r>
      <w:r w:rsidR="001A0723">
        <w:rPr>
          <w:strike/>
        </w:rPr>
        <w:t>’</w:t>
      </w:r>
      <w:r w:rsidRPr="00046D19">
        <w:rPr>
          <w:strike/>
        </w:rPr>
        <w:t>un diamètre de 200 à 250 mm</w:t>
      </w:r>
      <w:r w:rsidR="007F6572">
        <w:rPr>
          <w:strike/>
        </w:rPr>
        <w:t> </w:t>
      </w:r>
      <w:r w:rsidRPr="00046D19">
        <w:rPr>
          <w:strike/>
        </w:rPr>
        <w:t>; la sphère doit être munie d</w:t>
      </w:r>
      <w:r w:rsidR="001A0723">
        <w:rPr>
          <w:strike/>
        </w:rPr>
        <w:t>’</w:t>
      </w:r>
      <w:r w:rsidRPr="00046D19">
        <w:rPr>
          <w:strike/>
        </w:rPr>
        <w:t>ouvertures d</w:t>
      </w:r>
      <w:r w:rsidR="001A0723">
        <w:rPr>
          <w:strike/>
        </w:rPr>
        <w:t>’</w:t>
      </w:r>
      <w:r w:rsidRPr="00046D19">
        <w:rPr>
          <w:strike/>
        </w:rPr>
        <w:t>entrée et de sortie de la lumière. L</w:t>
      </w:r>
      <w:r w:rsidR="001A0723">
        <w:rPr>
          <w:strike/>
        </w:rPr>
        <w:t>’</w:t>
      </w:r>
      <w:r w:rsidRPr="00046D19">
        <w:rPr>
          <w:strike/>
        </w:rPr>
        <w:t>ouverture d</w:t>
      </w:r>
      <w:r w:rsidR="001A0723">
        <w:rPr>
          <w:strike/>
        </w:rPr>
        <w:t>’</w:t>
      </w:r>
      <w:r w:rsidRPr="00046D19">
        <w:rPr>
          <w:strike/>
        </w:rPr>
        <w:t>entrée doit être circulaire et son diamètre doit être d</w:t>
      </w:r>
      <w:r w:rsidR="001A0723">
        <w:rPr>
          <w:strike/>
        </w:rPr>
        <w:t>’</w:t>
      </w:r>
      <w:r w:rsidRPr="00046D19">
        <w:rPr>
          <w:strike/>
        </w:rPr>
        <w:t>au moins le double de celui du faisceau lumineux. L</w:t>
      </w:r>
      <w:r w:rsidR="001A0723">
        <w:rPr>
          <w:strike/>
        </w:rPr>
        <w:t>’</w:t>
      </w:r>
      <w:r w:rsidRPr="00046D19">
        <w:rPr>
          <w:strike/>
        </w:rPr>
        <w:t>ouverture de sortie de sphère doit être équipée soit d</w:t>
      </w:r>
      <w:r w:rsidR="001A0723">
        <w:rPr>
          <w:strike/>
        </w:rPr>
        <w:t>’</w:t>
      </w:r>
      <w:r w:rsidRPr="00046D19">
        <w:rPr>
          <w:strike/>
        </w:rPr>
        <w:t>un piège à lumière, soit d</w:t>
      </w:r>
      <w:r w:rsidR="001A0723">
        <w:rPr>
          <w:strike/>
        </w:rPr>
        <w:t>’</w:t>
      </w:r>
      <w:r w:rsidRPr="00046D19">
        <w:rPr>
          <w:strike/>
        </w:rPr>
        <w:t>un étalon de réflexion, selon le mode opératoire spécifié en 4.4.3. Le piège à lumière doit absorber toute la lumière lorsque aucune éprouvette n</w:t>
      </w:r>
      <w:r w:rsidR="001A0723">
        <w:rPr>
          <w:strike/>
        </w:rPr>
        <w:t>’</w:t>
      </w:r>
      <w:r w:rsidRPr="00046D19">
        <w:rPr>
          <w:strike/>
        </w:rPr>
        <w:t>est placée sur le trajet du faisceau lumineux.</w:t>
      </w:r>
    </w:p>
    <w:p w:rsidR="00797756" w:rsidRPr="00046D19" w:rsidRDefault="00797756" w:rsidP="00046D19">
      <w:pPr>
        <w:pStyle w:val="SingleTxtG"/>
        <w:ind w:left="2268"/>
        <w:rPr>
          <w:strike/>
        </w:rPr>
      </w:pPr>
      <w:r w:rsidRPr="00046D19">
        <w:rPr>
          <w:strike/>
        </w:rPr>
        <w:tab/>
        <w:t>L</w:t>
      </w:r>
      <w:r w:rsidR="001A0723">
        <w:rPr>
          <w:strike/>
        </w:rPr>
        <w:t>’</w:t>
      </w:r>
      <w:r w:rsidRPr="00046D19">
        <w:rPr>
          <w:strike/>
        </w:rPr>
        <w:t>axe du faisceau lumineux doit passer par le centre des ouvertures d</w:t>
      </w:r>
      <w:r w:rsidR="001A0723">
        <w:rPr>
          <w:strike/>
        </w:rPr>
        <w:t>’</w:t>
      </w:r>
      <w:r w:rsidRPr="00046D19">
        <w:rPr>
          <w:strike/>
        </w:rPr>
        <w:t>entrée et de sortie. Le diamètre de l</w:t>
      </w:r>
      <w:r w:rsidR="001A0723">
        <w:rPr>
          <w:strike/>
        </w:rPr>
        <w:t>’</w:t>
      </w:r>
      <w:r w:rsidRPr="00046D19">
        <w:rPr>
          <w:strike/>
        </w:rPr>
        <w:t>ouverture de sortie, b), doit être égal à 2 a tg 4°, a étant le diamètre de la sphère. La cellule photoélectrique doit être placée de manière qu</w:t>
      </w:r>
      <w:r w:rsidR="001A0723">
        <w:rPr>
          <w:strike/>
        </w:rPr>
        <w:t>’</w:t>
      </w:r>
      <w:r w:rsidRPr="00046D19">
        <w:rPr>
          <w:strike/>
        </w:rPr>
        <w:t>elle ne puisse être atteinte par la lumière provenant directement de l</w:t>
      </w:r>
      <w:r w:rsidR="001A0723">
        <w:rPr>
          <w:strike/>
        </w:rPr>
        <w:t>’</w:t>
      </w:r>
      <w:r w:rsidRPr="00046D19">
        <w:rPr>
          <w:strike/>
        </w:rPr>
        <w:t>ouverture d</w:t>
      </w:r>
      <w:r w:rsidR="001A0723">
        <w:rPr>
          <w:strike/>
        </w:rPr>
        <w:t>’</w:t>
      </w:r>
      <w:r w:rsidRPr="00046D19">
        <w:rPr>
          <w:strike/>
        </w:rPr>
        <w:t>entrée, ou de l</w:t>
      </w:r>
      <w:r w:rsidR="001A0723">
        <w:rPr>
          <w:strike/>
        </w:rPr>
        <w:t>’</w:t>
      </w:r>
      <w:r w:rsidRPr="00046D19">
        <w:rPr>
          <w:strike/>
        </w:rPr>
        <w:t>étalon de réflexion.</w:t>
      </w:r>
    </w:p>
    <w:p w:rsidR="00797756" w:rsidRPr="00046D19" w:rsidRDefault="00797756" w:rsidP="00046D19">
      <w:pPr>
        <w:pStyle w:val="SingleTxtG"/>
        <w:ind w:left="2268"/>
        <w:rPr>
          <w:strike/>
        </w:rPr>
      </w:pPr>
      <w:r w:rsidRPr="00046D19">
        <w:rPr>
          <w:strike/>
        </w:rPr>
        <w:tab/>
        <w:t>Les surfaces intérieures de la sphère d</w:t>
      </w:r>
      <w:r w:rsidR="001A0723">
        <w:rPr>
          <w:strike/>
        </w:rPr>
        <w:t>’</w:t>
      </w:r>
      <w:r w:rsidRPr="00046D19">
        <w:rPr>
          <w:strike/>
        </w:rPr>
        <w:t>intégration et de l</w:t>
      </w:r>
      <w:r w:rsidR="001A0723">
        <w:rPr>
          <w:strike/>
        </w:rPr>
        <w:t>’</w:t>
      </w:r>
      <w:r w:rsidRPr="00046D19">
        <w:rPr>
          <w:strike/>
        </w:rPr>
        <w:t>étalon de réflexion doivent présenter des factures de réflexion pratiquement égales</w:t>
      </w:r>
      <w:r w:rsidR="007F6572">
        <w:rPr>
          <w:strike/>
        </w:rPr>
        <w:t> </w:t>
      </w:r>
      <w:r w:rsidRPr="00046D19">
        <w:rPr>
          <w:strike/>
        </w:rPr>
        <w:t xml:space="preserve">; elles doivent être mates et non sélectives. </w:t>
      </w:r>
    </w:p>
    <w:p w:rsidR="00797756" w:rsidRPr="00046D19" w:rsidRDefault="00797756" w:rsidP="00046D19">
      <w:pPr>
        <w:pStyle w:val="SingleTxtG"/>
        <w:ind w:left="2268"/>
        <w:rPr>
          <w:strike/>
        </w:rPr>
      </w:pPr>
      <w:r w:rsidRPr="00046D19">
        <w:rPr>
          <w:strike/>
        </w:rPr>
        <w:tab/>
        <w:t>Le signal de sortie de la cellule photoélectrique doit être linéaire à ±2 % dans la gamme d</w:t>
      </w:r>
      <w:r w:rsidR="001A0723">
        <w:rPr>
          <w:strike/>
        </w:rPr>
        <w:t>’</w:t>
      </w:r>
      <w:r w:rsidRPr="00046D19">
        <w:rPr>
          <w:strike/>
        </w:rPr>
        <w:t>intensités lumineuses utilisée. La réalisation de l</w:t>
      </w:r>
      <w:r w:rsidR="001A0723">
        <w:rPr>
          <w:strike/>
        </w:rPr>
        <w:t>’</w:t>
      </w:r>
      <w:r w:rsidRPr="00046D19">
        <w:rPr>
          <w:strike/>
        </w:rPr>
        <w:t xml:space="preserve">appareil doit </w:t>
      </w:r>
      <w:r w:rsidRPr="00046D19">
        <w:rPr>
          <w:strike/>
        </w:rPr>
        <w:lastRenderedPageBreak/>
        <w:t>être telle qu</w:t>
      </w:r>
      <w:r w:rsidR="001A0723">
        <w:rPr>
          <w:strike/>
        </w:rPr>
        <w:t>’</w:t>
      </w:r>
      <w:r w:rsidRPr="00046D19">
        <w:rPr>
          <w:strike/>
        </w:rPr>
        <w:t>aucune déviation de l</w:t>
      </w:r>
      <w:r w:rsidR="001A0723">
        <w:rPr>
          <w:strike/>
        </w:rPr>
        <w:t>’</w:t>
      </w:r>
      <w:r w:rsidRPr="00046D19">
        <w:rPr>
          <w:strike/>
        </w:rPr>
        <w:t>aiguille du galvanomètre ne se produise lorsque la sphère n</w:t>
      </w:r>
      <w:r w:rsidR="001A0723">
        <w:rPr>
          <w:strike/>
        </w:rPr>
        <w:t>’</w:t>
      </w:r>
      <w:r w:rsidRPr="00046D19">
        <w:rPr>
          <w:strike/>
        </w:rPr>
        <w:t>est pas éclairée.</w:t>
      </w:r>
    </w:p>
    <w:p w:rsidR="00797756" w:rsidRPr="00046D19" w:rsidRDefault="00797756" w:rsidP="00046D19">
      <w:pPr>
        <w:pStyle w:val="SingleTxtG"/>
        <w:ind w:left="2268"/>
        <w:rPr>
          <w:strike/>
        </w:rPr>
      </w:pPr>
      <w:r w:rsidRPr="00046D19">
        <w:rPr>
          <w:strike/>
        </w:rPr>
        <w:tab/>
        <w:t>L</w:t>
      </w:r>
      <w:r w:rsidR="001A0723">
        <w:rPr>
          <w:strike/>
        </w:rPr>
        <w:t>’</w:t>
      </w:r>
      <w:r w:rsidRPr="00046D19">
        <w:rPr>
          <w:strike/>
        </w:rPr>
        <w:t>ensemble de l</w:t>
      </w:r>
      <w:r w:rsidR="001A0723">
        <w:rPr>
          <w:strike/>
        </w:rPr>
        <w:t>’</w:t>
      </w:r>
      <w:r w:rsidRPr="00046D19">
        <w:rPr>
          <w:strike/>
        </w:rPr>
        <w:t>appareillage doit être vérifié à intervalles réguliers au moyen des étalons calibrés d</w:t>
      </w:r>
      <w:r w:rsidR="001A0723">
        <w:rPr>
          <w:strike/>
        </w:rPr>
        <w:t>’</w:t>
      </w:r>
      <w:r w:rsidRPr="00046D19">
        <w:rPr>
          <w:strike/>
        </w:rPr>
        <w:t>atténuation de visibilité.</w:t>
      </w:r>
    </w:p>
    <w:p w:rsidR="00046D19" w:rsidRDefault="00797756" w:rsidP="00046D19">
      <w:pPr>
        <w:pStyle w:val="SingleTxtG"/>
        <w:ind w:left="2268"/>
        <w:rPr>
          <w:strike/>
        </w:rPr>
      </w:pPr>
      <w:r w:rsidRPr="00046D19">
        <w:rPr>
          <w:strike/>
        </w:rPr>
        <w:tab/>
        <w:t>Si on effectue des mesurages d</w:t>
      </w:r>
      <w:r w:rsidR="001A0723">
        <w:rPr>
          <w:strike/>
        </w:rPr>
        <w:t>’</w:t>
      </w:r>
      <w:r w:rsidRPr="00046D19">
        <w:rPr>
          <w:strike/>
        </w:rPr>
        <w:t>atténuation de la visibilité avec un appareillage ou selon des méthodes différant de l</w:t>
      </w:r>
      <w:r w:rsidR="001A0723">
        <w:rPr>
          <w:strike/>
        </w:rPr>
        <w:t>’</w:t>
      </w:r>
      <w:r w:rsidRPr="00046D19">
        <w:rPr>
          <w:strike/>
        </w:rPr>
        <w:t>appareillage et de la méthode décrite ci-dessus, les résultats doivent être corrigés en cas de besoin pour les mettre en accord avec les résultats qui sont obtenus avec l</w:t>
      </w:r>
      <w:r w:rsidR="001A0723">
        <w:rPr>
          <w:strike/>
        </w:rPr>
        <w:t>’</w:t>
      </w:r>
      <w:r w:rsidRPr="00046D19">
        <w:rPr>
          <w:strike/>
        </w:rPr>
        <w:t xml:space="preserve">appareil de mesurage décrit ci-dessus. </w:t>
      </w:r>
    </w:p>
    <w:p w:rsidR="00797756" w:rsidRPr="00797756" w:rsidRDefault="00797756" w:rsidP="00046D19">
      <w:pPr>
        <w:pStyle w:val="SingleTxtG"/>
        <w:ind w:left="2268"/>
        <w:rPr>
          <w:b/>
        </w:rPr>
      </w:pPr>
      <w:r w:rsidRPr="00797756">
        <w:rPr>
          <w:b/>
        </w:rPr>
        <w:t>Support d</w:t>
      </w:r>
      <w:r w:rsidR="001A0723">
        <w:rPr>
          <w:b/>
        </w:rPr>
        <w:t>’</w:t>
      </w:r>
      <w:r w:rsidRPr="00797756">
        <w:rPr>
          <w:b/>
        </w:rPr>
        <w:t>éprouvette</w:t>
      </w:r>
    </w:p>
    <w:p w:rsidR="00797756" w:rsidRPr="00797756" w:rsidRDefault="00797756" w:rsidP="00046D19">
      <w:pPr>
        <w:pStyle w:val="SingleTxtG"/>
        <w:ind w:left="2268"/>
        <w:rPr>
          <w:b/>
        </w:rPr>
      </w:pPr>
      <w:r w:rsidRPr="00797756">
        <w:rPr>
          <w:b/>
        </w:rPr>
        <w:t>On doit utiliser un support adapté pour positionner l</w:t>
      </w:r>
      <w:r w:rsidR="001A0723">
        <w:rPr>
          <w:b/>
        </w:rPr>
        <w:t>’</w:t>
      </w:r>
      <w:r w:rsidRPr="00797756">
        <w:rPr>
          <w:b/>
        </w:rPr>
        <w:t>éprouvette d</w:t>
      </w:r>
      <w:r w:rsidR="001A0723">
        <w:rPr>
          <w:b/>
        </w:rPr>
        <w:t>’</w:t>
      </w:r>
      <w:r w:rsidRPr="00797756">
        <w:rPr>
          <w:b/>
        </w:rPr>
        <w:t>essai sur l</w:t>
      </w:r>
      <w:r w:rsidR="001A0723">
        <w:rPr>
          <w:b/>
        </w:rPr>
        <w:t>’</w:t>
      </w:r>
      <w:r w:rsidRPr="00797756">
        <w:rPr>
          <w:b/>
        </w:rPr>
        <w:t>appareil de mesurage de l</w:t>
      </w:r>
      <w:r w:rsidR="001A0723">
        <w:rPr>
          <w:b/>
        </w:rPr>
        <w:t>’</w:t>
      </w:r>
      <w:r w:rsidRPr="00797756">
        <w:rPr>
          <w:b/>
        </w:rPr>
        <w:t>atténuation de visibilité de sorte que le faisceau lumineux soit centré par rapport à la piste soumise à l</w:t>
      </w:r>
      <w:r w:rsidR="001A0723">
        <w:rPr>
          <w:b/>
        </w:rPr>
        <w:t>’</w:t>
      </w:r>
      <w:r w:rsidRPr="00797756">
        <w:rPr>
          <w:b/>
        </w:rPr>
        <w:t>abrasion et que l</w:t>
      </w:r>
      <w:r w:rsidR="001A0723">
        <w:rPr>
          <w:b/>
        </w:rPr>
        <w:t>’</w:t>
      </w:r>
      <w:r w:rsidRPr="00797756">
        <w:rPr>
          <w:b/>
        </w:rPr>
        <w:t>éprouvette soit alignée par rapport à l</w:t>
      </w:r>
      <w:r w:rsidR="001A0723">
        <w:rPr>
          <w:b/>
        </w:rPr>
        <w:t>’</w:t>
      </w:r>
      <w:r w:rsidRPr="00797756">
        <w:rPr>
          <w:b/>
        </w:rPr>
        <w:t>orifice de mesure.</w:t>
      </w:r>
    </w:p>
    <w:p w:rsidR="00797756" w:rsidRPr="00797756" w:rsidRDefault="00797756" w:rsidP="00046D19">
      <w:pPr>
        <w:pStyle w:val="SingleTxtG"/>
        <w:ind w:left="2268"/>
        <w:rPr>
          <w:b/>
        </w:rPr>
      </w:pPr>
      <w:r w:rsidRPr="00797756">
        <w:rPr>
          <w:b/>
        </w:rPr>
        <w:t>Avant de procéder aux mesures initiales de l</w:t>
      </w:r>
      <w:r w:rsidR="001A0723">
        <w:rPr>
          <w:b/>
        </w:rPr>
        <w:t>’</w:t>
      </w:r>
      <w:r w:rsidRPr="00797756">
        <w:rPr>
          <w:b/>
        </w:rPr>
        <w:t>atténuation de visibilité, étalonner l</w:t>
      </w:r>
      <w:r w:rsidR="001A0723">
        <w:rPr>
          <w:b/>
        </w:rPr>
        <w:t>’</w:t>
      </w:r>
      <w:r w:rsidRPr="00797756">
        <w:rPr>
          <w:b/>
        </w:rPr>
        <w:t>appareil avec le support mais sans</w:t>
      </w:r>
      <w:r w:rsidR="007F6572">
        <w:rPr>
          <w:b/>
        </w:rPr>
        <w:t xml:space="preserve"> </w:t>
      </w:r>
      <w:r w:rsidRPr="00797756">
        <w:rPr>
          <w:b/>
        </w:rPr>
        <w:t>l</w:t>
      </w:r>
      <w:r w:rsidR="001A0723">
        <w:rPr>
          <w:b/>
        </w:rPr>
        <w:t>’</w:t>
      </w:r>
      <w:r w:rsidRPr="00797756">
        <w:rPr>
          <w:b/>
        </w:rPr>
        <w:t>éprouvette et s</w:t>
      </w:r>
      <w:r w:rsidR="001A0723">
        <w:rPr>
          <w:b/>
        </w:rPr>
        <w:t>’</w:t>
      </w:r>
      <w:r w:rsidRPr="00797756">
        <w:rPr>
          <w:b/>
        </w:rPr>
        <w:t>assurer que la valeur obtenue est nulle.</w:t>
      </w:r>
    </w:p>
    <w:p w:rsidR="00797756" w:rsidRPr="00797756" w:rsidRDefault="00797756" w:rsidP="00046D19">
      <w:pPr>
        <w:pStyle w:val="SingleTxtG"/>
        <w:ind w:left="2268"/>
        <w:rPr>
          <w:b/>
        </w:rPr>
      </w:pPr>
      <w:r w:rsidRPr="00797756">
        <w:rPr>
          <w:b/>
        </w:rPr>
        <w:t>L</w:t>
      </w:r>
      <w:r w:rsidR="001A0723">
        <w:rPr>
          <w:b/>
        </w:rPr>
        <w:t>’</w:t>
      </w:r>
      <w:r w:rsidRPr="00797756">
        <w:rPr>
          <w:b/>
        </w:rPr>
        <w:t>atténuation de visibilité de l</w:t>
      </w:r>
      <w:r w:rsidR="001A0723">
        <w:rPr>
          <w:b/>
        </w:rPr>
        <w:t>’</w:t>
      </w:r>
      <w:r w:rsidRPr="00797756">
        <w:rPr>
          <w:b/>
        </w:rPr>
        <w:t>ensemble de l</w:t>
      </w:r>
      <w:r w:rsidR="001A0723">
        <w:rPr>
          <w:b/>
        </w:rPr>
        <w:t>’</w:t>
      </w:r>
      <w:r w:rsidRPr="00797756">
        <w:rPr>
          <w:b/>
        </w:rPr>
        <w:t>appareillage doit être contrôlée à intervalles réguliers à l</w:t>
      </w:r>
      <w:r w:rsidR="001A0723">
        <w:rPr>
          <w:b/>
        </w:rPr>
        <w:t>’</w:t>
      </w:r>
      <w:r w:rsidRPr="00797756">
        <w:rPr>
          <w:b/>
        </w:rPr>
        <w:t>aide d</w:t>
      </w:r>
      <w:r w:rsidR="001A0723">
        <w:rPr>
          <w:b/>
        </w:rPr>
        <w:t>’</w:t>
      </w:r>
      <w:r w:rsidRPr="00797756">
        <w:rPr>
          <w:b/>
        </w:rPr>
        <w:t>étalons.</w:t>
      </w:r>
    </w:p>
    <w:p w:rsidR="00797756" w:rsidRPr="00797756" w:rsidRDefault="00797756" w:rsidP="00046D19">
      <w:pPr>
        <w:pStyle w:val="SingleTxtG"/>
        <w:ind w:left="2268"/>
      </w:pPr>
      <w:r w:rsidRPr="00797756">
        <w:rPr>
          <w:b/>
        </w:rPr>
        <w:t>Si les mesures de l</w:t>
      </w:r>
      <w:r w:rsidR="001A0723">
        <w:rPr>
          <w:b/>
        </w:rPr>
        <w:t>’</w:t>
      </w:r>
      <w:r w:rsidRPr="00797756">
        <w:rPr>
          <w:b/>
        </w:rPr>
        <w:t>atténuation de visibilité sont réalisées au moyen d</w:t>
      </w:r>
      <w:r w:rsidR="001A0723">
        <w:rPr>
          <w:b/>
        </w:rPr>
        <w:t>’</w:t>
      </w:r>
      <w:r w:rsidRPr="00797756">
        <w:rPr>
          <w:b/>
        </w:rPr>
        <w:t>équipements ou de méthodes différents des éléments susmentionnés, les résultats doivent être ajustés pour être alignés</w:t>
      </w:r>
      <w:r w:rsidR="007F6572">
        <w:rPr>
          <w:b/>
        </w:rPr>
        <w:t xml:space="preserve"> </w:t>
      </w:r>
      <w:r w:rsidRPr="00797756">
        <w:rPr>
          <w:b/>
        </w:rPr>
        <w:t>sur ceux qui sont</w:t>
      </w:r>
      <w:r w:rsidR="007F6572">
        <w:rPr>
          <w:b/>
        </w:rPr>
        <w:t xml:space="preserve"> </w:t>
      </w:r>
      <w:r w:rsidRPr="00797756">
        <w:rPr>
          <w:b/>
        </w:rPr>
        <w:t>obtenus à l</w:t>
      </w:r>
      <w:r w:rsidR="001A0723">
        <w:rPr>
          <w:b/>
        </w:rPr>
        <w:t>’</w:t>
      </w:r>
      <w:r w:rsidRPr="00797756">
        <w:rPr>
          <w:b/>
        </w:rPr>
        <w:t>aide de l</w:t>
      </w:r>
      <w:r w:rsidR="001A0723">
        <w:rPr>
          <w:b/>
        </w:rPr>
        <w:t>’</w:t>
      </w:r>
      <w:r w:rsidRPr="00797756">
        <w:rPr>
          <w:b/>
        </w:rPr>
        <w:t>appareillage décrit plus haut</w:t>
      </w:r>
      <w:r w:rsidR="008E599E">
        <w:rPr>
          <w:b/>
        </w:rPr>
        <w:t>.</w:t>
      </w:r>
      <w:r w:rsidRPr="00797756">
        <w:rPr>
          <w:b/>
        </w:rPr>
        <w:t> </w:t>
      </w:r>
      <w:r w:rsidRPr="008E599E">
        <w:t>».</w:t>
      </w:r>
    </w:p>
    <w:p w:rsidR="00797756" w:rsidRPr="00797756" w:rsidRDefault="00797756" w:rsidP="00797756">
      <w:pPr>
        <w:pStyle w:val="SingleTxtG"/>
      </w:pPr>
      <w:r w:rsidRPr="00797756">
        <w:rPr>
          <w:i/>
        </w:rPr>
        <w:t>Paragraphe 4.2</w:t>
      </w:r>
      <w:r w:rsidRPr="00797756">
        <w:t>,</w:t>
      </w:r>
      <w:r w:rsidRPr="00797756">
        <w:rPr>
          <w:i/>
        </w:rPr>
        <w:t xml:space="preserve"> </w:t>
      </w:r>
      <w:r w:rsidRPr="00797756">
        <w:t>modifier comme suit</w:t>
      </w:r>
      <w:r w:rsidR="00046D19">
        <w:t> </w:t>
      </w:r>
      <w:r w:rsidR="001A0723">
        <w:t>:</w:t>
      </w:r>
    </w:p>
    <w:p w:rsidR="00797756" w:rsidRPr="00797756" w:rsidRDefault="00797756" w:rsidP="00A408E6">
      <w:pPr>
        <w:pStyle w:val="SingleTxtG"/>
        <w:ind w:left="2268" w:hanging="1134"/>
      </w:pPr>
      <w:r w:rsidRPr="00797756">
        <w:t>«</w:t>
      </w:r>
      <w:r w:rsidR="00046D19">
        <w:t> </w:t>
      </w:r>
      <w:r w:rsidRPr="00797756">
        <w:t>4.2</w:t>
      </w:r>
      <w:r w:rsidRPr="00797756">
        <w:tab/>
        <w:t>Conditions d</w:t>
      </w:r>
      <w:r w:rsidR="001A0723">
        <w:t>’</w:t>
      </w:r>
      <w:r w:rsidRPr="00797756">
        <w:t>essai</w:t>
      </w:r>
    </w:p>
    <w:p w:rsidR="00797756" w:rsidRPr="00797756" w:rsidRDefault="00797756" w:rsidP="00046D19">
      <w:pPr>
        <w:pStyle w:val="SingleTxtG"/>
        <w:tabs>
          <w:tab w:val="left" w:pos="3969"/>
        </w:tabs>
        <w:ind w:left="2268"/>
      </w:pPr>
      <w:r w:rsidRPr="00797756">
        <w:t>Température</w:t>
      </w:r>
      <w:r w:rsidR="00046D19">
        <w:t> </w:t>
      </w:r>
      <w:r w:rsidRPr="00797756">
        <w:t>:</w:t>
      </w:r>
      <w:r w:rsidRPr="00797756">
        <w:tab/>
      </w:r>
      <w:r w:rsidRPr="00797756">
        <w:tab/>
      </w:r>
      <w:r w:rsidRPr="008E599E">
        <w:rPr>
          <w:strike/>
        </w:rPr>
        <w:t xml:space="preserve">20 °C </w:t>
      </w:r>
      <w:r w:rsidR="00046D19" w:rsidRPr="008E599E">
        <w:rPr>
          <w:strike/>
        </w:rPr>
        <w:sym w:font="Symbol" w:char="F0B1"/>
      </w:r>
      <w:r w:rsidRPr="008E599E">
        <w:rPr>
          <w:strike/>
        </w:rPr>
        <w:t xml:space="preserve"> 5</w:t>
      </w:r>
      <w:r w:rsidR="00046D19" w:rsidRPr="008E599E">
        <w:rPr>
          <w:strike/>
        </w:rPr>
        <w:t> </w:t>
      </w:r>
      <w:r w:rsidRPr="008E599E">
        <w:rPr>
          <w:strike/>
        </w:rPr>
        <w:t>°C</w:t>
      </w:r>
      <w:r w:rsidRPr="00797756">
        <w:t xml:space="preserve"> </w:t>
      </w:r>
      <w:r w:rsidRPr="00797756">
        <w:rPr>
          <w:b/>
        </w:rPr>
        <w:t xml:space="preserve">23 °C </w:t>
      </w:r>
      <w:r w:rsidR="00046D19">
        <w:rPr>
          <w:b/>
        </w:rPr>
        <w:sym w:font="Symbol" w:char="F0B1"/>
      </w:r>
      <w:r w:rsidRPr="00797756">
        <w:rPr>
          <w:b/>
        </w:rPr>
        <w:t xml:space="preserve"> 2</w:t>
      </w:r>
      <w:r w:rsidR="00046D19">
        <w:rPr>
          <w:b/>
        </w:rPr>
        <w:t> </w:t>
      </w:r>
      <w:r w:rsidRPr="00797756">
        <w:rPr>
          <w:b/>
        </w:rPr>
        <w:t>°C</w:t>
      </w:r>
    </w:p>
    <w:p w:rsidR="00797756" w:rsidRPr="00797756" w:rsidRDefault="00797756" w:rsidP="00046D19">
      <w:pPr>
        <w:pStyle w:val="SingleTxtG"/>
        <w:tabs>
          <w:tab w:val="left" w:pos="3969"/>
        </w:tabs>
        <w:ind w:left="2268"/>
      </w:pPr>
      <w:r w:rsidRPr="00797756">
        <w:t>Pression</w:t>
      </w:r>
      <w:r w:rsidR="00046D19">
        <w:t> </w:t>
      </w:r>
      <w:r w:rsidRPr="00797756">
        <w:t>:</w:t>
      </w:r>
      <w:r w:rsidRPr="00797756">
        <w:tab/>
        <w:t>entre 860 et 1</w:t>
      </w:r>
      <w:r w:rsidR="00046D19">
        <w:t> </w:t>
      </w:r>
      <w:r w:rsidRPr="00797756">
        <w:t>060 mbar</w:t>
      </w:r>
    </w:p>
    <w:p w:rsidR="00797756" w:rsidRPr="00797756" w:rsidRDefault="00797756" w:rsidP="00046D19">
      <w:pPr>
        <w:pStyle w:val="SingleTxtG"/>
        <w:tabs>
          <w:tab w:val="left" w:pos="3969"/>
        </w:tabs>
        <w:ind w:left="2268"/>
      </w:pPr>
      <w:r w:rsidRPr="00797756">
        <w:t>Humidité relative</w:t>
      </w:r>
      <w:r w:rsidR="00046D19">
        <w:t> </w:t>
      </w:r>
      <w:r w:rsidRPr="00797756">
        <w:t>:</w:t>
      </w:r>
      <w:r w:rsidRPr="00797756">
        <w:tab/>
      </w:r>
      <w:r w:rsidRPr="008E599E">
        <w:rPr>
          <w:strike/>
        </w:rPr>
        <w:t xml:space="preserve">60 </w:t>
      </w:r>
      <w:r w:rsidR="00046D19" w:rsidRPr="008E599E">
        <w:rPr>
          <w:strike/>
        </w:rPr>
        <w:sym w:font="Symbol" w:char="F0B1"/>
      </w:r>
      <w:r w:rsidRPr="008E599E">
        <w:rPr>
          <w:strike/>
        </w:rPr>
        <w:t xml:space="preserve"> 20</w:t>
      </w:r>
      <w:r w:rsidRPr="00797756">
        <w:t xml:space="preserve"> </w:t>
      </w:r>
      <w:r w:rsidRPr="00797756">
        <w:rPr>
          <w:b/>
        </w:rPr>
        <w:t xml:space="preserve">50 </w:t>
      </w:r>
      <w:r w:rsidR="00046D19">
        <w:rPr>
          <w:b/>
        </w:rPr>
        <w:sym w:font="Symbol" w:char="F0B1"/>
      </w:r>
      <w:r w:rsidRPr="00797756">
        <w:rPr>
          <w:b/>
        </w:rPr>
        <w:t xml:space="preserve"> 5</w:t>
      </w:r>
      <w:r w:rsidR="00046D19">
        <w:t> </w:t>
      </w:r>
      <w:r w:rsidRPr="00797756">
        <w:t>%.</w:t>
      </w:r>
      <w:r w:rsidR="00046D19">
        <w:t> </w:t>
      </w:r>
      <w:r w:rsidRPr="00797756">
        <w:t>».</w:t>
      </w:r>
    </w:p>
    <w:p w:rsidR="00797756" w:rsidRPr="00797756" w:rsidRDefault="00797756" w:rsidP="00797756">
      <w:pPr>
        <w:pStyle w:val="SingleTxtG"/>
      </w:pPr>
      <w:r w:rsidRPr="00797756">
        <w:rPr>
          <w:i/>
        </w:rPr>
        <w:t>Paragraphes 4.4.1 à 4.4.3</w:t>
      </w:r>
      <w:r w:rsidRPr="00797756">
        <w:t>,</w:t>
      </w:r>
      <w:r w:rsidRPr="00797756">
        <w:rPr>
          <w:i/>
        </w:rPr>
        <w:t xml:space="preserve"> </w:t>
      </w:r>
      <w:r w:rsidRPr="00797756">
        <w:t>modifier comme suit</w:t>
      </w:r>
      <w:r w:rsidR="00046D19">
        <w:t> :</w:t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797756">
        <w:t>«</w:t>
      </w:r>
      <w:r w:rsidR="00046D19">
        <w:t> </w:t>
      </w:r>
      <w:r w:rsidRPr="00797756">
        <w:t>4.4.1</w:t>
      </w:r>
      <w:r w:rsidRPr="00797756">
        <w:tab/>
      </w:r>
      <w:r w:rsidRPr="00797756">
        <w:rPr>
          <w:b/>
        </w:rPr>
        <w:t>Nettoyage</w:t>
      </w:r>
    </w:p>
    <w:p w:rsidR="00797756" w:rsidRPr="00797756" w:rsidRDefault="00797756" w:rsidP="00046D19">
      <w:pPr>
        <w:pStyle w:val="SingleTxtG"/>
        <w:ind w:left="2268"/>
      </w:pPr>
      <w:r w:rsidRPr="00046D19">
        <w:rPr>
          <w:strike/>
          <w:lang w:val="fr-FR"/>
        </w:rPr>
        <w:t>Immédiatement avant et après l</w:t>
      </w:r>
      <w:r w:rsidR="001A0723">
        <w:rPr>
          <w:strike/>
          <w:lang w:val="fr-FR"/>
        </w:rPr>
        <w:t>’</w:t>
      </w:r>
      <w:r w:rsidRPr="00046D19">
        <w:rPr>
          <w:strike/>
          <w:lang w:val="fr-FR"/>
        </w:rPr>
        <w:t>abrasion</w:t>
      </w:r>
      <w:r w:rsidRPr="008E599E">
        <w:rPr>
          <w:strike/>
          <w:lang w:val="fr-FR"/>
        </w:rPr>
        <w:t>,</w:t>
      </w:r>
      <w:r w:rsidRPr="008E599E">
        <w:rPr>
          <w:strike/>
        </w:rPr>
        <w:t xml:space="preserve"> </w:t>
      </w:r>
      <w:r w:rsidRPr="00797756">
        <w:rPr>
          <w:b/>
        </w:rPr>
        <w:t>Avant de procéder à l</w:t>
      </w:r>
      <w:r w:rsidR="001A0723">
        <w:rPr>
          <w:b/>
        </w:rPr>
        <w:t>’</w:t>
      </w:r>
      <w:r w:rsidRPr="00797756">
        <w:rPr>
          <w:b/>
        </w:rPr>
        <w:t>essai, débarrasser les éprouvettes</w:t>
      </w:r>
      <w:r w:rsidR="007F6572">
        <w:rPr>
          <w:b/>
        </w:rPr>
        <w:t xml:space="preserve"> </w:t>
      </w:r>
      <w:r w:rsidRPr="00797756">
        <w:rPr>
          <w:b/>
        </w:rPr>
        <w:t>de</w:t>
      </w:r>
      <w:r w:rsidR="007F6572">
        <w:rPr>
          <w:b/>
        </w:rPr>
        <w:t xml:space="preserve"> </w:t>
      </w:r>
      <w:r w:rsidRPr="00797756">
        <w:rPr>
          <w:b/>
        </w:rPr>
        <w:t>tout film de protection éventuel. Si nécessaire, nettoyer les éprouvettes en employant une méthode recommandée par le fabricant, ou, si aucune méthode n</w:t>
      </w:r>
      <w:r w:rsidR="001A0723">
        <w:rPr>
          <w:b/>
        </w:rPr>
        <w:t>’</w:t>
      </w:r>
      <w:r w:rsidRPr="00797756">
        <w:rPr>
          <w:b/>
        </w:rPr>
        <w:t>est recommandée,</w:t>
      </w:r>
      <w:r w:rsidRPr="00797756">
        <w:t xml:space="preserve"> </w:t>
      </w:r>
      <w:r w:rsidRPr="00797756">
        <w:rPr>
          <w:lang w:val="fr-FR"/>
        </w:rPr>
        <w:t>nettoyer les éprouvettes de la manière suivante</w:t>
      </w:r>
      <w:r w:rsidR="00046D19">
        <w:rPr>
          <w:lang w:val="fr-FR"/>
        </w:rPr>
        <w:t> </w:t>
      </w:r>
      <w:r w:rsidRPr="00797756">
        <w:t>:</w:t>
      </w:r>
    </w:p>
    <w:p w:rsidR="00797756" w:rsidRPr="00797756" w:rsidRDefault="00797756" w:rsidP="00046D19">
      <w:pPr>
        <w:pStyle w:val="SingleTxtG"/>
        <w:ind w:left="2835" w:hanging="567"/>
        <w:rPr>
          <w:b/>
        </w:rPr>
      </w:pPr>
      <w:r w:rsidRPr="00797756">
        <w:t>a)</w:t>
      </w:r>
      <w:r w:rsidRPr="00797756">
        <w:tab/>
      </w:r>
      <w:r w:rsidRPr="00046D19">
        <w:rPr>
          <w:strike/>
          <w:lang w:val="fr-FR"/>
        </w:rPr>
        <w:t>Nettoyage avec un chiffon de toile de lin et de l</w:t>
      </w:r>
      <w:r w:rsidR="001A0723">
        <w:rPr>
          <w:strike/>
          <w:lang w:val="fr-FR"/>
        </w:rPr>
        <w:t>’</w:t>
      </w:r>
      <w:r w:rsidRPr="00046D19">
        <w:rPr>
          <w:strike/>
          <w:lang w:val="fr-FR"/>
        </w:rPr>
        <w:t>eau courante propre</w:t>
      </w:r>
      <w:r w:rsidR="00046D19" w:rsidRPr="00046D19">
        <w:rPr>
          <w:strike/>
          <w:lang w:val="fr-FR"/>
        </w:rPr>
        <w:t> </w:t>
      </w:r>
      <w:r w:rsidRPr="00046D19">
        <w:rPr>
          <w:strike/>
          <w:lang w:val="fr-FR"/>
        </w:rPr>
        <w:t>;</w:t>
      </w:r>
      <w:r w:rsidRPr="00797756">
        <w:t xml:space="preserve"> </w:t>
      </w:r>
      <w:r w:rsidRPr="00797756">
        <w:rPr>
          <w:b/>
        </w:rPr>
        <w:t>À l</w:t>
      </w:r>
      <w:r w:rsidR="001A0723">
        <w:rPr>
          <w:b/>
        </w:rPr>
        <w:t>’</w:t>
      </w:r>
      <w:r w:rsidRPr="00797756">
        <w:rPr>
          <w:b/>
        </w:rPr>
        <w:t>aide d</w:t>
      </w:r>
      <w:r w:rsidR="001A0723">
        <w:rPr>
          <w:b/>
        </w:rPr>
        <w:t>’</w:t>
      </w:r>
      <w:r w:rsidRPr="00797756">
        <w:rPr>
          <w:b/>
        </w:rPr>
        <w:t xml:space="preserve">un chiffon sans peluches imbibé </w:t>
      </w:r>
      <w:r w:rsidRPr="00797756">
        <w:rPr>
          <w:b/>
          <w:lang w:val="fr-FR"/>
        </w:rPr>
        <w:t>d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alcool isopropylique</w:t>
      </w:r>
      <w:r w:rsidRPr="00797756">
        <w:rPr>
          <w:b/>
        </w:rPr>
        <w:t>, essuyer délicatement les deux surfaces de l</w:t>
      </w:r>
      <w:r w:rsidR="001A0723">
        <w:rPr>
          <w:b/>
        </w:rPr>
        <w:t>’</w:t>
      </w:r>
      <w:r w:rsidRPr="00797756">
        <w:rPr>
          <w:b/>
        </w:rPr>
        <w:t>éprouvette d</w:t>
      </w:r>
      <w:r w:rsidR="001A0723">
        <w:rPr>
          <w:b/>
        </w:rPr>
        <w:t>’</w:t>
      </w:r>
      <w:r w:rsidRPr="00797756">
        <w:rPr>
          <w:b/>
        </w:rPr>
        <w:t>es</w:t>
      </w:r>
      <w:r w:rsidR="00046D19">
        <w:rPr>
          <w:b/>
        </w:rPr>
        <w:t xml:space="preserve">sai dans un mouvement linéaire </w:t>
      </w:r>
      <w:r w:rsidRPr="00797756">
        <w:rPr>
          <w:b/>
        </w:rPr>
        <w:t>pour éliminer toute particule résiduelle. Les matières dont les caractéristiques superficielles sont altérées par l</w:t>
      </w:r>
      <w:r w:rsidR="001A0723">
        <w:rPr>
          <w:b/>
        </w:rPr>
        <w:t>’</w:t>
      </w:r>
      <w:r w:rsidRPr="00797756">
        <w:rPr>
          <w:b/>
        </w:rPr>
        <w:t>alcool isopropylique ou pour lesquelles</w:t>
      </w:r>
      <w:r w:rsidR="00046D19">
        <w:rPr>
          <w:b/>
        </w:rPr>
        <w:t xml:space="preserve"> il ne</w:t>
      </w:r>
      <w:r w:rsidRPr="00797756">
        <w:rPr>
          <w:b/>
        </w:rPr>
        <w:t xml:space="preserve"> donne pas de résultats satisfaisants peuvent être nettoyées à l</w:t>
      </w:r>
      <w:r w:rsidR="001A0723">
        <w:rPr>
          <w:b/>
        </w:rPr>
        <w:t>’</w:t>
      </w:r>
      <w:r w:rsidRPr="00797756">
        <w:rPr>
          <w:b/>
        </w:rPr>
        <w:t>aide d</w:t>
      </w:r>
      <w:r w:rsidR="001A0723">
        <w:rPr>
          <w:b/>
        </w:rPr>
        <w:t>’</w:t>
      </w:r>
      <w:r w:rsidRPr="00797756">
        <w:rPr>
          <w:b/>
        </w:rPr>
        <w:t>une solution à base d</w:t>
      </w:r>
      <w:r w:rsidR="001A0723">
        <w:rPr>
          <w:b/>
        </w:rPr>
        <w:t>’</w:t>
      </w:r>
      <w:r w:rsidRPr="00797756">
        <w:rPr>
          <w:b/>
        </w:rPr>
        <w:t>eau additionnée de détergent d</w:t>
      </w:r>
      <w:r w:rsidR="001A0723">
        <w:rPr>
          <w:b/>
        </w:rPr>
        <w:t>’</w:t>
      </w:r>
      <w:r w:rsidRPr="00797756">
        <w:rPr>
          <w:b/>
        </w:rPr>
        <w:t>usage courant (par exemple d</w:t>
      </w:r>
      <w:r w:rsidR="001A0723">
        <w:rPr>
          <w:b/>
        </w:rPr>
        <w:t>’</w:t>
      </w:r>
      <w:r w:rsidRPr="00797756">
        <w:rPr>
          <w:b/>
        </w:rPr>
        <w:t>un liquide à vaisselle) ou d</w:t>
      </w:r>
      <w:r w:rsidR="001A0723">
        <w:rPr>
          <w:b/>
        </w:rPr>
        <w:t>’</w:t>
      </w:r>
      <w:r w:rsidRPr="00797756">
        <w:rPr>
          <w:b/>
        </w:rPr>
        <w:t>une solution nettoyante compatible avec l</w:t>
      </w:r>
      <w:r w:rsidR="001A0723">
        <w:rPr>
          <w:b/>
        </w:rPr>
        <w:t>’</w:t>
      </w:r>
      <w:r w:rsidRPr="00797756">
        <w:rPr>
          <w:b/>
        </w:rPr>
        <w:t>éprouvette d</w:t>
      </w:r>
      <w:r w:rsidR="001A0723">
        <w:rPr>
          <w:b/>
        </w:rPr>
        <w:t>’</w:t>
      </w:r>
      <w:r w:rsidRPr="00797756">
        <w:rPr>
          <w:b/>
        </w:rPr>
        <w:t>essai. Commencer par essuyer l</w:t>
      </w:r>
      <w:r w:rsidR="001A0723">
        <w:rPr>
          <w:b/>
        </w:rPr>
        <w:t>’</w:t>
      </w:r>
      <w:r w:rsidRPr="00797756">
        <w:rPr>
          <w:b/>
        </w:rPr>
        <w:t>éprouvette verticalement, puis horizontalement</w:t>
      </w:r>
      <w:r w:rsidR="00046D19">
        <w:rPr>
          <w:b/>
        </w:rPr>
        <w:t xml:space="preserve"> et </w:t>
      </w:r>
      <w:r w:rsidR="001A0723">
        <w:rPr>
          <w:b/>
        </w:rPr>
        <w:t>enfin</w:t>
      </w:r>
      <w:r w:rsidR="00046D19">
        <w:rPr>
          <w:b/>
        </w:rPr>
        <w:t xml:space="preserve"> essuyer </w:t>
      </w:r>
      <w:r w:rsidRPr="00797756">
        <w:rPr>
          <w:b/>
        </w:rPr>
        <w:t>les bords ;</w:t>
      </w:r>
    </w:p>
    <w:p w:rsidR="00797756" w:rsidRPr="00477EA4" w:rsidRDefault="00797756" w:rsidP="00046D19">
      <w:pPr>
        <w:pStyle w:val="SingleTxtG"/>
        <w:ind w:left="2835" w:hanging="567"/>
        <w:rPr>
          <w:b/>
          <w:lang w:val="fr-FR"/>
        </w:rPr>
      </w:pPr>
      <w:r w:rsidRPr="00797756">
        <w:t>b)</w:t>
      </w:r>
      <w:r w:rsidRPr="00797756">
        <w:tab/>
      </w:r>
      <w:r w:rsidRPr="00797756">
        <w:rPr>
          <w:lang w:val="fr-FR"/>
        </w:rPr>
        <w:t>Rinçage avec de l</w:t>
      </w:r>
      <w:r w:rsidR="001A0723">
        <w:rPr>
          <w:lang w:val="fr-FR"/>
        </w:rPr>
        <w:t>’</w:t>
      </w:r>
      <w:r w:rsidRPr="00797756">
        <w:rPr>
          <w:lang w:val="fr-FR"/>
        </w:rPr>
        <w:t>eau distillée</w:t>
      </w:r>
      <w:r w:rsidRPr="00797756">
        <w:rPr>
          <w:b/>
          <w:lang w:val="fr-FR"/>
        </w:rPr>
        <w:t>, désionisée</w:t>
      </w:r>
      <w:r w:rsidRPr="00797756">
        <w:rPr>
          <w:lang w:val="fr-FR"/>
        </w:rPr>
        <w:t xml:space="preserve"> ou</w:t>
      </w:r>
      <w:r w:rsidR="007F6572">
        <w:rPr>
          <w:lang w:val="fr-FR"/>
        </w:rPr>
        <w:t xml:space="preserve"> </w:t>
      </w:r>
      <w:r w:rsidRPr="00797756">
        <w:rPr>
          <w:lang w:val="fr-FR"/>
        </w:rPr>
        <w:t>déminéralisée</w:t>
      </w:r>
      <w:r w:rsidR="00477EA4">
        <w:rPr>
          <w:b/>
        </w:rPr>
        <w:t> </w:t>
      </w:r>
      <w:r w:rsidR="00477EA4" w:rsidRPr="00797756">
        <w:t>;</w:t>
      </w:r>
    </w:p>
    <w:p w:rsidR="00797756" w:rsidRPr="00797756" w:rsidRDefault="00797756" w:rsidP="00046D19">
      <w:pPr>
        <w:pStyle w:val="SingleTxtG"/>
        <w:ind w:left="2835" w:hanging="567"/>
      </w:pPr>
      <w:r w:rsidRPr="00797756">
        <w:t>c)</w:t>
      </w:r>
      <w:r w:rsidRPr="00797756">
        <w:tab/>
      </w:r>
      <w:r w:rsidRPr="00797756">
        <w:rPr>
          <w:lang w:val="fr-FR"/>
        </w:rPr>
        <w:t xml:space="preserve">Séchage </w:t>
      </w:r>
      <w:r w:rsidRPr="00797756">
        <w:rPr>
          <w:b/>
          <w:lang w:val="fr-FR"/>
        </w:rPr>
        <w:t>par pression délicate entre deux chiffons de toile ou</w:t>
      </w:r>
      <w:r w:rsidRPr="00797756">
        <w:rPr>
          <w:lang w:val="fr-FR"/>
        </w:rPr>
        <w:t xml:space="preserve"> avec un courant d</w:t>
      </w:r>
      <w:r w:rsidR="001A0723">
        <w:rPr>
          <w:lang w:val="fr-FR"/>
        </w:rPr>
        <w:t>’</w:t>
      </w:r>
      <w:r w:rsidRPr="00797756">
        <w:rPr>
          <w:lang w:val="fr-FR"/>
        </w:rPr>
        <w:t xml:space="preserve">oxygène </w:t>
      </w:r>
      <w:r w:rsidRPr="00797756">
        <w:rPr>
          <w:b/>
          <w:lang w:val="fr-FR"/>
        </w:rPr>
        <w:t>d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 xml:space="preserve">air </w:t>
      </w:r>
      <w:r w:rsidRPr="00797756">
        <w:rPr>
          <w:lang w:val="fr-FR"/>
        </w:rPr>
        <w:t>ou d</w:t>
      </w:r>
      <w:r w:rsidR="001A0723">
        <w:rPr>
          <w:lang w:val="fr-FR"/>
        </w:rPr>
        <w:t>’</w:t>
      </w:r>
      <w:r w:rsidRPr="00797756">
        <w:rPr>
          <w:lang w:val="fr-FR"/>
        </w:rPr>
        <w:t>azote</w:t>
      </w:r>
      <w:r w:rsidRPr="00797756">
        <w:t xml:space="preserve"> </w:t>
      </w:r>
      <w:r w:rsidRPr="00797756">
        <w:rPr>
          <w:b/>
        </w:rPr>
        <w:t>propre</w:t>
      </w:r>
      <w:r w:rsidR="00477EA4" w:rsidRPr="00046D19">
        <w:rPr>
          <w:strike/>
          <w:lang w:val="fr-FR"/>
        </w:rPr>
        <w:t> ;</w:t>
      </w:r>
      <w:r w:rsidR="00477EA4">
        <w:rPr>
          <w:b/>
          <w:lang w:val="fr-FR"/>
        </w:rPr>
        <w:t>.</w:t>
      </w:r>
    </w:p>
    <w:p w:rsidR="00797756" w:rsidRPr="00046D19" w:rsidRDefault="00797756" w:rsidP="00046D19">
      <w:pPr>
        <w:pStyle w:val="SingleTxtG"/>
        <w:ind w:left="2835" w:hanging="567"/>
        <w:rPr>
          <w:strike/>
        </w:rPr>
      </w:pPr>
      <w:r w:rsidRPr="00046D19">
        <w:rPr>
          <w:strike/>
        </w:rPr>
        <w:lastRenderedPageBreak/>
        <w:t>d)</w:t>
      </w:r>
      <w:r w:rsidRPr="00046D19">
        <w:rPr>
          <w:strike/>
        </w:rPr>
        <w:tab/>
        <w:t>Élimination de toutes traces possibles d</w:t>
      </w:r>
      <w:r w:rsidR="001A0723">
        <w:rPr>
          <w:strike/>
        </w:rPr>
        <w:t>’</w:t>
      </w:r>
      <w:r w:rsidRPr="00046D19">
        <w:rPr>
          <w:strike/>
        </w:rPr>
        <w:t>eau en tamponnant doucement avec un chiffon de toile de lin mouillé. Si nécessaire, sécher en pressant légèrement entre deux chiffons de toile de lin.</w:t>
      </w:r>
    </w:p>
    <w:p w:rsidR="00797756" w:rsidRPr="00797756" w:rsidRDefault="00797756" w:rsidP="00477EA4">
      <w:pPr>
        <w:pStyle w:val="SingleTxtG"/>
        <w:ind w:left="2268"/>
        <w:rPr>
          <w:b/>
        </w:rPr>
      </w:pPr>
      <w:r w:rsidRPr="00797756">
        <w:tab/>
      </w:r>
      <w:r w:rsidRPr="00797756">
        <w:rPr>
          <w:b/>
        </w:rPr>
        <w:t>Vérifier l</w:t>
      </w:r>
      <w:r w:rsidR="001A0723">
        <w:rPr>
          <w:b/>
        </w:rPr>
        <w:t>’</w:t>
      </w:r>
      <w:r w:rsidRPr="00797756">
        <w:rPr>
          <w:b/>
        </w:rPr>
        <w:t>absence de traces d</w:t>
      </w:r>
      <w:r w:rsidR="001A0723">
        <w:rPr>
          <w:b/>
        </w:rPr>
        <w:t>’</w:t>
      </w:r>
      <w:r w:rsidRPr="00797756">
        <w:rPr>
          <w:b/>
        </w:rPr>
        <w:t>eau ou d</w:t>
      </w:r>
      <w:r w:rsidR="001A0723">
        <w:rPr>
          <w:b/>
        </w:rPr>
        <w:t>’</w:t>
      </w:r>
      <w:r w:rsidRPr="00797756">
        <w:rPr>
          <w:b/>
        </w:rPr>
        <w:t>autres résidus avant de procéder au mesurage de l</w:t>
      </w:r>
      <w:r w:rsidR="001A0723">
        <w:rPr>
          <w:b/>
        </w:rPr>
        <w:t>’</w:t>
      </w:r>
      <w:r w:rsidRPr="00797756">
        <w:rPr>
          <w:b/>
        </w:rPr>
        <w:t>atténuation de visibilité.</w:t>
      </w:r>
    </w:p>
    <w:p w:rsidR="00797756" w:rsidRPr="00797756" w:rsidRDefault="00797756" w:rsidP="00477EA4">
      <w:pPr>
        <w:pStyle w:val="SingleTxtG"/>
        <w:ind w:left="2268"/>
        <w:rPr>
          <w:b/>
        </w:rPr>
      </w:pPr>
      <w:r w:rsidRPr="00797756">
        <w:t>Tout traitement aux ultrasons doit être évité. Après</w:t>
      </w:r>
      <w:r w:rsidR="007F6572">
        <w:t xml:space="preserve"> </w:t>
      </w:r>
      <w:r w:rsidRPr="00797756">
        <w:t>nettoyage, les éprouvettes ne doivent être manipulées que par leurs bords et mises à l</w:t>
      </w:r>
      <w:r w:rsidR="001A0723">
        <w:t>’</w:t>
      </w:r>
      <w:r w:rsidRPr="00797756">
        <w:t xml:space="preserve">abri de toute détérioration ou contamination de leurs surfaces. </w:t>
      </w:r>
      <w:r w:rsidRPr="00797756">
        <w:rPr>
          <w:b/>
        </w:rPr>
        <w:t>Il est préconisé de porter des gants en latex pendant toute la durée de l</w:t>
      </w:r>
      <w:r w:rsidR="001A0723">
        <w:rPr>
          <w:b/>
        </w:rPr>
        <w:t>’</w:t>
      </w:r>
      <w:r w:rsidRPr="00797756">
        <w:rPr>
          <w:b/>
        </w:rPr>
        <w:t>essai.</w:t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797756">
        <w:t>4.4.2</w:t>
      </w:r>
      <w:r w:rsidRPr="00797756">
        <w:tab/>
      </w:r>
      <w:r w:rsidRPr="00797756">
        <w:rPr>
          <w:b/>
        </w:rPr>
        <w:t>Conditionnement</w:t>
      </w:r>
    </w:p>
    <w:p w:rsidR="00797756" w:rsidRPr="00797756" w:rsidRDefault="00797756" w:rsidP="00477EA4">
      <w:pPr>
        <w:pStyle w:val="SingleTxtG"/>
        <w:ind w:left="2268"/>
        <w:rPr>
          <w:b/>
        </w:rPr>
      </w:pPr>
      <w:r w:rsidRPr="00797756">
        <w:tab/>
        <w:t xml:space="preserve">Conditionner les éprouvettes durant 48 h au minimum à une température de </w:t>
      </w:r>
      <w:r w:rsidRPr="00477EA4">
        <w:rPr>
          <w:strike/>
        </w:rPr>
        <w:t>20</w:t>
      </w:r>
      <w:r w:rsidR="00477EA4" w:rsidRPr="00477EA4">
        <w:rPr>
          <w:strike/>
        </w:rPr>
        <w:t> </w:t>
      </w:r>
      <w:r w:rsidRPr="00477EA4">
        <w:rPr>
          <w:strike/>
        </w:rPr>
        <w:t xml:space="preserve">°C </w:t>
      </w:r>
      <w:r w:rsidR="00477EA4" w:rsidRPr="00477EA4">
        <w:rPr>
          <w:strike/>
        </w:rPr>
        <w:sym w:font="Symbol" w:char="F0B1"/>
      </w:r>
      <w:r w:rsidRPr="00477EA4">
        <w:rPr>
          <w:strike/>
        </w:rPr>
        <w:t xml:space="preserve"> 5</w:t>
      </w:r>
      <w:r w:rsidR="00477EA4" w:rsidRPr="00477EA4">
        <w:rPr>
          <w:strike/>
        </w:rPr>
        <w:t> </w:t>
      </w:r>
      <w:r w:rsidRPr="00477EA4">
        <w:rPr>
          <w:strike/>
        </w:rPr>
        <w:t>°C</w:t>
      </w:r>
      <w:r w:rsidRPr="00797756">
        <w:t xml:space="preserve"> </w:t>
      </w:r>
      <w:r w:rsidRPr="00797756">
        <w:rPr>
          <w:b/>
        </w:rPr>
        <w:t xml:space="preserve">23 °C </w:t>
      </w:r>
      <w:r w:rsidR="00477EA4">
        <w:rPr>
          <w:b/>
        </w:rPr>
        <w:sym w:font="Symbol" w:char="F0B1"/>
      </w:r>
      <w:r w:rsidRPr="00797756">
        <w:rPr>
          <w:b/>
        </w:rPr>
        <w:t xml:space="preserve"> 2 °C</w:t>
      </w:r>
      <w:r w:rsidRPr="00797756">
        <w:t xml:space="preserve"> et à une humidité relative de </w:t>
      </w:r>
      <w:r w:rsidRPr="00477EA4">
        <w:rPr>
          <w:strike/>
        </w:rPr>
        <w:t xml:space="preserve">60 </w:t>
      </w:r>
      <w:r w:rsidR="00477EA4" w:rsidRPr="00477EA4">
        <w:rPr>
          <w:strike/>
        </w:rPr>
        <w:sym w:font="Symbol" w:char="F0B1"/>
      </w:r>
      <w:r w:rsidRPr="00477EA4">
        <w:rPr>
          <w:strike/>
        </w:rPr>
        <w:t xml:space="preserve"> 20</w:t>
      </w:r>
      <w:r w:rsidRPr="008E599E">
        <w:rPr>
          <w:strike/>
        </w:rPr>
        <w:t xml:space="preserve"> </w:t>
      </w:r>
      <w:r w:rsidRPr="00797756">
        <w:rPr>
          <w:b/>
        </w:rPr>
        <w:t xml:space="preserve">50 </w:t>
      </w:r>
      <w:r w:rsidR="00477EA4">
        <w:rPr>
          <w:b/>
        </w:rPr>
        <w:sym w:font="Symbol" w:char="F0B1"/>
      </w:r>
      <w:r w:rsidRPr="00797756">
        <w:rPr>
          <w:b/>
        </w:rPr>
        <w:t xml:space="preserve"> 5</w:t>
      </w:r>
      <w:r w:rsidRPr="00797756">
        <w:t xml:space="preserve"> %. </w:t>
      </w:r>
      <w:r w:rsidRPr="00797756">
        <w:rPr>
          <w:b/>
        </w:rPr>
        <w:t>Commencer l</w:t>
      </w:r>
      <w:r w:rsidR="001A0723">
        <w:rPr>
          <w:b/>
        </w:rPr>
        <w:t>’</w:t>
      </w:r>
      <w:r w:rsidRPr="00797756">
        <w:rPr>
          <w:b/>
        </w:rPr>
        <w:t>essai dans les 5 minutes suivant le retrait des éprouvettes de leur conditionnement.</w:t>
      </w:r>
    </w:p>
    <w:p w:rsidR="00797756" w:rsidRPr="00797756" w:rsidRDefault="00797756" w:rsidP="00477EA4">
      <w:pPr>
        <w:pStyle w:val="SingleTxtG"/>
        <w:ind w:left="2268"/>
        <w:rPr>
          <w:b/>
        </w:rPr>
      </w:pPr>
      <w:r w:rsidRPr="00797756">
        <w:rPr>
          <w:b/>
        </w:rPr>
        <w:t>Lorsqu</w:t>
      </w:r>
      <w:r w:rsidR="001A0723">
        <w:rPr>
          <w:b/>
        </w:rPr>
        <w:t>’</w:t>
      </w:r>
      <w:r w:rsidRPr="00797756">
        <w:rPr>
          <w:b/>
        </w:rPr>
        <w:t>elles ne sont pas utilisées, les roulettes abrasives doivent être entreposées dans les mêmes conditions de température et d</w:t>
      </w:r>
      <w:r w:rsidR="001A0723">
        <w:rPr>
          <w:b/>
        </w:rPr>
        <w:t>’</w:t>
      </w:r>
      <w:r w:rsidRPr="00797756">
        <w:rPr>
          <w:b/>
        </w:rPr>
        <w:t>humidité.</w:t>
      </w:r>
    </w:p>
    <w:p w:rsidR="00797756" w:rsidRPr="00797756" w:rsidRDefault="00797756" w:rsidP="00A408E6">
      <w:pPr>
        <w:pStyle w:val="SingleTxtG"/>
        <w:ind w:left="2268" w:hanging="1134"/>
        <w:rPr>
          <w:b/>
          <w:lang w:val="fr-FR"/>
        </w:rPr>
      </w:pPr>
      <w:r w:rsidRPr="00797756">
        <w:t>4.4.3</w:t>
      </w:r>
      <w:r w:rsidRPr="00797756">
        <w:tab/>
      </w:r>
      <w:r w:rsidRPr="00797756">
        <w:rPr>
          <w:b/>
          <w:lang w:val="fr-FR"/>
        </w:rPr>
        <w:t>Mesure de l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atténuation de visibilité initiale</w:t>
      </w:r>
    </w:p>
    <w:p w:rsidR="00797756" w:rsidRPr="00797756" w:rsidRDefault="00797756" w:rsidP="00477EA4">
      <w:pPr>
        <w:pStyle w:val="SingleTxtG"/>
        <w:ind w:left="2268"/>
      </w:pPr>
      <w:r w:rsidRPr="00797756">
        <w:tab/>
      </w:r>
      <w:r w:rsidRPr="00797756">
        <w:rPr>
          <w:lang w:val="fr-FR"/>
        </w:rPr>
        <w:t xml:space="preserve">Placer </w:t>
      </w:r>
      <w:r w:rsidRPr="00477EA4">
        <w:rPr>
          <w:strike/>
          <w:lang w:val="fr-FR"/>
        </w:rPr>
        <w:t>l</w:t>
      </w:r>
      <w:r w:rsidR="001A0723">
        <w:rPr>
          <w:strike/>
          <w:lang w:val="fr-FR"/>
        </w:rPr>
        <w:t>’</w:t>
      </w:r>
      <w:r w:rsidRPr="00477EA4">
        <w:rPr>
          <w:strike/>
          <w:lang w:val="fr-FR"/>
        </w:rPr>
        <w:t xml:space="preserve">éprouvette directement contre </w:t>
      </w:r>
      <w:r w:rsidRPr="00797756">
        <w:rPr>
          <w:b/>
        </w:rPr>
        <w:t>dans l</w:t>
      </w:r>
      <w:r w:rsidR="001A0723">
        <w:rPr>
          <w:b/>
        </w:rPr>
        <w:t>’</w:t>
      </w:r>
      <w:r w:rsidRPr="00797756">
        <w:rPr>
          <w:b/>
        </w:rPr>
        <w:t>appareil de mesurage de l</w:t>
      </w:r>
      <w:r w:rsidR="001A0723">
        <w:rPr>
          <w:b/>
        </w:rPr>
        <w:t>’</w:t>
      </w:r>
      <w:r w:rsidRPr="00797756">
        <w:rPr>
          <w:b/>
        </w:rPr>
        <w:t xml:space="preserve">atténuation de visibilité </w:t>
      </w:r>
      <w:r w:rsidRPr="00797756">
        <w:rPr>
          <w:b/>
          <w:lang w:val="fr-FR"/>
        </w:rPr>
        <w:t>l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éprouvette d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essai</w:t>
      </w:r>
      <w:r w:rsidRPr="00797756">
        <w:rPr>
          <w:lang w:val="fr-FR"/>
        </w:rPr>
        <w:t xml:space="preserve"> </w:t>
      </w:r>
      <w:r w:rsidRPr="00797756">
        <w:rPr>
          <w:b/>
          <w:lang w:val="fr-FR"/>
        </w:rPr>
        <w:t>non</w:t>
      </w:r>
      <w:r w:rsidRPr="00797756">
        <w:rPr>
          <w:lang w:val="fr-FR"/>
        </w:rPr>
        <w:t xml:space="preserve"> </w:t>
      </w:r>
      <w:r w:rsidRPr="00797756">
        <w:rPr>
          <w:b/>
        </w:rPr>
        <w:t xml:space="preserve">abrasée dans le support prévu à cet effet avec le côté à abraser face à </w:t>
      </w:r>
      <w:r w:rsidRPr="00797756">
        <w:rPr>
          <w:lang w:val="fr-FR"/>
        </w:rPr>
        <w:t>l</w:t>
      </w:r>
      <w:r w:rsidR="001A0723">
        <w:rPr>
          <w:lang w:val="fr-FR"/>
        </w:rPr>
        <w:t>’</w:t>
      </w:r>
      <w:r w:rsidRPr="00797756">
        <w:rPr>
          <w:lang w:val="fr-FR"/>
        </w:rPr>
        <w:t>ouverture d</w:t>
      </w:r>
      <w:r w:rsidR="001A0723">
        <w:rPr>
          <w:lang w:val="fr-FR"/>
        </w:rPr>
        <w:t>’</w:t>
      </w:r>
      <w:r w:rsidRPr="00797756">
        <w:rPr>
          <w:lang w:val="fr-FR"/>
        </w:rPr>
        <w:t>entrée de la sphère d</w:t>
      </w:r>
      <w:r w:rsidR="001A0723">
        <w:rPr>
          <w:lang w:val="fr-FR"/>
        </w:rPr>
        <w:t>’</w:t>
      </w:r>
      <w:r w:rsidRPr="00797756">
        <w:rPr>
          <w:lang w:val="fr-FR"/>
        </w:rPr>
        <w:t>intégration</w:t>
      </w:r>
      <w:r w:rsidRPr="00797756">
        <w:t>. L</w:t>
      </w:r>
      <w:r w:rsidR="001A0723">
        <w:t>’</w:t>
      </w:r>
      <w:r w:rsidRPr="00797756">
        <w:t>angle entre la normale à sa surface et l</w:t>
      </w:r>
      <w:r w:rsidR="001A0723">
        <w:t>’</w:t>
      </w:r>
      <w:r w:rsidRPr="00797756">
        <w:t>axe du faisceau lumineux ne doit pas dépasser 8°.</w:t>
      </w:r>
    </w:p>
    <w:p w:rsidR="00797756" w:rsidRPr="00797756" w:rsidRDefault="00797756" w:rsidP="00477EA4">
      <w:pPr>
        <w:pStyle w:val="SingleTxtG"/>
        <w:ind w:left="2268"/>
      </w:pPr>
      <w:r w:rsidRPr="00797756">
        <w:tab/>
        <w:t>Faire alors les quatre lectures suivantes</w:t>
      </w:r>
      <w:r w:rsidR="007F6572">
        <w:t> </w:t>
      </w:r>
      <w:r w:rsidRPr="00797756">
        <w:t>:</w:t>
      </w:r>
    </w:p>
    <w:p w:rsidR="00797756" w:rsidRPr="00797756" w:rsidRDefault="00797756" w:rsidP="00477EA4">
      <w:pPr>
        <w:pStyle w:val="SingleTxtG"/>
        <w:ind w:left="2268"/>
      </w:pPr>
      <w:r w:rsidRPr="00797756">
        <w:tab/>
      </w:r>
      <w:r w:rsidR="00477EA4">
        <w:t>…</w:t>
      </w:r>
    </w:p>
    <w:p w:rsidR="00797756" w:rsidRPr="00797756" w:rsidRDefault="00797756" w:rsidP="00477EA4">
      <w:pPr>
        <w:pStyle w:val="SingleTxtG"/>
        <w:ind w:left="2268"/>
      </w:pPr>
      <w:r w:rsidRPr="00797756">
        <w:tab/>
        <w:t>Calculer le facteur de transmission totale T</w:t>
      </w:r>
      <w:r w:rsidRPr="00797756">
        <w:rPr>
          <w:vertAlign w:val="subscript"/>
        </w:rPr>
        <w:t>t</w:t>
      </w:r>
      <w:r w:rsidRPr="00797756">
        <w:t xml:space="preserve"> = T</w:t>
      </w:r>
      <w:r w:rsidRPr="00797756">
        <w:rPr>
          <w:vertAlign w:val="subscript"/>
        </w:rPr>
        <w:t>2</w:t>
      </w:r>
      <w:r w:rsidRPr="00797756">
        <w:t>/T</w:t>
      </w:r>
      <w:r w:rsidRPr="00797756">
        <w:rPr>
          <w:vertAlign w:val="subscript"/>
        </w:rPr>
        <w:t>1</w:t>
      </w:r>
      <w:r w:rsidRPr="00797756">
        <w:t>.</w:t>
      </w:r>
    </w:p>
    <w:p w:rsidR="00797756" w:rsidRPr="00797756" w:rsidRDefault="00797756" w:rsidP="00477EA4">
      <w:pPr>
        <w:pStyle w:val="SingleTxtG"/>
        <w:ind w:left="2268"/>
      </w:pPr>
      <w:r w:rsidRPr="00797756">
        <w:tab/>
        <w:t>Calculer le facteur de transmission diffuse, T</w:t>
      </w:r>
      <w:r w:rsidRPr="00797756">
        <w:rPr>
          <w:vertAlign w:val="subscript"/>
        </w:rPr>
        <w:t>d</w:t>
      </w:r>
      <w:r w:rsidRPr="00797756">
        <w:t>, à l</w:t>
      </w:r>
      <w:r w:rsidR="001A0723">
        <w:t>’</w:t>
      </w:r>
      <w:r w:rsidRPr="00797756">
        <w:t>aide de la formule</w:t>
      </w:r>
      <w:r w:rsidR="00477EA4">
        <w:t> </w:t>
      </w:r>
      <w:r w:rsidRPr="00797756">
        <w:t>:</w:t>
      </w:r>
    </w:p>
    <w:p w:rsidR="00797756" w:rsidRPr="00797756" w:rsidRDefault="00797756" w:rsidP="00477EA4">
      <w:pPr>
        <w:pStyle w:val="SingleTxtG"/>
        <w:ind w:left="2268"/>
      </w:pPr>
      <w:r w:rsidRPr="00797756">
        <w:tab/>
      </w:r>
      <w:r w:rsidRPr="00797756">
        <w:object w:dxaOrig="1939" w:dyaOrig="680">
          <v:shape id="_x0000_i1027" type="#_x0000_t75" style="width:96.95pt;height:33.95pt" o:ole="">
            <v:imagedata r:id="rId17" o:title=""/>
          </v:shape>
          <o:OLEObject Type="Embed" ProgID="Equation.3" ShapeID="_x0000_i1027" DrawAspect="Content" ObjectID="_1550057278" r:id="rId18"/>
        </w:object>
      </w:r>
    </w:p>
    <w:p w:rsidR="00797756" w:rsidRPr="00797756" w:rsidRDefault="00797756" w:rsidP="00477EA4">
      <w:pPr>
        <w:pStyle w:val="SingleTxtG"/>
        <w:ind w:left="2268"/>
      </w:pPr>
      <w:r w:rsidRPr="00797756">
        <w:tab/>
        <w:t>Calculer le pourcentage d</w:t>
      </w:r>
      <w:r w:rsidR="001A0723">
        <w:t>’</w:t>
      </w:r>
      <w:r w:rsidRPr="00797756">
        <w:t>atténuation par diffusion de visibilité ou de la lumière</w:t>
      </w:r>
      <w:r w:rsidRPr="00477EA4">
        <w:rPr>
          <w:strike/>
        </w:rPr>
        <w:t>, ou des deux,</w:t>
      </w:r>
      <w:r w:rsidRPr="00797756">
        <w:t xml:space="preserve"> à l</w:t>
      </w:r>
      <w:r w:rsidR="001A0723">
        <w:t>’</w:t>
      </w:r>
      <w:r w:rsidRPr="00797756">
        <w:t>aide de la formule</w:t>
      </w:r>
      <w:r w:rsidR="00477EA4">
        <w:t> </w:t>
      </w:r>
      <w:r w:rsidRPr="00797756">
        <w:t>:</w:t>
      </w:r>
    </w:p>
    <w:p w:rsidR="00797756" w:rsidRPr="00797756" w:rsidRDefault="00797756" w:rsidP="00477EA4">
      <w:pPr>
        <w:pStyle w:val="SingleTxtG"/>
        <w:ind w:left="2268"/>
      </w:pPr>
      <w:r w:rsidRPr="00797756">
        <w:tab/>
        <w:t>Atténuation par diffusion de visibilité ou de la lumière</w:t>
      </w:r>
      <w:r w:rsidRPr="00477EA4">
        <w:rPr>
          <w:strike/>
        </w:rPr>
        <w:t>, ou des deux</w:t>
      </w:r>
      <w:r w:rsidR="00477EA4">
        <w:t> </w:t>
      </w:r>
      <w:r w:rsidRPr="00797756">
        <w:t xml:space="preserve">: </w:t>
      </w:r>
      <w:r w:rsidRPr="00797756">
        <w:rPr>
          <w:noProof/>
          <w:lang w:eastAsia="fr-CH"/>
        </w:rPr>
        <w:drawing>
          <wp:inline distT="0" distB="0" distL="0" distR="0" wp14:anchorId="67B54986" wp14:editId="30D27C5D">
            <wp:extent cx="792000" cy="42480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56" w:rsidRPr="00797756" w:rsidRDefault="00797756" w:rsidP="00477EA4">
      <w:pPr>
        <w:pStyle w:val="SingleTxtG"/>
        <w:ind w:left="2268"/>
      </w:pPr>
      <w:r w:rsidRPr="00797756">
        <w:tab/>
        <w:t>Mesurer l</w:t>
      </w:r>
      <w:r w:rsidR="001A0723">
        <w:t>’</w:t>
      </w:r>
      <w:r w:rsidRPr="00797756">
        <w:t>atténuation de visibilité initiale de l</w:t>
      </w:r>
      <w:r w:rsidR="001A0723">
        <w:t>’</w:t>
      </w:r>
      <w:r w:rsidRPr="00797756">
        <w:t xml:space="preserve">éprouvette pour au moins quatre points également espacés </w:t>
      </w:r>
      <w:r w:rsidRPr="00477EA4">
        <w:rPr>
          <w:strike/>
        </w:rPr>
        <w:t xml:space="preserve">dans </w:t>
      </w:r>
      <w:r w:rsidRPr="00797756">
        <w:rPr>
          <w:b/>
        </w:rPr>
        <w:t>le long de</w:t>
      </w:r>
      <w:r w:rsidRPr="00797756">
        <w:t xml:space="preserve"> la </w:t>
      </w:r>
      <w:r w:rsidRPr="00477EA4">
        <w:rPr>
          <w:strike/>
        </w:rPr>
        <w:t xml:space="preserve">région </w:t>
      </w:r>
      <w:r w:rsidRPr="00797756">
        <w:rPr>
          <w:b/>
        </w:rPr>
        <w:t>piste</w:t>
      </w:r>
      <w:r w:rsidRPr="00797756">
        <w:t xml:space="preserve"> non soumise à l</w:t>
      </w:r>
      <w:r w:rsidR="001A0723">
        <w:t>’</w:t>
      </w:r>
      <w:r w:rsidRPr="00797756">
        <w:t>abrasion d</w:t>
      </w:r>
      <w:r w:rsidR="001A0723">
        <w:t>’</w:t>
      </w:r>
      <w:r w:rsidRPr="00797756">
        <w:t>après la formule ci-dessus. Faire la moyenne des résultats obtenus pour chaque éprouvette. Au lieu des quatre mesures, on peut obtenir une valeur moyenne en faisant tourner l</w:t>
      </w:r>
      <w:r w:rsidR="001A0723">
        <w:t>’</w:t>
      </w:r>
      <w:r w:rsidRPr="00797756">
        <w:t>éprouvette, avec régularité, à la vitesse de 3 tr/s ou davantage.</w:t>
      </w:r>
    </w:p>
    <w:p w:rsidR="00797756" w:rsidRPr="00477EA4" w:rsidRDefault="00797756" w:rsidP="00477EA4">
      <w:pPr>
        <w:pStyle w:val="SingleTxtG"/>
        <w:ind w:left="2268"/>
        <w:rPr>
          <w:strike/>
        </w:rPr>
      </w:pPr>
      <w:r w:rsidRPr="00797756">
        <w:tab/>
      </w:r>
      <w:r w:rsidRPr="00477EA4">
        <w:rPr>
          <w:strike/>
        </w:rPr>
        <w:t>Effectuer, pour chaque type de vitrages de sécurité, trois essais sous la même charge. Utiliser l</w:t>
      </w:r>
      <w:r w:rsidR="001A0723">
        <w:rPr>
          <w:strike/>
        </w:rPr>
        <w:t>’</w:t>
      </w:r>
      <w:r w:rsidRPr="00477EA4">
        <w:rPr>
          <w:strike/>
        </w:rPr>
        <w:t>atténuation de visibilité comme mesure de l</w:t>
      </w:r>
      <w:r w:rsidR="001A0723">
        <w:rPr>
          <w:strike/>
        </w:rPr>
        <w:t>’</w:t>
      </w:r>
      <w:r w:rsidRPr="00477EA4">
        <w:rPr>
          <w:strike/>
        </w:rPr>
        <w:t>abrasion sous-jacente, après que l</w:t>
      </w:r>
      <w:r w:rsidR="001A0723">
        <w:rPr>
          <w:strike/>
        </w:rPr>
        <w:t>’</w:t>
      </w:r>
      <w:r w:rsidRPr="00477EA4">
        <w:rPr>
          <w:strike/>
        </w:rPr>
        <w:t>éprouvette a été soumise à l</w:t>
      </w:r>
      <w:r w:rsidR="001A0723">
        <w:rPr>
          <w:strike/>
        </w:rPr>
        <w:t>’</w:t>
      </w:r>
      <w:r w:rsidRPr="00477EA4">
        <w:rPr>
          <w:strike/>
        </w:rPr>
        <w:t>essai d</w:t>
      </w:r>
      <w:r w:rsidR="001A0723">
        <w:rPr>
          <w:strike/>
        </w:rPr>
        <w:t>’</w:t>
      </w:r>
      <w:r w:rsidRPr="00477EA4">
        <w:rPr>
          <w:strike/>
        </w:rPr>
        <w:t>abrasion.</w:t>
      </w:r>
    </w:p>
    <w:p w:rsidR="00797756" w:rsidRPr="00797756" w:rsidRDefault="00797756" w:rsidP="00477EA4">
      <w:pPr>
        <w:pStyle w:val="SingleTxtG"/>
        <w:ind w:left="2268"/>
      </w:pPr>
      <w:r w:rsidRPr="00477EA4">
        <w:rPr>
          <w:strike/>
        </w:rPr>
        <w:tab/>
        <w:t>Mesurer la lumière diffusée par la piste soumise à l</w:t>
      </w:r>
      <w:r w:rsidR="001A0723">
        <w:rPr>
          <w:strike/>
        </w:rPr>
        <w:t>’</w:t>
      </w:r>
      <w:r w:rsidRPr="00477EA4">
        <w:rPr>
          <w:strike/>
        </w:rPr>
        <w:t>abrasion pour au moins quatre points également espacés le long de cette piste d</w:t>
      </w:r>
      <w:r w:rsidR="001A0723">
        <w:rPr>
          <w:strike/>
        </w:rPr>
        <w:t>’</w:t>
      </w:r>
      <w:r w:rsidRPr="00477EA4">
        <w:rPr>
          <w:strike/>
        </w:rPr>
        <w:t>après la formule ci-dessus. Faire la moyenne des résultats obtenus pour chaque éprouvette. Au lieu des quatre mesures, on peut obtenir une valeur moyenne en faisant tourner l</w:t>
      </w:r>
      <w:r w:rsidR="001A0723">
        <w:rPr>
          <w:strike/>
        </w:rPr>
        <w:t>’</w:t>
      </w:r>
      <w:r w:rsidRPr="00477EA4">
        <w:rPr>
          <w:strike/>
        </w:rPr>
        <w:t>éprouvette, avec régularité, à la vitesse de 3 tr/s ou davantage.</w:t>
      </w:r>
      <w:r w:rsidR="008E599E" w:rsidRPr="008E599E">
        <w:t> </w:t>
      </w:r>
      <w:r w:rsidRPr="00797756">
        <w:t>».</w:t>
      </w:r>
    </w:p>
    <w:p w:rsidR="00797756" w:rsidRPr="00797756" w:rsidRDefault="00797756" w:rsidP="00797756">
      <w:pPr>
        <w:pStyle w:val="SingleTxtG"/>
      </w:pPr>
      <w:r w:rsidRPr="00797756">
        <w:rPr>
          <w:i/>
        </w:rPr>
        <w:lastRenderedPageBreak/>
        <w:t>Ajouter les nouveaux paragraphes 4.4.4 à 4.4.6</w:t>
      </w:r>
      <w:r w:rsidRPr="00797756">
        <w:t>, libellés comme suit (en ajoutant aussi la nouvelle figure 5.2)</w:t>
      </w:r>
      <w:r w:rsidR="00CF71DB">
        <w:t> </w:t>
      </w:r>
      <w:r w:rsidRPr="00797756">
        <w:t>:</w:t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797756">
        <w:t>«</w:t>
      </w:r>
      <w:r w:rsidR="00CF71DB">
        <w:t> </w:t>
      </w:r>
      <w:r w:rsidRPr="00797756">
        <w:rPr>
          <w:b/>
        </w:rPr>
        <w:t>4.4.4</w:t>
      </w:r>
      <w:r w:rsidRPr="00797756">
        <w:rPr>
          <w:b/>
        </w:rPr>
        <w:tab/>
        <w:t>Abrasion</w:t>
      </w:r>
    </w:p>
    <w:p w:rsidR="00797756" w:rsidRPr="00797756" w:rsidRDefault="00797756" w:rsidP="00CF71DB">
      <w:pPr>
        <w:pStyle w:val="SingleTxtG"/>
        <w:ind w:left="2268"/>
        <w:rPr>
          <w:b/>
        </w:rPr>
      </w:pPr>
      <w:r w:rsidRPr="00797756">
        <w:rPr>
          <w:b/>
        </w:rPr>
        <w:tab/>
        <w:t>Effectuer, pour chaque type de vitrages de sécurité, trois essais sous la même charge. Utiliser l</w:t>
      </w:r>
      <w:r w:rsidR="001A0723">
        <w:rPr>
          <w:b/>
        </w:rPr>
        <w:t>’</w:t>
      </w:r>
      <w:r w:rsidRPr="00797756">
        <w:rPr>
          <w:b/>
        </w:rPr>
        <w:t>atténuation de visibilité comme mesure de l</w:t>
      </w:r>
      <w:r w:rsidR="001A0723">
        <w:rPr>
          <w:b/>
        </w:rPr>
        <w:t>’</w:t>
      </w:r>
      <w:r w:rsidRPr="00797756">
        <w:rPr>
          <w:b/>
        </w:rPr>
        <w:t>abrasion sous-jacente, après que l</w:t>
      </w:r>
      <w:r w:rsidR="001A0723">
        <w:rPr>
          <w:b/>
        </w:rPr>
        <w:t>’</w:t>
      </w:r>
      <w:r w:rsidRPr="00797756">
        <w:rPr>
          <w:b/>
        </w:rPr>
        <w:t>éprouvette a été soumise à l</w:t>
      </w:r>
      <w:r w:rsidR="001A0723">
        <w:rPr>
          <w:b/>
        </w:rPr>
        <w:t>’</w:t>
      </w:r>
      <w:r w:rsidRPr="00797756">
        <w:rPr>
          <w:b/>
        </w:rPr>
        <w:t>essai d</w:t>
      </w:r>
      <w:r w:rsidR="001A0723">
        <w:rPr>
          <w:b/>
        </w:rPr>
        <w:t>’</w:t>
      </w:r>
      <w:r w:rsidRPr="00797756">
        <w:rPr>
          <w:b/>
        </w:rPr>
        <w:t>abrasion.</w:t>
      </w:r>
    </w:p>
    <w:p w:rsidR="00797756" w:rsidRPr="00797756" w:rsidRDefault="00797756" w:rsidP="00CF71DB">
      <w:pPr>
        <w:pStyle w:val="SingleTxtG"/>
        <w:ind w:left="2268"/>
        <w:rPr>
          <w:b/>
        </w:rPr>
      </w:pPr>
      <w:r w:rsidRPr="00797756">
        <w:rPr>
          <w:b/>
        </w:rPr>
        <w:tab/>
        <w:t>Monter l</w:t>
      </w:r>
      <w:r w:rsidR="001A0723">
        <w:rPr>
          <w:b/>
        </w:rPr>
        <w:t>’</w:t>
      </w:r>
      <w:r w:rsidRPr="00797756">
        <w:rPr>
          <w:b/>
        </w:rPr>
        <w:t>éprouvette sur le plateau tournant avec la partie à abraser tournée vers le haut. L</w:t>
      </w:r>
      <w:r w:rsidR="001A0723">
        <w:rPr>
          <w:b/>
        </w:rPr>
        <w:t>’</w:t>
      </w:r>
      <w:r w:rsidRPr="00797756">
        <w:rPr>
          <w:b/>
        </w:rPr>
        <w:t>éprouvette d</w:t>
      </w:r>
      <w:r w:rsidR="001A0723">
        <w:rPr>
          <w:b/>
        </w:rPr>
        <w:t>’</w:t>
      </w:r>
      <w:r w:rsidRPr="00797756">
        <w:rPr>
          <w:b/>
        </w:rPr>
        <w:t>essai doit être orientée à 45° par rapport à l</w:t>
      </w:r>
      <w:r w:rsidR="001A0723">
        <w:rPr>
          <w:b/>
        </w:rPr>
        <w:t>’</w:t>
      </w:r>
      <w:r w:rsidRPr="00797756">
        <w:rPr>
          <w:b/>
        </w:rPr>
        <w:t>avant de l</w:t>
      </w:r>
      <w:r w:rsidR="001A0723">
        <w:rPr>
          <w:b/>
        </w:rPr>
        <w:t>’</w:t>
      </w:r>
      <w:r w:rsidRPr="00797756">
        <w:rPr>
          <w:b/>
        </w:rPr>
        <w:t>appareil, comme il est indiqué à la figure 5.2. Fixer l</w:t>
      </w:r>
      <w:r w:rsidR="001A0723">
        <w:rPr>
          <w:b/>
        </w:rPr>
        <w:t>’</w:t>
      </w:r>
      <w:r w:rsidRPr="00797756">
        <w:rPr>
          <w:b/>
        </w:rPr>
        <w:t>éprouvette à l</w:t>
      </w:r>
      <w:r w:rsidR="001A0723">
        <w:rPr>
          <w:b/>
        </w:rPr>
        <w:t>’</w:t>
      </w:r>
      <w:r w:rsidRPr="00797756">
        <w:rPr>
          <w:b/>
        </w:rPr>
        <w:t>aide de l</w:t>
      </w:r>
      <w:r w:rsidR="001A0723">
        <w:rPr>
          <w:b/>
        </w:rPr>
        <w:t>’</w:t>
      </w:r>
      <w:r w:rsidRPr="00797756">
        <w:rPr>
          <w:b/>
        </w:rPr>
        <w:t>embase et de l</w:t>
      </w:r>
      <w:r w:rsidR="001A0723">
        <w:rPr>
          <w:b/>
        </w:rPr>
        <w:t>’</w:t>
      </w:r>
      <w:r w:rsidRPr="00797756">
        <w:rPr>
          <w:b/>
        </w:rPr>
        <w:t>écrou de fixation. Fixer sur le dispositif d</w:t>
      </w:r>
      <w:r w:rsidR="001A0723">
        <w:rPr>
          <w:b/>
        </w:rPr>
        <w:t>’</w:t>
      </w:r>
      <w:r w:rsidRPr="00797756">
        <w:rPr>
          <w:b/>
        </w:rPr>
        <w:t>abrasion la charge correspondant à une masse totale de 500 g (par roulette). Abaisser la buse d</w:t>
      </w:r>
      <w:r w:rsidR="001A0723">
        <w:rPr>
          <w:b/>
        </w:rPr>
        <w:t>’</w:t>
      </w:r>
      <w:r w:rsidRPr="00797756">
        <w:rPr>
          <w:b/>
        </w:rPr>
        <w:t>aspiration à 1 mm au-dessus de la pierre à refaçonner, à l</w:t>
      </w:r>
      <w:r w:rsidR="001A0723">
        <w:rPr>
          <w:b/>
        </w:rPr>
        <w:t>’</w:t>
      </w:r>
      <w:r w:rsidRPr="00797756">
        <w:rPr>
          <w:b/>
        </w:rPr>
        <w:t>aide d</w:t>
      </w:r>
      <w:r w:rsidR="001A0723">
        <w:rPr>
          <w:b/>
        </w:rPr>
        <w:t>’</w:t>
      </w:r>
      <w:r w:rsidRPr="00797756">
        <w:rPr>
          <w:b/>
        </w:rPr>
        <w:t>un étalon d</w:t>
      </w:r>
      <w:r w:rsidR="001A0723">
        <w:rPr>
          <w:b/>
        </w:rPr>
        <w:t>’</w:t>
      </w:r>
      <w:r w:rsidRPr="00797756">
        <w:rPr>
          <w:b/>
        </w:rPr>
        <w:t>une épaisseur de 1 mm ou d</w:t>
      </w:r>
      <w:r w:rsidR="001A0723">
        <w:rPr>
          <w:b/>
        </w:rPr>
        <w:t>’</w:t>
      </w:r>
      <w:r w:rsidRPr="00797756">
        <w:rPr>
          <w:b/>
        </w:rPr>
        <w:t>une goupille de positionnement cylindrique de 1</w:t>
      </w:r>
      <w:r w:rsidR="00CF71DB">
        <w:rPr>
          <w:b/>
        </w:rPr>
        <w:t> </w:t>
      </w:r>
      <w:r w:rsidRPr="00797756">
        <w:rPr>
          <w:b/>
        </w:rPr>
        <w:t>mm de diamètre. Après avoir réglé la hauteur de la buse d</w:t>
      </w:r>
      <w:r w:rsidR="001A0723">
        <w:rPr>
          <w:b/>
        </w:rPr>
        <w:t>’</w:t>
      </w:r>
      <w:r w:rsidRPr="00797756">
        <w:rPr>
          <w:b/>
        </w:rPr>
        <w:t>aspiration, veiller à ce que l</w:t>
      </w:r>
      <w:r w:rsidR="001A0723">
        <w:rPr>
          <w:b/>
        </w:rPr>
        <w:t>’</w:t>
      </w:r>
      <w:r w:rsidRPr="00797756">
        <w:rPr>
          <w:b/>
        </w:rPr>
        <w:t>orifice inférieur de la buse ne se trouve pas au contact de l</w:t>
      </w:r>
      <w:r w:rsidR="001A0723">
        <w:rPr>
          <w:b/>
        </w:rPr>
        <w:t>’</w:t>
      </w:r>
      <w:r w:rsidRPr="00797756">
        <w:rPr>
          <w:b/>
        </w:rPr>
        <w:t>éprouvette d</w:t>
      </w:r>
      <w:r w:rsidR="001A0723">
        <w:rPr>
          <w:b/>
        </w:rPr>
        <w:t>’</w:t>
      </w:r>
      <w:r w:rsidRPr="00797756">
        <w:rPr>
          <w:b/>
        </w:rPr>
        <w:t>essai.</w:t>
      </w:r>
    </w:p>
    <w:p w:rsidR="00797756" w:rsidRPr="00797756" w:rsidRDefault="00797756" w:rsidP="00CF71DB">
      <w:pPr>
        <w:pStyle w:val="SingleTxtG"/>
        <w:ind w:left="2268"/>
        <w:rPr>
          <w:b/>
        </w:rPr>
      </w:pPr>
      <w:r w:rsidRPr="00797756">
        <w:rPr>
          <w:b/>
        </w:rPr>
        <w:tab/>
        <w:t>Régler la force d</w:t>
      </w:r>
      <w:r w:rsidR="001A0723">
        <w:rPr>
          <w:b/>
        </w:rPr>
        <w:t>’</w:t>
      </w:r>
      <w:r w:rsidRPr="00797756">
        <w:rPr>
          <w:b/>
        </w:rPr>
        <w:t>aspiration à une pression résiduelle inférieure ou égale à 13,7 kPa (137 mbar). Abaisser les bras de sorte que les roulettes soient au contact de la surface de l</w:t>
      </w:r>
      <w:r w:rsidR="001A0723">
        <w:rPr>
          <w:b/>
        </w:rPr>
        <w:t>’</w:t>
      </w:r>
      <w:r w:rsidRPr="00797756">
        <w:rPr>
          <w:b/>
        </w:rPr>
        <w:t>éprouvette d</w:t>
      </w:r>
      <w:r w:rsidR="001A0723">
        <w:rPr>
          <w:b/>
        </w:rPr>
        <w:t>’</w:t>
      </w:r>
      <w:r w:rsidRPr="00797756">
        <w:rPr>
          <w:b/>
        </w:rPr>
        <w:t>essai. Régler le compteur sur zéro et programmer le nombre de cycles approprié. Mettre en marche le dispositif d</w:t>
      </w:r>
      <w:r w:rsidR="001A0723">
        <w:rPr>
          <w:b/>
        </w:rPr>
        <w:t>’</w:t>
      </w:r>
      <w:r w:rsidRPr="00797756">
        <w:rPr>
          <w:b/>
        </w:rPr>
        <w:t>abrasion et soumettre l</w:t>
      </w:r>
      <w:r w:rsidR="001A0723">
        <w:rPr>
          <w:b/>
        </w:rPr>
        <w:t>’</w:t>
      </w:r>
      <w:r w:rsidRPr="00797756">
        <w:rPr>
          <w:b/>
        </w:rPr>
        <w:t>éprouvette d</w:t>
      </w:r>
      <w:r w:rsidR="001A0723">
        <w:rPr>
          <w:b/>
        </w:rPr>
        <w:t>’</w:t>
      </w:r>
      <w:r w:rsidRPr="00797756">
        <w:rPr>
          <w:b/>
        </w:rPr>
        <w:t>essai au nombre de cycles d</w:t>
      </w:r>
      <w:r w:rsidR="001A0723">
        <w:rPr>
          <w:b/>
        </w:rPr>
        <w:t>’</w:t>
      </w:r>
      <w:r w:rsidRPr="00797756">
        <w:rPr>
          <w:b/>
        </w:rPr>
        <w:t>abrasion sélectionné.</w:t>
      </w:r>
    </w:p>
    <w:p w:rsidR="00797756" w:rsidRPr="00CF71DB" w:rsidRDefault="00CF71DB" w:rsidP="00CF71DB">
      <w:pPr>
        <w:pStyle w:val="SingleTxtG"/>
        <w:jc w:val="left"/>
        <w:rPr>
          <w:b/>
        </w:rPr>
      </w:pPr>
      <w:r w:rsidRPr="00912E69">
        <w:rPr>
          <w:noProof/>
          <w:sz w:val="24"/>
          <w:szCs w:val="24"/>
          <w:lang w:eastAsia="fr-CH"/>
        </w:rPr>
        <w:drawing>
          <wp:anchor distT="0" distB="0" distL="114300" distR="114300" simplePos="0" relativeHeight="251671552" behindDoc="0" locked="0" layoutInCell="1" allowOverlap="1" wp14:anchorId="146F918D" wp14:editId="172F7D81">
            <wp:simplePos x="0" y="0"/>
            <wp:positionH relativeFrom="column">
              <wp:posOffset>1734820</wp:posOffset>
            </wp:positionH>
            <wp:positionV relativeFrom="paragraph">
              <wp:posOffset>534035</wp:posOffset>
            </wp:positionV>
            <wp:extent cx="2747010" cy="2020570"/>
            <wp:effectExtent l="0" t="0" r="0" b="0"/>
            <wp:wrapTopAndBottom/>
            <wp:docPr id="5" name="Grafik 5" descr="ASTM D1044 - sample ori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TM D1044 - sample orientati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756" w:rsidRPr="00CF71DB">
        <w:rPr>
          <w:b/>
        </w:rPr>
        <w:t>Figure 5.2</w:t>
      </w:r>
      <w:r>
        <w:rPr>
          <w:b/>
        </w:rPr>
        <w:br/>
      </w:r>
      <w:r w:rsidR="00797756" w:rsidRPr="00CF71DB">
        <w:rPr>
          <w:b/>
        </w:rPr>
        <w:t>Plateau tournant du dispositif d</w:t>
      </w:r>
      <w:r w:rsidR="001A0723">
        <w:rPr>
          <w:b/>
        </w:rPr>
        <w:t>’</w:t>
      </w:r>
      <w:r w:rsidR="00797756" w:rsidRPr="00CF71DB">
        <w:rPr>
          <w:b/>
        </w:rPr>
        <w:t>abrasion avec une éprouvette d</w:t>
      </w:r>
      <w:r w:rsidR="001A0723">
        <w:rPr>
          <w:b/>
        </w:rPr>
        <w:t>’</w:t>
      </w:r>
      <w:r w:rsidR="00797756" w:rsidRPr="00CF71DB">
        <w:rPr>
          <w:b/>
        </w:rPr>
        <w:t>essai montée à 45° par rapport à l</w:t>
      </w:r>
      <w:r w:rsidR="001A0723">
        <w:rPr>
          <w:b/>
        </w:rPr>
        <w:t>’</w:t>
      </w:r>
      <w:r w:rsidR="00797756" w:rsidRPr="00CF71DB">
        <w:rPr>
          <w:b/>
        </w:rPr>
        <w:t>avant de l</w:t>
      </w:r>
      <w:r w:rsidR="001A0723">
        <w:rPr>
          <w:b/>
        </w:rPr>
        <w:t>’</w:t>
      </w:r>
      <w:r w:rsidR="00797756" w:rsidRPr="00CF71DB">
        <w:rPr>
          <w:b/>
        </w:rPr>
        <w:t>appareil</w:t>
      </w:r>
    </w:p>
    <w:p w:rsidR="00797756" w:rsidRPr="00797756" w:rsidRDefault="00797756" w:rsidP="00CF71DB">
      <w:pPr>
        <w:pStyle w:val="SingleTxtG"/>
        <w:spacing w:before="240"/>
        <w:ind w:left="2268" w:hanging="1134"/>
        <w:rPr>
          <w:b/>
        </w:rPr>
      </w:pPr>
      <w:r w:rsidRPr="00797756">
        <w:rPr>
          <w:b/>
        </w:rPr>
        <w:t>4.4.5</w:t>
      </w:r>
      <w:r w:rsidRPr="00797756">
        <w:rPr>
          <w:b/>
        </w:rPr>
        <w:tab/>
        <w:t>Nettoyage après abrasion</w:t>
      </w:r>
    </w:p>
    <w:p w:rsidR="00797756" w:rsidRPr="00797756" w:rsidRDefault="00797756" w:rsidP="00CF71DB">
      <w:pPr>
        <w:pStyle w:val="SingleTxtG"/>
        <w:ind w:left="2268"/>
        <w:rPr>
          <w:b/>
        </w:rPr>
      </w:pPr>
      <w:r w:rsidRPr="00797756">
        <w:rPr>
          <w:b/>
        </w:rPr>
        <w:tab/>
        <w:t>Après avoir procédé à l</w:t>
      </w:r>
      <w:r w:rsidR="001A0723">
        <w:rPr>
          <w:b/>
        </w:rPr>
        <w:t>’</w:t>
      </w:r>
      <w:r w:rsidRPr="00797756">
        <w:rPr>
          <w:b/>
        </w:rPr>
        <w:t>essai d</w:t>
      </w:r>
      <w:r w:rsidR="001A0723">
        <w:rPr>
          <w:b/>
        </w:rPr>
        <w:t>’</w:t>
      </w:r>
      <w:r w:rsidRPr="00797756">
        <w:rPr>
          <w:b/>
        </w:rPr>
        <w:t>abrasion, manipuler les éprouvettes d</w:t>
      </w:r>
      <w:r w:rsidR="001A0723">
        <w:rPr>
          <w:b/>
        </w:rPr>
        <w:t>’</w:t>
      </w:r>
      <w:r w:rsidRPr="00797756">
        <w:rPr>
          <w:b/>
        </w:rPr>
        <w:t>essai par leurs bords pour éviter toute contamination de leur surface. Utiliser une brosse antistatique à poils souples pour débarrasser délicatement la surface des éprouvettes de tout résidu ; on peut, sinon, rincer les éprouvettes à l</w:t>
      </w:r>
      <w:r w:rsidR="001A0723">
        <w:rPr>
          <w:b/>
        </w:rPr>
        <w:t>’</w:t>
      </w:r>
      <w:r w:rsidRPr="00797756">
        <w:rPr>
          <w:b/>
        </w:rPr>
        <w:t>aide d</w:t>
      </w:r>
      <w:r w:rsidR="001A0723">
        <w:rPr>
          <w:b/>
        </w:rPr>
        <w:t>’</w:t>
      </w:r>
      <w:r w:rsidRPr="00797756">
        <w:rPr>
          <w:b/>
        </w:rPr>
        <w:t>eau distillée, désionisée ou déminéralisée. Nettoyer les éprouvettes d</w:t>
      </w:r>
      <w:r w:rsidR="001A0723">
        <w:rPr>
          <w:b/>
        </w:rPr>
        <w:t>’</w:t>
      </w:r>
      <w:r w:rsidRPr="00797756">
        <w:rPr>
          <w:b/>
        </w:rPr>
        <w:t>essai conformément à la procédure décrite au paragraphe 4.4.1.</w:t>
      </w:r>
    </w:p>
    <w:p w:rsidR="00797756" w:rsidRPr="00797756" w:rsidRDefault="00797756" w:rsidP="00CF71DB">
      <w:pPr>
        <w:pStyle w:val="SingleTxtG"/>
        <w:ind w:left="2268"/>
        <w:rPr>
          <w:b/>
        </w:rPr>
      </w:pPr>
      <w:r w:rsidRPr="00797756">
        <w:rPr>
          <w:b/>
        </w:rPr>
        <w:tab/>
        <w:t>Après chaque essai, inspecter la buse d</w:t>
      </w:r>
      <w:r w:rsidR="001A0723">
        <w:rPr>
          <w:b/>
        </w:rPr>
        <w:t>’</w:t>
      </w:r>
      <w:r w:rsidRPr="00797756">
        <w:rPr>
          <w:b/>
        </w:rPr>
        <w:t>aspiration pour y déceler la présence de résidus et nettoyer si besoin à l</w:t>
      </w:r>
      <w:r w:rsidR="001A0723">
        <w:rPr>
          <w:b/>
        </w:rPr>
        <w:t>’</w:t>
      </w:r>
      <w:r w:rsidRPr="00797756">
        <w:rPr>
          <w:b/>
        </w:rPr>
        <w:t>aide d</w:t>
      </w:r>
      <w:r w:rsidR="001A0723">
        <w:rPr>
          <w:b/>
        </w:rPr>
        <w:t>’</w:t>
      </w:r>
      <w:r w:rsidRPr="00797756">
        <w:rPr>
          <w:b/>
        </w:rPr>
        <w:t>une brosse, d</w:t>
      </w:r>
      <w:r w:rsidR="001A0723">
        <w:rPr>
          <w:b/>
        </w:rPr>
        <w:t>’</w:t>
      </w:r>
      <w:r w:rsidRPr="00797756">
        <w:rPr>
          <w:b/>
        </w:rPr>
        <w:t>un aspirateur ou de tout autre moyen approprié.</w:t>
      </w:r>
    </w:p>
    <w:p w:rsidR="00797756" w:rsidRPr="00797756" w:rsidRDefault="00797756" w:rsidP="00CF71DB">
      <w:pPr>
        <w:pStyle w:val="SingleTxtG"/>
        <w:keepNext/>
        <w:ind w:left="2268" w:hanging="1134"/>
        <w:rPr>
          <w:b/>
        </w:rPr>
      </w:pPr>
      <w:r w:rsidRPr="00797756">
        <w:rPr>
          <w:b/>
        </w:rPr>
        <w:lastRenderedPageBreak/>
        <w:t>4.4.6</w:t>
      </w:r>
      <w:r w:rsidRPr="00797756">
        <w:rPr>
          <w:b/>
        </w:rPr>
        <w:tab/>
      </w:r>
      <w:r w:rsidRPr="00797756">
        <w:rPr>
          <w:b/>
          <w:lang w:val="fr-FR"/>
        </w:rPr>
        <w:t>Mesure de l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atténuation de visibilité f</w:t>
      </w:r>
      <w:r w:rsidRPr="00797756">
        <w:rPr>
          <w:b/>
        </w:rPr>
        <w:t>inale</w:t>
      </w:r>
    </w:p>
    <w:p w:rsidR="00797756" w:rsidRPr="00797756" w:rsidRDefault="00797756" w:rsidP="00CF71DB">
      <w:pPr>
        <w:pStyle w:val="SingleTxtG"/>
        <w:ind w:left="2268"/>
        <w:rPr>
          <w:b/>
        </w:rPr>
      </w:pPr>
      <w:r w:rsidRPr="00797756">
        <w:rPr>
          <w:b/>
        </w:rPr>
        <w:tab/>
        <w:t>Placer dans l</w:t>
      </w:r>
      <w:r w:rsidR="001A0723">
        <w:rPr>
          <w:b/>
        </w:rPr>
        <w:t>’</w:t>
      </w:r>
      <w:r w:rsidRPr="00797756">
        <w:rPr>
          <w:b/>
        </w:rPr>
        <w:t>appareil de mesurage de l</w:t>
      </w:r>
      <w:r w:rsidR="001A0723">
        <w:rPr>
          <w:b/>
        </w:rPr>
        <w:t>’</w:t>
      </w:r>
      <w:r w:rsidRPr="00797756">
        <w:rPr>
          <w:b/>
        </w:rPr>
        <w:t xml:space="preserve">atténuation de visibilité </w:t>
      </w:r>
      <w:r w:rsidRPr="00797756">
        <w:rPr>
          <w:b/>
          <w:lang w:val="fr-FR"/>
        </w:rPr>
        <w:t>l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éprouvette d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 xml:space="preserve">essai </w:t>
      </w:r>
      <w:r w:rsidRPr="00797756">
        <w:rPr>
          <w:b/>
        </w:rPr>
        <w:t>soumise à l</w:t>
      </w:r>
      <w:r w:rsidR="001A0723">
        <w:rPr>
          <w:b/>
        </w:rPr>
        <w:t>’</w:t>
      </w:r>
      <w:r w:rsidRPr="00797756">
        <w:rPr>
          <w:b/>
        </w:rPr>
        <w:t xml:space="preserve">abrasion dans le support prévu à cet effet avec le côté abrasé face à </w:t>
      </w:r>
      <w:r w:rsidRPr="00797756">
        <w:rPr>
          <w:b/>
          <w:lang w:val="fr-FR"/>
        </w:rPr>
        <w:t>l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ouverture d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entrée de la sphère d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intégration</w:t>
      </w:r>
      <w:r w:rsidRPr="00797756">
        <w:rPr>
          <w:b/>
        </w:rPr>
        <w:t xml:space="preserve">. </w:t>
      </w:r>
      <w:r w:rsidRPr="00797756">
        <w:rPr>
          <w:b/>
          <w:lang w:val="fr-FR"/>
        </w:rPr>
        <w:t>Mesurer la lumière diffusée par la piste soumise à l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abrasion (atténuation de visibilité finale) pour au moins quatre points également espacés le long de cette piste d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après les formules données au</w:t>
      </w:r>
      <w:r w:rsidRPr="00797756">
        <w:rPr>
          <w:b/>
        </w:rPr>
        <w:t xml:space="preserve"> paragraphe 4.4.3. Si la piste soumise à l</w:t>
      </w:r>
      <w:r w:rsidR="001A0723">
        <w:rPr>
          <w:b/>
        </w:rPr>
        <w:t>’</w:t>
      </w:r>
      <w:r w:rsidRPr="00797756">
        <w:rPr>
          <w:b/>
        </w:rPr>
        <w:t>abrasion n</w:t>
      </w:r>
      <w:r w:rsidR="001A0723">
        <w:rPr>
          <w:b/>
        </w:rPr>
        <w:t>’</w:t>
      </w:r>
      <w:r w:rsidRPr="00797756">
        <w:rPr>
          <w:b/>
        </w:rPr>
        <w:t xml:space="preserve">est pas homogène, on peut procéder à cette mesure pour un maximum de 16 </w:t>
      </w:r>
      <w:r w:rsidRPr="00797756">
        <w:rPr>
          <w:b/>
          <w:lang w:val="fr-FR"/>
        </w:rPr>
        <w:t>points également espacés le long de la piste</w:t>
      </w:r>
      <w:r w:rsidRPr="00797756">
        <w:rPr>
          <w:b/>
        </w:rPr>
        <w:t>. Calculer la moyenne des résultats obtenus pour chaque éprouvette. L</w:t>
      </w:r>
      <w:r w:rsidR="001A0723">
        <w:rPr>
          <w:b/>
        </w:rPr>
        <w:t>’</w:t>
      </w:r>
      <w:r w:rsidRPr="00797756">
        <w:rPr>
          <w:b/>
        </w:rPr>
        <w:t>angle entre la perpendiculaire à la surface de l</w:t>
      </w:r>
      <w:r w:rsidR="001A0723">
        <w:rPr>
          <w:b/>
        </w:rPr>
        <w:t>’</w:t>
      </w:r>
      <w:r w:rsidRPr="00797756">
        <w:rPr>
          <w:b/>
        </w:rPr>
        <w:t>éprouvette d</w:t>
      </w:r>
      <w:r w:rsidR="001A0723">
        <w:rPr>
          <w:b/>
        </w:rPr>
        <w:t>’</w:t>
      </w:r>
      <w:r w:rsidRPr="00797756">
        <w:rPr>
          <w:b/>
        </w:rPr>
        <w:t>essai et l</w:t>
      </w:r>
      <w:r w:rsidR="001A0723">
        <w:rPr>
          <w:b/>
        </w:rPr>
        <w:t>’</w:t>
      </w:r>
      <w:r w:rsidRPr="00797756">
        <w:rPr>
          <w:b/>
        </w:rPr>
        <w:t xml:space="preserve">axe du faisceau ne doit pas être supérieur à 8°. </w:t>
      </w:r>
      <w:r w:rsidRPr="001A0723">
        <w:rPr>
          <w:b/>
        </w:rPr>
        <w:t>Au lieu des quatre mesures, on peut obtenir une valeur moyenne en faisant tourner l</w:t>
      </w:r>
      <w:r w:rsidR="001A0723" w:rsidRPr="001A0723">
        <w:rPr>
          <w:b/>
        </w:rPr>
        <w:t>’</w:t>
      </w:r>
      <w:r w:rsidRPr="001A0723">
        <w:rPr>
          <w:b/>
        </w:rPr>
        <w:t>éprouvette, avec régularité, à la vitesse de 3 tr/s ou davantage.</w:t>
      </w:r>
      <w:r w:rsidR="00CF71DB">
        <w:t> </w:t>
      </w:r>
      <w:r w:rsidRPr="00797756">
        <w:t>».</w:t>
      </w:r>
    </w:p>
    <w:p w:rsidR="00797756" w:rsidRPr="00797756" w:rsidRDefault="00797756" w:rsidP="00797756">
      <w:pPr>
        <w:pStyle w:val="SingleTxtG"/>
      </w:pPr>
      <w:r w:rsidRPr="00797756">
        <w:rPr>
          <w:i/>
        </w:rPr>
        <w:t>Paragraphe 4.5</w:t>
      </w:r>
      <w:r w:rsidRPr="00797756">
        <w:t>,</w:t>
      </w:r>
      <w:r w:rsidRPr="00797756">
        <w:rPr>
          <w:i/>
        </w:rPr>
        <w:t xml:space="preserve"> </w:t>
      </w:r>
      <w:r w:rsidRPr="00797756">
        <w:t>modifier comme suit</w:t>
      </w:r>
      <w:r w:rsidR="00CF71DB">
        <w:t> </w:t>
      </w:r>
      <w:r w:rsidRPr="00797756">
        <w:t xml:space="preserve">: </w:t>
      </w:r>
    </w:p>
    <w:p w:rsidR="00797756" w:rsidRPr="00CF71DB" w:rsidRDefault="00797756" w:rsidP="00A408E6">
      <w:pPr>
        <w:pStyle w:val="SingleTxtG"/>
        <w:ind w:left="2268" w:hanging="1134"/>
        <w:rPr>
          <w:strike/>
        </w:rPr>
      </w:pPr>
      <w:r w:rsidRPr="00797756">
        <w:t>«</w:t>
      </w:r>
      <w:r w:rsidR="00CF71DB">
        <w:t> </w:t>
      </w:r>
      <w:r w:rsidRPr="00797756">
        <w:t>4.5</w:t>
      </w:r>
      <w:r w:rsidRPr="00797756">
        <w:tab/>
      </w:r>
      <w:r w:rsidRPr="00CF71DB">
        <w:rPr>
          <w:strike/>
        </w:rPr>
        <w:t>L</w:t>
      </w:r>
      <w:r w:rsidR="001A0723">
        <w:rPr>
          <w:strike/>
        </w:rPr>
        <w:t>’</w:t>
      </w:r>
      <w:r w:rsidRPr="00CF71DB">
        <w:rPr>
          <w:strike/>
        </w:rPr>
        <w:t>essai d</w:t>
      </w:r>
      <w:r w:rsidR="001A0723">
        <w:rPr>
          <w:strike/>
        </w:rPr>
        <w:t>’</w:t>
      </w:r>
      <w:r w:rsidRPr="00CF71DB">
        <w:rPr>
          <w:strike/>
        </w:rPr>
        <w:t>abrasion ne sera effectué que si le laboratoire réalisant l</w:t>
      </w:r>
      <w:r w:rsidR="001A0723">
        <w:rPr>
          <w:strike/>
        </w:rPr>
        <w:t>’</w:t>
      </w:r>
      <w:r w:rsidRPr="00CF71DB">
        <w:rPr>
          <w:strike/>
        </w:rPr>
        <w:t xml:space="preserve">essai le juge nécessaire compte tenu des informations dont il dispose. </w:t>
      </w:r>
    </w:p>
    <w:p w:rsidR="00797756" w:rsidRPr="00797756" w:rsidRDefault="00797756" w:rsidP="00CF71DB">
      <w:pPr>
        <w:pStyle w:val="SingleTxtG"/>
        <w:ind w:left="2268"/>
        <w:rPr>
          <w:b/>
        </w:rPr>
      </w:pPr>
      <w:r w:rsidRPr="00CF71DB">
        <w:rPr>
          <w:strike/>
        </w:rPr>
        <w:tab/>
        <w:t>Excepté pour les matériaux en verre plastique, en cas de modification de l</w:t>
      </w:r>
      <w:r w:rsidR="001A0723">
        <w:rPr>
          <w:strike/>
        </w:rPr>
        <w:t>’</w:t>
      </w:r>
      <w:r w:rsidRPr="00CF71DB">
        <w:rPr>
          <w:strike/>
        </w:rPr>
        <w:t>épaisseur de l</w:t>
      </w:r>
      <w:r w:rsidR="001A0723">
        <w:rPr>
          <w:strike/>
        </w:rPr>
        <w:t>’</w:t>
      </w:r>
      <w:r w:rsidRPr="00CF71DB">
        <w:rPr>
          <w:strike/>
        </w:rPr>
        <w:t>intercalaire ou du matériau, il ne sera en règle générale pas requis de procéder à l</w:t>
      </w:r>
      <w:r w:rsidR="001A0723">
        <w:rPr>
          <w:strike/>
        </w:rPr>
        <w:t>’</w:t>
      </w:r>
      <w:r w:rsidRPr="00CF71DB">
        <w:rPr>
          <w:strike/>
        </w:rPr>
        <w:t>autre essai.</w:t>
      </w:r>
      <w:r w:rsidRPr="00797756">
        <w:t xml:space="preserve"> </w:t>
      </w:r>
      <w:r w:rsidRPr="00797756">
        <w:rPr>
          <w:b/>
        </w:rPr>
        <w:t>Expression des résultats</w:t>
      </w:r>
      <w:r w:rsidR="00BB4B75">
        <w:rPr>
          <w:b/>
        </w:rPr>
        <w:t>.</w:t>
      </w:r>
      <w:r w:rsidRPr="00BB4B75">
        <w:t> ».</w:t>
      </w:r>
    </w:p>
    <w:p w:rsidR="00797756" w:rsidRPr="00797756" w:rsidRDefault="00797756" w:rsidP="00797756">
      <w:pPr>
        <w:pStyle w:val="SingleTxtG"/>
      </w:pPr>
      <w:r w:rsidRPr="00797756">
        <w:rPr>
          <w:i/>
        </w:rPr>
        <w:t>Ajouter les nouveaux paragraphes 4.5.1, 4.5.2, 4.5.2.1 et 4.5.2.2</w:t>
      </w:r>
      <w:r w:rsidRPr="00797756">
        <w:t>,</w:t>
      </w:r>
      <w:r w:rsidRPr="00797756">
        <w:rPr>
          <w:i/>
        </w:rPr>
        <w:t xml:space="preserve"> </w:t>
      </w:r>
      <w:r w:rsidRPr="00797756">
        <w:t>libellés comme suit</w:t>
      </w:r>
      <w:r w:rsidR="00CF71DB">
        <w:t> </w:t>
      </w:r>
      <w:r w:rsidRPr="00797756">
        <w:t>:</w:t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BB4B75">
        <w:t>«</w:t>
      </w:r>
      <w:r w:rsidR="00CF71DB" w:rsidRPr="00BB4B75">
        <w:t> </w:t>
      </w:r>
      <w:r w:rsidRPr="00797756">
        <w:rPr>
          <w:b/>
        </w:rPr>
        <w:t>4.5.1</w:t>
      </w:r>
      <w:r w:rsidRPr="00797756">
        <w:rPr>
          <w:b/>
        </w:rPr>
        <w:tab/>
        <w:t>Généralités</w:t>
      </w:r>
    </w:p>
    <w:p w:rsidR="00797756" w:rsidRPr="00797756" w:rsidRDefault="00797756" w:rsidP="00CF71DB">
      <w:pPr>
        <w:pStyle w:val="SingleTxtG"/>
        <w:ind w:left="2268"/>
        <w:rPr>
          <w:b/>
        </w:rPr>
      </w:pPr>
      <w:r w:rsidRPr="00797756">
        <w:rPr>
          <w:b/>
        </w:rPr>
        <w:tab/>
        <w:t xml:space="preserve">En soustrayant </w:t>
      </w:r>
      <w:r w:rsidRPr="00797756">
        <w:rPr>
          <w:b/>
          <w:lang w:val="fr-FR"/>
        </w:rPr>
        <w:t>l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atténuation de visibilité initiale</w:t>
      </w:r>
      <w:r w:rsidRPr="00797756">
        <w:rPr>
          <w:b/>
        </w:rPr>
        <w:t xml:space="preserve"> moyenne de </w:t>
      </w:r>
      <w:r w:rsidRPr="00797756">
        <w:rPr>
          <w:b/>
          <w:lang w:val="fr-FR"/>
        </w:rPr>
        <w:t>l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atténuation de visibilité finale</w:t>
      </w:r>
      <w:r w:rsidRPr="00797756">
        <w:rPr>
          <w:b/>
        </w:rPr>
        <w:t xml:space="preserve"> moyenne, on obtient le facteur de diffusion résultant de l</w:t>
      </w:r>
      <w:r w:rsidR="001A0723">
        <w:rPr>
          <w:b/>
        </w:rPr>
        <w:t>’</w:t>
      </w:r>
      <w:r w:rsidRPr="00797756">
        <w:rPr>
          <w:b/>
        </w:rPr>
        <w:t>abrasion de l</w:t>
      </w:r>
      <w:r w:rsidR="001A0723">
        <w:rPr>
          <w:b/>
        </w:rPr>
        <w:t>’</w:t>
      </w:r>
      <w:r w:rsidRPr="00797756">
        <w:rPr>
          <w:b/>
        </w:rPr>
        <w:t>éprouvette d</w:t>
      </w:r>
      <w:r w:rsidR="001A0723">
        <w:rPr>
          <w:b/>
        </w:rPr>
        <w:t>’</w:t>
      </w:r>
      <w:r w:rsidRPr="00797756">
        <w:rPr>
          <w:b/>
        </w:rPr>
        <w:t>essai, également nommé Δhaze.</w:t>
      </w:r>
    </w:p>
    <w:p w:rsidR="00797756" w:rsidRPr="00797756" w:rsidRDefault="00CF71DB" w:rsidP="00A408E6">
      <w:pPr>
        <w:pStyle w:val="SingleTxtG"/>
        <w:ind w:left="2268" w:hanging="1134"/>
        <w:rPr>
          <w:b/>
        </w:rPr>
      </w:pPr>
      <w:r>
        <w:rPr>
          <w:b/>
        </w:rPr>
        <w:t>4.</w:t>
      </w:r>
      <w:r w:rsidR="00797756" w:rsidRPr="00797756">
        <w:rPr>
          <w:b/>
        </w:rPr>
        <w:t>5.2</w:t>
      </w:r>
      <w:r w:rsidR="00797756" w:rsidRPr="00797756">
        <w:rPr>
          <w:b/>
        </w:rPr>
        <w:tab/>
        <w:t>Calcul du facteur de correction, pour l</w:t>
      </w:r>
      <w:r w:rsidR="001A0723">
        <w:rPr>
          <w:b/>
        </w:rPr>
        <w:t>’</w:t>
      </w:r>
      <w:r w:rsidR="00797756" w:rsidRPr="00797756">
        <w:rPr>
          <w:b/>
        </w:rPr>
        <w:t>essai des matières plastiques uniquement</w:t>
      </w:r>
    </w:p>
    <w:p w:rsidR="00797756" w:rsidRPr="00797756" w:rsidRDefault="00797756" w:rsidP="00CF71DB">
      <w:pPr>
        <w:pStyle w:val="SingleTxtG"/>
        <w:ind w:left="2268"/>
        <w:rPr>
          <w:b/>
        </w:rPr>
      </w:pPr>
      <w:r w:rsidRPr="00797756">
        <w:rPr>
          <w:b/>
        </w:rPr>
        <w:tab/>
        <w:t>La valeur mesurée pour ∆haze doit être ajustée à l</w:t>
      </w:r>
      <w:r w:rsidR="001A0723">
        <w:rPr>
          <w:b/>
        </w:rPr>
        <w:t>’</w:t>
      </w:r>
      <w:r w:rsidRPr="00797756">
        <w:rPr>
          <w:b/>
        </w:rPr>
        <w:t>aide d</w:t>
      </w:r>
      <w:r w:rsidR="001A0723">
        <w:rPr>
          <w:b/>
        </w:rPr>
        <w:t>’</w:t>
      </w:r>
      <w:r w:rsidRPr="00797756">
        <w:rPr>
          <w:b/>
        </w:rPr>
        <w:t>un facteur de correction fondé sur la valeur déterminée pour les échantillons de polycarbonate de référence enduits de revêtement AS4000S en procédant à des essais à l</w:t>
      </w:r>
      <w:r w:rsidR="001A0723">
        <w:rPr>
          <w:b/>
        </w:rPr>
        <w:t>’</w:t>
      </w:r>
      <w:r w:rsidRPr="00797756">
        <w:rPr>
          <w:b/>
        </w:rPr>
        <w:t>aide d</w:t>
      </w:r>
      <w:r w:rsidR="001A0723">
        <w:rPr>
          <w:b/>
        </w:rPr>
        <w:t>’</w:t>
      </w:r>
      <w:r w:rsidRPr="00797756">
        <w:rPr>
          <w:b/>
        </w:rPr>
        <w:t>une même paire de roulettes (cf. par</w:t>
      </w:r>
      <w:r w:rsidR="00BB4B75">
        <w:rPr>
          <w:b/>
        </w:rPr>
        <w:t>. </w:t>
      </w:r>
      <w:r w:rsidRPr="00797756">
        <w:rPr>
          <w:b/>
        </w:rPr>
        <w:t>4.1.2.2).</w:t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797756">
        <w:rPr>
          <w:b/>
        </w:rPr>
        <w:t>4.5.2.1</w:t>
      </w:r>
      <w:r w:rsidRPr="00797756">
        <w:rPr>
          <w:b/>
        </w:rPr>
        <w:tab/>
        <w:t>Calculer la variable ∆haze corrigée comme suit</w:t>
      </w:r>
      <w:r w:rsidR="00CF71DB">
        <w:rPr>
          <w:b/>
        </w:rPr>
        <w:t> </w:t>
      </w:r>
      <w:r w:rsidRPr="00797756">
        <w:rPr>
          <w:b/>
        </w:rPr>
        <w:t>:</w:t>
      </w:r>
    </w:p>
    <w:p w:rsidR="00797756" w:rsidRPr="00797756" w:rsidRDefault="00797756" w:rsidP="00CF71DB">
      <w:pPr>
        <w:pStyle w:val="SingleTxtG"/>
        <w:ind w:left="2268"/>
        <w:rPr>
          <w:b/>
        </w:rPr>
      </w:pPr>
      <w:r w:rsidRPr="00797756">
        <w:rPr>
          <w:b/>
        </w:rPr>
        <w:tab/>
        <w:t>∆haze</w:t>
      </w:r>
      <w:r w:rsidRPr="00797756">
        <w:rPr>
          <w:b/>
          <w:vertAlign w:val="subscript"/>
        </w:rPr>
        <w:t>c</w:t>
      </w:r>
      <w:r w:rsidRPr="00797756">
        <w:rPr>
          <w:b/>
        </w:rPr>
        <w:t>(r) = ∆haze</w:t>
      </w:r>
      <w:r w:rsidRPr="00797756">
        <w:rPr>
          <w:b/>
          <w:vertAlign w:val="subscript"/>
        </w:rPr>
        <w:t>m</w:t>
      </w:r>
      <w:r w:rsidRPr="00797756">
        <w:rPr>
          <w:b/>
        </w:rPr>
        <w:t>(r) × X</w:t>
      </w:r>
      <w:r w:rsidRPr="00797756">
        <w:rPr>
          <w:b/>
          <w:vertAlign w:val="subscript"/>
        </w:rPr>
        <w:t>c</w:t>
      </w:r>
      <w:r w:rsidRPr="00797756">
        <w:rPr>
          <w:b/>
        </w:rPr>
        <w:t>(r)</w:t>
      </w:r>
    </w:p>
    <w:p w:rsidR="00797756" w:rsidRPr="00797756" w:rsidRDefault="00797756" w:rsidP="00CF71DB">
      <w:pPr>
        <w:pStyle w:val="SingleTxtG"/>
        <w:ind w:left="2268"/>
        <w:rPr>
          <w:b/>
        </w:rPr>
      </w:pPr>
      <w:r w:rsidRPr="00797756">
        <w:rPr>
          <w:b/>
        </w:rPr>
        <w:tab/>
        <w:t>où</w:t>
      </w:r>
      <w:r w:rsidR="00CF71DB">
        <w:rPr>
          <w:b/>
        </w:rPr>
        <w:t> </w:t>
      </w:r>
      <w:r w:rsidRPr="00797756">
        <w:rPr>
          <w:b/>
        </w:rPr>
        <w:t>:</w:t>
      </w:r>
    </w:p>
    <w:p w:rsidR="00797756" w:rsidRPr="00797756" w:rsidRDefault="00797756" w:rsidP="007F6572">
      <w:pPr>
        <w:pStyle w:val="SingleTxtG"/>
        <w:tabs>
          <w:tab w:val="left" w:pos="3402"/>
        </w:tabs>
        <w:ind w:left="3402" w:hanging="1134"/>
        <w:rPr>
          <w:b/>
        </w:rPr>
      </w:pPr>
      <w:r w:rsidRPr="00797756">
        <w:rPr>
          <w:b/>
        </w:rPr>
        <w:t>∆haze</w:t>
      </w:r>
      <w:r w:rsidRPr="00797756">
        <w:rPr>
          <w:b/>
          <w:vertAlign w:val="subscript"/>
        </w:rPr>
        <w:t>c</w:t>
      </w:r>
      <w:r w:rsidRPr="00797756">
        <w:rPr>
          <w:b/>
        </w:rPr>
        <w:t>(r)</w:t>
      </w:r>
      <w:r w:rsidR="00CF71DB">
        <w:rPr>
          <w:b/>
        </w:rPr>
        <w:t xml:space="preserve"> </w:t>
      </w:r>
      <w:r w:rsidR="00CF71DB">
        <w:rPr>
          <w:b/>
        </w:rPr>
        <w:tab/>
      </w:r>
      <w:r w:rsidRPr="00797756">
        <w:rPr>
          <w:b/>
        </w:rPr>
        <w:t>est la valeur ∆haze corrigée pour une éprouvette d</w:t>
      </w:r>
      <w:r w:rsidR="001A0723">
        <w:rPr>
          <w:b/>
        </w:rPr>
        <w:t>’</w:t>
      </w:r>
      <w:r w:rsidRPr="00797756">
        <w:rPr>
          <w:b/>
        </w:rPr>
        <w:t>essai après r cycles,</w:t>
      </w:r>
    </w:p>
    <w:p w:rsidR="00797756" w:rsidRPr="00797756" w:rsidRDefault="00797756" w:rsidP="007F6572">
      <w:pPr>
        <w:pStyle w:val="SingleTxtG"/>
        <w:tabs>
          <w:tab w:val="left" w:pos="3402"/>
        </w:tabs>
        <w:ind w:left="3402" w:hanging="1134"/>
        <w:rPr>
          <w:b/>
        </w:rPr>
      </w:pPr>
      <w:r w:rsidRPr="00797756">
        <w:rPr>
          <w:b/>
        </w:rPr>
        <w:t>∆haze</w:t>
      </w:r>
      <w:r w:rsidRPr="00797756">
        <w:rPr>
          <w:b/>
          <w:vertAlign w:val="subscript"/>
        </w:rPr>
        <w:t>m</w:t>
      </w:r>
      <w:r w:rsidRPr="00797756">
        <w:rPr>
          <w:b/>
        </w:rPr>
        <w:t>(r)</w:t>
      </w:r>
      <w:r w:rsidR="00CF71DB">
        <w:rPr>
          <w:b/>
        </w:rPr>
        <w:tab/>
      </w:r>
      <w:r w:rsidRPr="00797756">
        <w:rPr>
          <w:b/>
        </w:rPr>
        <w:t xml:space="preserve">est la valeur ∆haze obtenue en soustrayant </w:t>
      </w:r>
      <w:r w:rsidRPr="00797756">
        <w:rPr>
          <w:b/>
          <w:lang w:val="fr-FR"/>
        </w:rPr>
        <w:t>l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atténuation de visibilité initiale</w:t>
      </w:r>
      <w:r w:rsidRPr="00797756">
        <w:rPr>
          <w:b/>
        </w:rPr>
        <w:t xml:space="preserve"> mesurée de </w:t>
      </w:r>
      <w:r w:rsidRPr="00797756">
        <w:rPr>
          <w:b/>
          <w:lang w:val="fr-FR"/>
        </w:rPr>
        <w:t>l</w:t>
      </w:r>
      <w:r w:rsidR="001A0723">
        <w:rPr>
          <w:b/>
          <w:lang w:val="fr-FR"/>
        </w:rPr>
        <w:t>’</w:t>
      </w:r>
      <w:r w:rsidRPr="00797756">
        <w:rPr>
          <w:b/>
          <w:lang w:val="fr-FR"/>
        </w:rPr>
        <w:t>atténuation de visibilité finale</w:t>
      </w:r>
      <w:r w:rsidRPr="00797756">
        <w:rPr>
          <w:b/>
        </w:rPr>
        <w:t xml:space="preserve"> mesurée pour une éprouvette d</w:t>
      </w:r>
      <w:r w:rsidR="001A0723">
        <w:rPr>
          <w:b/>
        </w:rPr>
        <w:t>’</w:t>
      </w:r>
      <w:r w:rsidRPr="00797756">
        <w:rPr>
          <w:b/>
        </w:rPr>
        <w:t>essai après r cycles,</w:t>
      </w:r>
    </w:p>
    <w:p w:rsidR="00797756" w:rsidRPr="00797756" w:rsidRDefault="00797756" w:rsidP="007F6572">
      <w:pPr>
        <w:pStyle w:val="SingleTxtG"/>
        <w:tabs>
          <w:tab w:val="left" w:pos="3402"/>
        </w:tabs>
        <w:ind w:left="3402" w:hanging="1134"/>
        <w:rPr>
          <w:b/>
        </w:rPr>
      </w:pPr>
      <w:r w:rsidRPr="00797756">
        <w:rPr>
          <w:b/>
        </w:rPr>
        <w:t>X</w:t>
      </w:r>
      <w:r w:rsidRPr="00797756">
        <w:rPr>
          <w:b/>
          <w:vertAlign w:val="subscript"/>
        </w:rPr>
        <w:t>c</w:t>
      </w:r>
      <w:r w:rsidRPr="00797756">
        <w:rPr>
          <w:b/>
        </w:rPr>
        <w:t>(r)</w:t>
      </w:r>
      <w:r w:rsidRPr="00797756">
        <w:rPr>
          <w:b/>
        </w:rPr>
        <w:tab/>
        <w:t>est le facteur de correction de la paire de roulettes utilisées pour l</w:t>
      </w:r>
      <w:r w:rsidR="001A0723">
        <w:rPr>
          <w:b/>
        </w:rPr>
        <w:t>’</w:t>
      </w:r>
      <w:r w:rsidRPr="00797756">
        <w:rPr>
          <w:b/>
        </w:rPr>
        <w:t>essai sur l</w:t>
      </w:r>
      <w:r w:rsidR="001A0723">
        <w:rPr>
          <w:b/>
        </w:rPr>
        <w:t>’</w:t>
      </w:r>
      <w:r w:rsidRPr="00797756">
        <w:rPr>
          <w:b/>
        </w:rPr>
        <w:t>éprouvette</w:t>
      </w:r>
      <w:r w:rsidR="007F6572">
        <w:rPr>
          <w:b/>
        </w:rPr>
        <w:t xml:space="preserve"> </w:t>
      </w:r>
      <w:r w:rsidRPr="00797756">
        <w:rPr>
          <w:b/>
        </w:rPr>
        <w:t>susmentionnée</w:t>
      </w:r>
      <w:r w:rsidR="007F6572">
        <w:rPr>
          <w:b/>
        </w:rPr>
        <w:t xml:space="preserve"> </w:t>
      </w:r>
      <w:r w:rsidRPr="00797756">
        <w:rPr>
          <w:b/>
        </w:rPr>
        <w:t>avec le même nombre de cycles r, déterminé conformément au paragraphe 4.5.2.2.</w:t>
      </w:r>
    </w:p>
    <w:p w:rsidR="00797756" w:rsidRPr="00797756" w:rsidRDefault="00797756" w:rsidP="00A408E6">
      <w:pPr>
        <w:pStyle w:val="SingleTxtG"/>
        <w:ind w:left="2268" w:hanging="1134"/>
        <w:rPr>
          <w:b/>
        </w:rPr>
      </w:pPr>
      <w:r w:rsidRPr="00797756">
        <w:rPr>
          <w:b/>
        </w:rPr>
        <w:t>4.5.2.2</w:t>
      </w:r>
      <w:r w:rsidRPr="00797756">
        <w:rPr>
          <w:b/>
        </w:rPr>
        <w:tab/>
        <w:t>Le facteur de correction</w:t>
      </w:r>
      <w:r w:rsidR="007F6572">
        <w:rPr>
          <w:rStyle w:val="Appelnotedebasdep"/>
          <w:b/>
        </w:rPr>
        <w:footnoteReference w:id="10"/>
      </w:r>
      <w:r w:rsidRPr="00797756">
        <w:rPr>
          <w:b/>
        </w:rPr>
        <w:t xml:space="preserve"> est déterminé à deux reprises au cours de la vie d</w:t>
      </w:r>
      <w:r w:rsidR="001A0723">
        <w:rPr>
          <w:b/>
        </w:rPr>
        <w:t>’</w:t>
      </w:r>
      <w:r w:rsidRPr="00797756">
        <w:rPr>
          <w:b/>
        </w:rPr>
        <w:t>une paire de roulettes : au début (lorsque le diamètre des roues est d</w:t>
      </w:r>
      <w:r w:rsidR="001A0723">
        <w:rPr>
          <w:b/>
        </w:rPr>
        <w:t>’</w:t>
      </w:r>
      <w:r w:rsidRPr="00797756">
        <w:rPr>
          <w:b/>
        </w:rPr>
        <w:t xml:space="preserve">environ 52 mm) et à la moitié (lorsque le diamètre des roues est </w:t>
      </w:r>
      <w:r w:rsidRPr="00797756">
        <w:rPr>
          <w:b/>
        </w:rPr>
        <w:lastRenderedPageBreak/>
        <w:t>d</w:t>
      </w:r>
      <w:r w:rsidR="001A0723">
        <w:rPr>
          <w:b/>
        </w:rPr>
        <w:t>’</w:t>
      </w:r>
      <w:r w:rsidRPr="00797756">
        <w:rPr>
          <w:b/>
        </w:rPr>
        <w:t>environ 48</w:t>
      </w:r>
      <w:r w:rsidR="007F6572">
        <w:rPr>
          <w:b/>
        </w:rPr>
        <w:t> </w:t>
      </w:r>
      <w:r w:rsidRPr="00797756">
        <w:rPr>
          <w:b/>
        </w:rPr>
        <w:t>mm). En début de vie, aucune mesure additionnelle ne s</w:t>
      </w:r>
      <w:r w:rsidR="001A0723">
        <w:rPr>
          <w:b/>
        </w:rPr>
        <w:t>’</w:t>
      </w:r>
      <w:r w:rsidRPr="00797756">
        <w:rPr>
          <w:b/>
        </w:rPr>
        <w:t>impose étant donné que les données relatives à la qualification d</w:t>
      </w:r>
      <w:r w:rsidR="001A0723">
        <w:rPr>
          <w:b/>
        </w:rPr>
        <w:t>’</w:t>
      </w:r>
      <w:r w:rsidRPr="00797756">
        <w:rPr>
          <w:b/>
        </w:rPr>
        <w:t>une roulette peuvent servir à calc</w:t>
      </w:r>
      <w:r w:rsidR="007F6572">
        <w:rPr>
          <w:b/>
        </w:rPr>
        <w:t xml:space="preserve">uler le facteur de correction </w:t>
      </w:r>
      <w:r w:rsidRPr="00797756">
        <w:rPr>
          <w:b/>
        </w:rPr>
        <w:t>comme il est décrit ci-dessous.</w:t>
      </w:r>
    </w:p>
    <w:p w:rsidR="00797756" w:rsidRPr="00797756" w:rsidRDefault="00797756" w:rsidP="007F6572">
      <w:pPr>
        <w:pStyle w:val="SingleTxtG"/>
        <w:ind w:left="2268"/>
        <w:rPr>
          <w:b/>
        </w:rPr>
      </w:pPr>
      <w:r w:rsidRPr="00797756">
        <w:rPr>
          <w:b/>
        </w:rPr>
        <w:tab/>
        <w:t>Lorsqu</w:t>
      </w:r>
      <w:r w:rsidR="001A0723">
        <w:rPr>
          <w:b/>
        </w:rPr>
        <w:t>’</w:t>
      </w:r>
      <w:r w:rsidRPr="00797756">
        <w:rPr>
          <w:b/>
        </w:rPr>
        <w:t>une nouvell</w:t>
      </w:r>
      <w:r w:rsidR="007F6572">
        <w:rPr>
          <w:b/>
        </w:rPr>
        <w:t xml:space="preserve">e pierre à refaçonner </w:t>
      </w:r>
      <w:r w:rsidRPr="00797756">
        <w:rPr>
          <w:b/>
        </w:rPr>
        <w:t>est utilisée au cours de la durée de vie d</w:t>
      </w:r>
      <w:r w:rsidR="001A0723">
        <w:rPr>
          <w:b/>
        </w:rPr>
        <w:t>’</w:t>
      </w:r>
      <w:r w:rsidRPr="00797756">
        <w:rPr>
          <w:b/>
        </w:rPr>
        <w:t>une paire de roulettes qualifiées, il convient de procéder de nouveau au ca</w:t>
      </w:r>
      <w:r w:rsidR="007F6572">
        <w:rPr>
          <w:b/>
        </w:rPr>
        <w:t xml:space="preserve">lcul du facteur de correction, </w:t>
      </w:r>
      <w:r w:rsidRPr="00797756">
        <w:rPr>
          <w:b/>
        </w:rPr>
        <w:t>pour autant que la paire de roulettes concernée ait satisfait à de nouveaux essais de qualification.</w:t>
      </w:r>
    </w:p>
    <w:p w:rsidR="00797756" w:rsidRPr="00797756" w:rsidRDefault="00797756" w:rsidP="007F6572">
      <w:pPr>
        <w:pStyle w:val="SingleTxtG"/>
        <w:ind w:left="2268"/>
        <w:rPr>
          <w:b/>
        </w:rPr>
      </w:pPr>
      <w:r w:rsidRPr="00797756">
        <w:rPr>
          <w:b/>
        </w:rPr>
        <w:tab/>
        <w:t>Calculer le facteur de correction pour une paire de roulettes donnée comme suit</w:t>
      </w:r>
      <w:r w:rsidR="007F6572">
        <w:rPr>
          <w:b/>
        </w:rPr>
        <w:t> </w:t>
      </w:r>
      <w:r w:rsidRPr="00797756">
        <w:rPr>
          <w:b/>
        </w:rPr>
        <w:t>:</w:t>
      </w:r>
    </w:p>
    <w:p w:rsidR="00797756" w:rsidRPr="00797756" w:rsidRDefault="00797756" w:rsidP="007F6572">
      <w:pPr>
        <w:pStyle w:val="SingleTxtG"/>
        <w:ind w:left="3402" w:hanging="1134"/>
        <w:rPr>
          <w:b/>
        </w:rPr>
      </w:pPr>
      <w:r w:rsidRPr="00797756">
        <w:rPr>
          <w:b/>
        </w:rPr>
        <w:t>X</w:t>
      </w:r>
      <w:r w:rsidRPr="00797756">
        <w:rPr>
          <w:b/>
          <w:vertAlign w:val="subscript"/>
        </w:rPr>
        <w:t>c</w:t>
      </w:r>
      <w:r w:rsidRPr="00797756">
        <w:rPr>
          <w:b/>
        </w:rPr>
        <w:t>(r) = ∆haze</w:t>
      </w:r>
      <w:r w:rsidRPr="00797756">
        <w:rPr>
          <w:b/>
          <w:vertAlign w:val="subscript"/>
        </w:rPr>
        <w:t>rv</w:t>
      </w:r>
      <w:r w:rsidRPr="00797756">
        <w:rPr>
          <w:b/>
        </w:rPr>
        <w:t>(r) / ∆haze</w:t>
      </w:r>
      <w:r w:rsidRPr="00797756">
        <w:rPr>
          <w:b/>
          <w:vertAlign w:val="subscript"/>
        </w:rPr>
        <w:t>av</w:t>
      </w:r>
      <w:r w:rsidRPr="00797756">
        <w:rPr>
          <w:b/>
        </w:rPr>
        <w:t>(r)</w:t>
      </w:r>
    </w:p>
    <w:p w:rsidR="00797756" w:rsidRPr="00797756" w:rsidRDefault="00797756" w:rsidP="007F6572">
      <w:pPr>
        <w:pStyle w:val="SingleTxtG"/>
        <w:ind w:left="3402" w:hanging="1134"/>
        <w:rPr>
          <w:b/>
        </w:rPr>
      </w:pPr>
      <w:r w:rsidRPr="00797756">
        <w:rPr>
          <w:b/>
        </w:rPr>
        <w:t>où</w:t>
      </w:r>
      <w:r w:rsidR="007F6572">
        <w:rPr>
          <w:b/>
        </w:rPr>
        <w:t> </w:t>
      </w:r>
      <w:r w:rsidRPr="00797756">
        <w:rPr>
          <w:b/>
        </w:rPr>
        <w:t>:</w:t>
      </w:r>
    </w:p>
    <w:p w:rsidR="00797756" w:rsidRPr="00797756" w:rsidRDefault="00797756" w:rsidP="007F6572">
      <w:pPr>
        <w:pStyle w:val="SingleTxtG"/>
        <w:ind w:left="3686" w:hanging="1418"/>
        <w:rPr>
          <w:b/>
        </w:rPr>
      </w:pPr>
      <w:r w:rsidRPr="00797756">
        <w:rPr>
          <w:b/>
        </w:rPr>
        <w:t>∆haze</w:t>
      </w:r>
      <w:r w:rsidRPr="00797756">
        <w:rPr>
          <w:b/>
          <w:vertAlign w:val="subscript"/>
        </w:rPr>
        <w:t>rv</w:t>
      </w:r>
      <w:r w:rsidRPr="00797756">
        <w:rPr>
          <w:b/>
        </w:rPr>
        <w:t>(r)</w:t>
      </w:r>
      <w:r w:rsidRPr="00797756">
        <w:rPr>
          <w:b/>
        </w:rPr>
        <w:tab/>
        <w:t>est la valeur de référence de la variable ∆haze</w:t>
      </w:r>
      <w:r w:rsidRPr="00797756">
        <w:rPr>
          <w:b/>
          <w:vertAlign w:val="superscript"/>
          <w:lang w:val="en-US"/>
        </w:rPr>
        <w:footnoteReference w:id="11"/>
      </w:r>
      <w:r w:rsidRPr="00797756">
        <w:rPr>
          <w:b/>
        </w:rPr>
        <w:t xml:space="preserve"> des échantillons de polycarbonate enduits de revêtement dur de type AS4000S pour r cycles</w:t>
      </w:r>
      <w:r w:rsidR="007F6572">
        <w:rPr>
          <w:b/>
        </w:rPr>
        <w:t> </w:t>
      </w:r>
      <w:r w:rsidRPr="00797756">
        <w:rPr>
          <w:b/>
        </w:rPr>
        <w:t>:</w:t>
      </w:r>
    </w:p>
    <w:p w:rsidR="00797756" w:rsidRPr="00797756" w:rsidRDefault="00797756" w:rsidP="007F6572">
      <w:pPr>
        <w:pStyle w:val="SingleTxtG"/>
        <w:ind w:left="3686" w:hanging="1418"/>
        <w:rPr>
          <w:b/>
        </w:rPr>
      </w:pPr>
      <w:r w:rsidRPr="00797756">
        <w:rPr>
          <w:b/>
        </w:rPr>
        <w:t>100 cycles</w:t>
      </w:r>
      <w:r w:rsidR="007F6572">
        <w:rPr>
          <w:b/>
        </w:rPr>
        <w:t> </w:t>
      </w:r>
      <w:r w:rsidRPr="00797756">
        <w:rPr>
          <w:b/>
        </w:rPr>
        <w:t>:</w:t>
      </w:r>
      <w:r w:rsidRPr="00797756">
        <w:rPr>
          <w:b/>
        </w:rPr>
        <w:tab/>
        <w:t>∆hazerv(100) = 1,1</w:t>
      </w:r>
      <w:r w:rsidR="007F6572">
        <w:rPr>
          <w:b/>
        </w:rPr>
        <w:t> </w:t>
      </w:r>
      <w:r w:rsidRPr="00797756">
        <w:rPr>
          <w:b/>
        </w:rPr>
        <w:t>% ;</w:t>
      </w:r>
    </w:p>
    <w:p w:rsidR="00797756" w:rsidRPr="00797756" w:rsidRDefault="00797756" w:rsidP="007F6572">
      <w:pPr>
        <w:pStyle w:val="SingleTxtG"/>
        <w:ind w:left="3686" w:hanging="1418"/>
        <w:rPr>
          <w:b/>
        </w:rPr>
      </w:pPr>
      <w:r w:rsidRPr="00797756">
        <w:rPr>
          <w:b/>
        </w:rPr>
        <w:t>500 cycles</w:t>
      </w:r>
      <w:r w:rsidR="007F6572">
        <w:rPr>
          <w:b/>
        </w:rPr>
        <w:t> </w:t>
      </w:r>
      <w:r w:rsidRPr="00797756">
        <w:rPr>
          <w:b/>
        </w:rPr>
        <w:t>:</w:t>
      </w:r>
      <w:r w:rsidRPr="00797756">
        <w:rPr>
          <w:b/>
        </w:rPr>
        <w:tab/>
        <w:t>∆hazerv(500) = 2,8</w:t>
      </w:r>
      <w:r w:rsidR="007F6572">
        <w:rPr>
          <w:b/>
        </w:rPr>
        <w:t> </w:t>
      </w:r>
      <w:r w:rsidRPr="00797756">
        <w:rPr>
          <w:b/>
        </w:rPr>
        <w:t>% ;</w:t>
      </w:r>
    </w:p>
    <w:p w:rsidR="00797756" w:rsidRPr="00797756" w:rsidRDefault="00797756" w:rsidP="007F6572">
      <w:pPr>
        <w:pStyle w:val="SingleTxtG"/>
        <w:ind w:left="3686" w:hanging="1418"/>
        <w:rPr>
          <w:b/>
        </w:rPr>
      </w:pPr>
      <w:r w:rsidRPr="00797756">
        <w:rPr>
          <w:b/>
        </w:rPr>
        <w:t>1 000 cycles</w:t>
      </w:r>
      <w:r w:rsidR="007F6572">
        <w:rPr>
          <w:b/>
        </w:rPr>
        <w:t> </w:t>
      </w:r>
      <w:r w:rsidRPr="00797756">
        <w:rPr>
          <w:b/>
        </w:rPr>
        <w:t>:</w:t>
      </w:r>
      <w:r w:rsidRPr="00797756">
        <w:rPr>
          <w:b/>
        </w:rPr>
        <w:tab/>
        <w:t>∆hazerv(1 000) = 3,7</w:t>
      </w:r>
      <w:r w:rsidR="007F6572">
        <w:rPr>
          <w:b/>
        </w:rPr>
        <w:t> </w:t>
      </w:r>
      <w:r w:rsidRPr="00797756">
        <w:rPr>
          <w:b/>
        </w:rPr>
        <w:t>%.</w:t>
      </w:r>
    </w:p>
    <w:p w:rsidR="00797756" w:rsidRDefault="00797756" w:rsidP="007F6572">
      <w:pPr>
        <w:pStyle w:val="SingleTxtG"/>
        <w:ind w:left="3686" w:hanging="1418"/>
      </w:pPr>
      <w:r w:rsidRPr="00797756">
        <w:rPr>
          <w:b/>
        </w:rPr>
        <w:t>∆haze</w:t>
      </w:r>
      <w:r w:rsidRPr="00797756">
        <w:rPr>
          <w:b/>
          <w:vertAlign w:val="subscript"/>
        </w:rPr>
        <w:t>av</w:t>
      </w:r>
      <w:r w:rsidRPr="00797756">
        <w:rPr>
          <w:b/>
        </w:rPr>
        <w:t>(r)</w:t>
      </w:r>
      <w:r w:rsidRPr="00797756">
        <w:rPr>
          <w:b/>
        </w:rPr>
        <w:tab/>
        <w:t>est la valeur réelle de la variable ∆haze des échantillons de polycarbonate enduits de revêtement dur de type AS4000S pour r cycles. Il s</w:t>
      </w:r>
      <w:r w:rsidR="001A0723">
        <w:rPr>
          <w:b/>
        </w:rPr>
        <w:t>’</w:t>
      </w:r>
      <w:r w:rsidRPr="00797756">
        <w:rPr>
          <w:b/>
        </w:rPr>
        <w:t>agit de la valeur moyenne réelle déterminée pour la paire de roulettes concernée à l</w:t>
      </w:r>
      <w:r w:rsidR="001A0723">
        <w:rPr>
          <w:b/>
        </w:rPr>
        <w:t>’</w:t>
      </w:r>
      <w:r w:rsidRPr="00797756">
        <w:rPr>
          <w:b/>
        </w:rPr>
        <w:t>aide d</w:t>
      </w:r>
      <w:r w:rsidR="001A0723">
        <w:rPr>
          <w:b/>
        </w:rPr>
        <w:t>’</w:t>
      </w:r>
      <w:r w:rsidRPr="00797756">
        <w:rPr>
          <w:b/>
        </w:rPr>
        <w:t>essais sur</w:t>
      </w:r>
      <w:r w:rsidR="007F6572">
        <w:rPr>
          <w:b/>
        </w:rPr>
        <w:t xml:space="preserve"> </w:t>
      </w:r>
      <w:r w:rsidRPr="00797756">
        <w:rPr>
          <w:b/>
        </w:rPr>
        <w:t>trois échantillons de référence pour ce nombre de cycles (cf. par</w:t>
      </w:r>
      <w:r w:rsidR="00BB4B75">
        <w:rPr>
          <w:b/>
        </w:rPr>
        <w:t>. </w:t>
      </w:r>
      <w:r w:rsidRPr="00797756">
        <w:rPr>
          <w:b/>
        </w:rPr>
        <w:t>4.1.2.2).</w:t>
      </w:r>
      <w:r w:rsidRPr="00797756">
        <w:t> ».</w:t>
      </w:r>
    </w:p>
    <w:p w:rsidR="00797756" w:rsidRPr="00797756" w:rsidRDefault="00A408E6" w:rsidP="007F6572">
      <w:pPr>
        <w:pStyle w:val="HChG"/>
      </w:pPr>
      <w:r>
        <w:tab/>
      </w:r>
      <w:r w:rsidR="00797756" w:rsidRPr="00797756">
        <w:t>II.</w:t>
      </w:r>
      <w:r w:rsidR="00797756" w:rsidRPr="00797756">
        <w:tab/>
        <w:t>Justification</w:t>
      </w:r>
    </w:p>
    <w:p w:rsidR="00797756" w:rsidRPr="00797756" w:rsidRDefault="00797756" w:rsidP="00797756">
      <w:pPr>
        <w:pStyle w:val="SingleTxtG"/>
      </w:pPr>
      <w:r w:rsidRPr="00797756">
        <w:t>1.</w:t>
      </w:r>
      <w:r w:rsidRPr="00797756">
        <w:tab/>
        <w:t>D</w:t>
      </w:r>
      <w:r w:rsidR="001A0723">
        <w:t>’</w:t>
      </w:r>
      <w:r w:rsidRPr="00797756">
        <w:t>importants détails</w:t>
      </w:r>
      <w:r w:rsidR="007F6572">
        <w:t xml:space="preserve"> </w:t>
      </w:r>
      <w:r w:rsidRPr="00797756">
        <w:t>sont totalement absents de la description actuelle de l</w:t>
      </w:r>
      <w:r w:rsidR="001A0723">
        <w:t>’</w:t>
      </w:r>
      <w:r w:rsidRPr="00797756">
        <w:t>équipement et de la procédure à employer pour l</w:t>
      </w:r>
      <w:r w:rsidR="001A0723">
        <w:t>’</w:t>
      </w:r>
      <w:r w:rsidRPr="00797756">
        <w:t>essai de comportement au choc de la tête avec mesure de la décélération et pour l</w:t>
      </w:r>
      <w:r w:rsidR="001A0723">
        <w:t>’</w:t>
      </w:r>
      <w:r w:rsidRPr="00797756">
        <w:t>essai de résistance à l</w:t>
      </w:r>
      <w:r w:rsidR="001A0723">
        <w:t>’</w:t>
      </w:r>
      <w:r w:rsidRPr="00797756">
        <w:t>abrasion, ou doivent pour le moins</w:t>
      </w:r>
      <w:r w:rsidR="007F6572">
        <w:t xml:space="preserve"> </w:t>
      </w:r>
      <w:r w:rsidRPr="00797756">
        <w:t>être actualisés. En ce qui concerne l</w:t>
      </w:r>
      <w:r w:rsidR="001A0723">
        <w:t>’</w:t>
      </w:r>
      <w:r w:rsidRPr="00797756">
        <w:t>essai de comportement au choc de la tête, les valeurs actuellement appliquées pour étalonner la tête d</w:t>
      </w:r>
      <w:r w:rsidR="001A0723">
        <w:t>’</w:t>
      </w:r>
      <w:r w:rsidRPr="00797756">
        <w:t>essai ne peuvent être reproduites et doivent donc être corrigées. En outre, la description de l</w:t>
      </w:r>
      <w:r w:rsidR="001A0723">
        <w:t>’</w:t>
      </w:r>
      <w:r w:rsidRPr="00797756">
        <w:t>équipement d</w:t>
      </w:r>
      <w:r w:rsidR="001A0723">
        <w:t>’</w:t>
      </w:r>
      <w:r w:rsidRPr="00797756">
        <w:t>essai devrait être actualisée pour tenir compte des dernières évolutions du domaine, par exemple l</w:t>
      </w:r>
      <w:r w:rsidR="001A0723">
        <w:t>’</w:t>
      </w:r>
      <w:r w:rsidRPr="00797756">
        <w:t>introduction de la transmission de données sans fil. En ce qui concerne l</w:t>
      </w:r>
      <w:r w:rsidR="001A0723">
        <w:t>’</w:t>
      </w:r>
      <w:r w:rsidRPr="00797756">
        <w:t>essai d</w:t>
      </w:r>
      <w:r w:rsidR="001A0723">
        <w:t>’</w:t>
      </w:r>
      <w:r w:rsidRPr="00797756">
        <w:t>a</w:t>
      </w:r>
      <w:r w:rsidR="007F6572">
        <w:t>brasion à l</w:t>
      </w:r>
      <w:r w:rsidR="001A0723">
        <w:t>’</w:t>
      </w:r>
      <w:r w:rsidR="007F6572">
        <w:t xml:space="preserve">aide du dispositif </w:t>
      </w:r>
      <w:r w:rsidRPr="00797756">
        <w:t>Taber, les essais interlaboratoires menés ont montré qu</w:t>
      </w:r>
      <w:r w:rsidR="001A0723">
        <w:t>’</w:t>
      </w:r>
      <w:r w:rsidRPr="00797756">
        <w:t>il était nécessaire d</w:t>
      </w:r>
      <w:r w:rsidR="001A0723">
        <w:t>’</w:t>
      </w:r>
      <w:r w:rsidRPr="00797756">
        <w:t>en améliorer la reproductibilité.</w:t>
      </w:r>
    </w:p>
    <w:p w:rsidR="00797756" w:rsidRPr="00797756" w:rsidRDefault="00797756" w:rsidP="00797756">
      <w:pPr>
        <w:pStyle w:val="SingleTxtG"/>
      </w:pPr>
      <w:r w:rsidRPr="00797756">
        <w:t>2.</w:t>
      </w:r>
      <w:r w:rsidRPr="00797756">
        <w:tab/>
        <w:t>Toutes les modifications nécessaires figurent dans la dernière révision de la norme ISO correspondante (ISO</w:t>
      </w:r>
      <w:r w:rsidR="007F6572">
        <w:t> </w:t>
      </w:r>
      <w:r w:rsidR="008577F5">
        <w:t>15082:2016-11). Afin d</w:t>
      </w:r>
      <w:r w:rsidR="001A0723">
        <w:t>’</w:t>
      </w:r>
      <w:r w:rsidRPr="00797756">
        <w:t>améliorer la reproductibilité de l</w:t>
      </w:r>
      <w:r w:rsidR="001A0723">
        <w:t>’</w:t>
      </w:r>
      <w:r w:rsidRPr="00797756">
        <w:t>essai d</w:t>
      </w:r>
      <w:r w:rsidR="001A0723">
        <w:t>’</w:t>
      </w:r>
      <w:r w:rsidRPr="00797756">
        <w:t>abrasion, des matériaux</w:t>
      </w:r>
      <w:r w:rsidR="007F6572">
        <w:t xml:space="preserve"> </w:t>
      </w:r>
      <w:r w:rsidRPr="00797756">
        <w:t>de références ont été introduits</w:t>
      </w:r>
      <w:r w:rsidR="007F6572">
        <w:t xml:space="preserve"> </w:t>
      </w:r>
      <w:r w:rsidRPr="00797756">
        <w:t>pour éviter</w:t>
      </w:r>
      <w:r w:rsidR="007F6572">
        <w:t xml:space="preserve"> </w:t>
      </w:r>
      <w:r w:rsidRPr="00797756">
        <w:t>des variations de la qualité des roulettes abrasives, de même</w:t>
      </w:r>
      <w:r w:rsidR="007F6572">
        <w:t xml:space="preserve"> </w:t>
      </w:r>
      <w:r w:rsidRPr="00797756">
        <w:t>qu</w:t>
      </w:r>
      <w:r w:rsidR="001A0723">
        <w:t>’</w:t>
      </w:r>
      <w:r w:rsidRPr="00797756">
        <w:t>un facteur de correction (uniquement applicables aux matières plastiques).</w:t>
      </w:r>
    </w:p>
    <w:p w:rsidR="00797756" w:rsidRDefault="00797756" w:rsidP="00797756">
      <w:pPr>
        <w:pStyle w:val="SingleTxtG"/>
      </w:pPr>
      <w:r w:rsidRPr="00797756">
        <w:t>3.</w:t>
      </w:r>
      <w:r w:rsidRPr="00797756">
        <w:tab/>
        <w:t>Le document ECE/TRANS/WP.29/GRSG/2015/22, soumis par l</w:t>
      </w:r>
      <w:r w:rsidR="001A0723">
        <w:t>’</w:t>
      </w:r>
      <w:r w:rsidRPr="00797756">
        <w:t>expert de la Hongrie et complété par le document GRSG-111-05 (soumis par l</w:t>
      </w:r>
      <w:r w:rsidR="001A0723">
        <w:t>’</w:t>
      </w:r>
      <w:r w:rsidRPr="00797756">
        <w:t>expert de la Pologne), a aussi été pris en compte dans la proposition ci-dessus visant à préciser les paramètres applicables à l</w:t>
      </w:r>
      <w:r w:rsidR="001A0723">
        <w:t>’</w:t>
      </w:r>
      <w:r w:rsidRPr="00797756">
        <w:t>instrument d</w:t>
      </w:r>
      <w:r w:rsidR="001A0723">
        <w:t>’</w:t>
      </w:r>
      <w:r w:rsidRPr="00797756">
        <w:t>abrasion.</w:t>
      </w:r>
    </w:p>
    <w:p w:rsidR="00797756" w:rsidRPr="00797756" w:rsidRDefault="00797756" w:rsidP="0079775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7756" w:rsidRPr="00797756" w:rsidSect="007F46EC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23" w:rsidRDefault="001A0723" w:rsidP="00F95C08">
      <w:pPr>
        <w:spacing w:line="240" w:lineRule="auto"/>
      </w:pPr>
    </w:p>
  </w:endnote>
  <w:endnote w:type="continuationSeparator" w:id="0">
    <w:p w:rsidR="001A0723" w:rsidRPr="00AC3823" w:rsidRDefault="001A0723" w:rsidP="00AC3823">
      <w:pPr>
        <w:pStyle w:val="Pieddepage"/>
      </w:pPr>
    </w:p>
  </w:endnote>
  <w:endnote w:type="continuationNotice" w:id="1">
    <w:p w:rsidR="001A0723" w:rsidRDefault="001A07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23" w:rsidRPr="007F46EC" w:rsidRDefault="001A0723" w:rsidP="007F46EC">
    <w:pPr>
      <w:pStyle w:val="Pieddepage"/>
      <w:tabs>
        <w:tab w:val="right" w:pos="9638"/>
      </w:tabs>
    </w:pPr>
    <w:r w:rsidRPr="007F46EC">
      <w:rPr>
        <w:b/>
        <w:sz w:val="18"/>
      </w:rPr>
      <w:fldChar w:fldCharType="begin"/>
    </w:r>
    <w:r w:rsidRPr="007F46EC">
      <w:rPr>
        <w:b/>
        <w:sz w:val="18"/>
      </w:rPr>
      <w:instrText xml:space="preserve"> PAGE  \* MERGEFORMAT </w:instrText>
    </w:r>
    <w:r w:rsidRPr="007F46EC">
      <w:rPr>
        <w:b/>
        <w:sz w:val="18"/>
      </w:rPr>
      <w:fldChar w:fldCharType="separate"/>
    </w:r>
    <w:r w:rsidR="0020750A">
      <w:rPr>
        <w:b/>
        <w:noProof/>
        <w:sz w:val="18"/>
      </w:rPr>
      <w:t>8</w:t>
    </w:r>
    <w:r w:rsidRPr="007F46EC">
      <w:rPr>
        <w:b/>
        <w:sz w:val="18"/>
      </w:rPr>
      <w:fldChar w:fldCharType="end"/>
    </w:r>
    <w:r>
      <w:rPr>
        <w:b/>
        <w:sz w:val="18"/>
      </w:rPr>
      <w:tab/>
    </w:r>
    <w:r>
      <w:t>GE.17-01516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23" w:rsidRPr="007F46EC" w:rsidRDefault="001A0723" w:rsidP="007F46EC">
    <w:pPr>
      <w:pStyle w:val="Pieddepage"/>
      <w:tabs>
        <w:tab w:val="right" w:pos="9638"/>
      </w:tabs>
      <w:rPr>
        <w:b/>
        <w:sz w:val="18"/>
      </w:rPr>
    </w:pPr>
    <w:r>
      <w:t>GE.17-01516</w:t>
    </w:r>
    <w:r>
      <w:tab/>
    </w:r>
    <w:r w:rsidRPr="007F46EC">
      <w:rPr>
        <w:b/>
        <w:sz w:val="18"/>
      </w:rPr>
      <w:fldChar w:fldCharType="begin"/>
    </w:r>
    <w:r w:rsidRPr="007F46EC">
      <w:rPr>
        <w:b/>
        <w:sz w:val="18"/>
      </w:rPr>
      <w:instrText xml:space="preserve"> PAGE  \* MERGEFORMAT </w:instrText>
    </w:r>
    <w:r w:rsidRPr="007F46EC">
      <w:rPr>
        <w:b/>
        <w:sz w:val="18"/>
      </w:rPr>
      <w:fldChar w:fldCharType="separate"/>
    </w:r>
    <w:r w:rsidR="0020750A">
      <w:rPr>
        <w:b/>
        <w:noProof/>
        <w:sz w:val="18"/>
      </w:rPr>
      <w:t>7</w:t>
    </w:r>
    <w:r w:rsidRPr="007F46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23" w:rsidRPr="007F46EC" w:rsidRDefault="001A0723" w:rsidP="007F46EC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81A033A" wp14:editId="18FAC30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17-01516  (F)    230217    030317</w:t>
    </w:r>
    <w:r>
      <w:rPr>
        <w:sz w:val="20"/>
      </w:rPr>
      <w:br/>
    </w:r>
    <w:r w:rsidRPr="007F46EC">
      <w:rPr>
        <w:rFonts w:ascii="C39T30Lfz" w:hAnsi="C39T30Lfz"/>
        <w:sz w:val="56"/>
      </w:rPr>
      <w:t></w:t>
    </w:r>
    <w:r w:rsidRPr="007F46EC">
      <w:rPr>
        <w:rFonts w:ascii="C39T30Lfz" w:hAnsi="C39T30Lfz"/>
        <w:sz w:val="56"/>
      </w:rPr>
      <w:t></w:t>
    </w:r>
    <w:r w:rsidRPr="007F46EC">
      <w:rPr>
        <w:rFonts w:ascii="C39T30Lfz" w:hAnsi="C39T30Lfz"/>
        <w:sz w:val="56"/>
      </w:rPr>
      <w:t></w:t>
    </w:r>
    <w:r w:rsidRPr="007F46EC">
      <w:rPr>
        <w:rFonts w:ascii="C39T30Lfz" w:hAnsi="C39T30Lfz"/>
        <w:sz w:val="56"/>
      </w:rPr>
      <w:t></w:t>
    </w:r>
    <w:r w:rsidRPr="007F46EC">
      <w:rPr>
        <w:rFonts w:ascii="C39T30Lfz" w:hAnsi="C39T30Lfz"/>
        <w:sz w:val="56"/>
      </w:rPr>
      <w:t></w:t>
    </w:r>
    <w:r w:rsidRPr="007F46EC">
      <w:rPr>
        <w:rFonts w:ascii="C39T30Lfz" w:hAnsi="C39T30Lfz"/>
        <w:sz w:val="56"/>
      </w:rPr>
      <w:t></w:t>
    </w:r>
    <w:r w:rsidRPr="007F46EC">
      <w:rPr>
        <w:rFonts w:ascii="C39T30Lfz" w:hAnsi="C39T30Lfz"/>
        <w:sz w:val="56"/>
      </w:rPr>
      <w:t></w:t>
    </w:r>
    <w:r w:rsidRPr="007F46EC">
      <w:rPr>
        <w:rFonts w:ascii="C39T30Lfz" w:hAnsi="C39T30Lfz"/>
        <w:sz w:val="56"/>
      </w:rPr>
      <w:t></w:t>
    </w:r>
    <w:r w:rsidRPr="007F46E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 wp14:anchorId="6718C03A" wp14:editId="3B93655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7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7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23" w:rsidRPr="00AC3823" w:rsidRDefault="001A072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0723" w:rsidRPr="00AC3823" w:rsidRDefault="001A072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0723" w:rsidRPr="00AC3823" w:rsidRDefault="001A0723">
      <w:pPr>
        <w:spacing w:line="240" w:lineRule="auto"/>
        <w:rPr>
          <w:sz w:val="2"/>
          <w:szCs w:val="2"/>
        </w:rPr>
      </w:pPr>
    </w:p>
  </w:footnote>
  <w:footnote w:id="2">
    <w:p w:rsidR="001A0723" w:rsidRPr="00EC4AB2" w:rsidRDefault="001A0723">
      <w:pPr>
        <w:pStyle w:val="Notedebasdepage"/>
      </w:pPr>
      <w:r>
        <w:rPr>
          <w:rStyle w:val="Appelnotedebasdep"/>
        </w:rPr>
        <w:tab/>
      </w:r>
      <w:r w:rsidRPr="00EC4AB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EC4AB2">
        <w:rPr>
          <w:spacing w:val="-2"/>
        </w:rPr>
        <w:t>Conformément au programme de travail du Comité des transports intérieurs</w:t>
      </w:r>
      <w:r>
        <w:t xml:space="preserve"> pour la période 2016</w:t>
      </w:r>
      <w:r>
        <w:noBreakHyphen/>
        <w:t>2017 (ECE/TRANS/254, par. 159, et ECE/TRANS/2016/28/Add.1, module 3.1), le Forum mondial a pour mission d’élaborer, d’harmoniser et de mettre à jour les Règlements en vue d’améliorer les caractéristiques fonctionnelles des véhicules. Le présent document est soumis en vertu de ce mandat.</w:t>
      </w:r>
    </w:p>
  </w:footnote>
  <w:footnote w:id="3">
    <w:p w:rsidR="001A0723" w:rsidRDefault="001A0723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  <w:t xml:space="preserve">Un dispositif d’abrasion de ce type est fabriqué par </w:t>
      </w:r>
      <w:proofErr w:type="spellStart"/>
      <w:r>
        <w:rPr>
          <w:strike/>
        </w:rPr>
        <w:t>Tyledyne</w:t>
      </w:r>
      <w:proofErr w:type="spellEnd"/>
      <w:r>
        <w:t xml:space="preserve"> </w:t>
      </w:r>
      <w:proofErr w:type="spellStart"/>
      <w:r>
        <w:t>Taber</w:t>
      </w:r>
      <w:proofErr w:type="spellEnd"/>
      <w:r>
        <w:t xml:space="preserve"> </w:t>
      </w:r>
      <w:r>
        <w:rPr>
          <w:b/>
        </w:rPr>
        <w:t>Industries</w:t>
      </w:r>
      <w:r w:rsidRPr="00ED0BB8">
        <w:t xml:space="preserve"> </w:t>
      </w:r>
      <w:r>
        <w:t>(États-Unis d’Amérique).</w:t>
      </w:r>
    </w:p>
  </w:footnote>
  <w:footnote w:id="4">
    <w:p w:rsidR="001A0723" w:rsidRDefault="001A0723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AE192B">
        <w:rPr>
          <w:spacing w:val="-2"/>
        </w:rPr>
        <w:t xml:space="preserve">Des roulettes de ce type </w:t>
      </w:r>
      <w:r w:rsidRPr="00AE192B">
        <w:rPr>
          <w:b/>
          <w:spacing w:val="-2"/>
        </w:rPr>
        <w:t>(</w:t>
      </w:r>
      <w:proofErr w:type="spellStart"/>
      <w:r w:rsidRPr="00AE192B">
        <w:rPr>
          <w:b/>
          <w:spacing w:val="-2"/>
        </w:rPr>
        <w:t>Calibrase</w:t>
      </w:r>
      <w:proofErr w:type="spellEnd"/>
      <w:r w:rsidRPr="00AE192B">
        <w:rPr>
          <w:b/>
          <w:spacing w:val="-2"/>
        </w:rPr>
        <w:t xml:space="preserve"> CS-10F) </w:t>
      </w:r>
      <w:r w:rsidRPr="00AE192B">
        <w:rPr>
          <w:spacing w:val="-2"/>
        </w:rPr>
        <w:t xml:space="preserve">sont réalisées par </w:t>
      </w:r>
      <w:proofErr w:type="spellStart"/>
      <w:r w:rsidRPr="00AE192B">
        <w:rPr>
          <w:strike/>
          <w:spacing w:val="-2"/>
        </w:rPr>
        <w:t>Tyledyne</w:t>
      </w:r>
      <w:proofErr w:type="spellEnd"/>
      <w:r w:rsidRPr="00AE192B">
        <w:rPr>
          <w:spacing w:val="-2"/>
        </w:rPr>
        <w:t xml:space="preserve"> </w:t>
      </w:r>
      <w:proofErr w:type="spellStart"/>
      <w:r w:rsidRPr="00AE192B">
        <w:rPr>
          <w:spacing w:val="-2"/>
        </w:rPr>
        <w:t>Taber</w:t>
      </w:r>
      <w:proofErr w:type="spellEnd"/>
      <w:r w:rsidRPr="00AE192B">
        <w:rPr>
          <w:spacing w:val="-2"/>
        </w:rPr>
        <w:t xml:space="preserve"> </w:t>
      </w:r>
      <w:r w:rsidRPr="00AE192B">
        <w:rPr>
          <w:b/>
          <w:spacing w:val="-2"/>
        </w:rPr>
        <w:t>Industries</w:t>
      </w:r>
      <w:r w:rsidRPr="00AE192B">
        <w:rPr>
          <w:spacing w:val="-2"/>
        </w:rPr>
        <w:t xml:space="preserve"> (États-</w:t>
      </w:r>
      <w:r>
        <w:t>Unis d’Amérique).</w:t>
      </w:r>
    </w:p>
  </w:footnote>
  <w:footnote w:id="5">
    <w:p w:rsidR="001A0723" w:rsidRDefault="001A0723">
      <w:pPr>
        <w:pStyle w:val="Notedebasdepage"/>
      </w:pPr>
      <w:r>
        <w:tab/>
      </w:r>
      <w:r w:rsidRPr="00F8163B">
        <w:rPr>
          <w:rStyle w:val="Appelnotedebasdep"/>
          <w:b/>
        </w:rPr>
        <w:footnoteRef/>
      </w:r>
      <w:r>
        <w:tab/>
      </w:r>
      <w:proofErr w:type="spellStart"/>
      <w:r>
        <w:rPr>
          <w:b/>
        </w:rPr>
        <w:t>Polysiloxane</w:t>
      </w:r>
      <w:proofErr w:type="spellEnd"/>
      <w:r>
        <w:rPr>
          <w:b/>
        </w:rPr>
        <w:t xml:space="preserve"> enduit d’un revêtement dur de type AS4000S (revêtement de type AS4000 adapté aux larges feuilles) fabriqué par </w:t>
      </w:r>
      <w:proofErr w:type="spellStart"/>
      <w:r>
        <w:rPr>
          <w:b/>
        </w:rPr>
        <w:t>Momentive</w:t>
      </w:r>
      <w:proofErr w:type="spellEnd"/>
      <w:r>
        <w:rPr>
          <w:b/>
        </w:rPr>
        <w:t xml:space="preserve"> Performance </w:t>
      </w:r>
      <w:proofErr w:type="spellStart"/>
      <w:r>
        <w:rPr>
          <w:b/>
        </w:rPr>
        <w:t>Materials</w:t>
      </w:r>
      <w:proofErr w:type="spellEnd"/>
      <w:r>
        <w:rPr>
          <w:b/>
        </w:rPr>
        <w:t xml:space="preserve"> (Allemagne).</w:t>
      </w:r>
    </w:p>
  </w:footnote>
  <w:footnote w:id="6">
    <w:p w:rsidR="001A0723" w:rsidRDefault="001A0723">
      <w:pPr>
        <w:pStyle w:val="Notedebasdepage"/>
      </w:pPr>
      <w:r>
        <w:tab/>
      </w:r>
      <w:r w:rsidRPr="00EF54E4">
        <w:rPr>
          <w:rStyle w:val="Appelnotedebasdep"/>
          <w:b/>
        </w:rPr>
        <w:footnoteRef/>
      </w:r>
      <w:r>
        <w:tab/>
      </w:r>
      <w:r>
        <w:rPr>
          <w:b/>
        </w:rPr>
        <w:t xml:space="preserve">Les plages de qualification sont de (4 x </w:t>
      </w:r>
      <w:proofErr w:type="spellStart"/>
      <w:r>
        <w:rPr>
          <w:b/>
        </w:rPr>
        <w:t>s</w:t>
      </w:r>
      <w:r>
        <w:rPr>
          <w:b/>
          <w:vertAlign w:val="subscript"/>
        </w:rPr>
        <w:t>R</w:t>
      </w:r>
      <w:proofErr w:type="spellEnd"/>
      <w:r>
        <w:rPr>
          <w:b/>
        </w:rPr>
        <w:t xml:space="preserve">), où </w:t>
      </w:r>
      <w:proofErr w:type="spellStart"/>
      <w:r>
        <w:rPr>
          <w:b/>
        </w:rPr>
        <w:t>s</w:t>
      </w:r>
      <w:r>
        <w:rPr>
          <w:b/>
          <w:vertAlign w:val="subscript"/>
        </w:rPr>
        <w:t>R</w:t>
      </w:r>
      <w:proofErr w:type="spellEnd"/>
      <w:r>
        <w:rPr>
          <w:b/>
        </w:rPr>
        <w:t xml:space="preserve"> est l’écart type de reproductibilité déterminé au moyen d’un essai </w:t>
      </w:r>
      <w:proofErr w:type="spellStart"/>
      <w:r>
        <w:rPr>
          <w:b/>
        </w:rPr>
        <w:t>interlaboratoires</w:t>
      </w:r>
      <w:proofErr w:type="spellEnd"/>
      <w:r>
        <w:rPr>
          <w:b/>
        </w:rPr>
        <w:t xml:space="preserve"> (réalisé en 2013 par le comité technique ISO/TC22/SC11) pour chaque valeur de cycles, et le facteur susmentionné représente la probabilité P = 95 %.</w:t>
      </w:r>
    </w:p>
  </w:footnote>
  <w:footnote w:id="7">
    <w:p w:rsidR="001A0723" w:rsidRDefault="001A0723">
      <w:pPr>
        <w:pStyle w:val="Notedebasdepage"/>
      </w:pPr>
      <w:r>
        <w:tab/>
      </w:r>
      <w:r w:rsidRPr="00EF54E4">
        <w:rPr>
          <w:rStyle w:val="Appelnotedebasdep"/>
          <w:b/>
        </w:rPr>
        <w:footnoteRef/>
      </w:r>
      <w:r>
        <w:tab/>
      </w:r>
      <w:r>
        <w:rPr>
          <w:b/>
        </w:rPr>
        <w:t xml:space="preserve">La qualification des roulettes doit être menée pour chacun des trois </w:t>
      </w:r>
      <w:r w:rsidRPr="005D701C">
        <w:rPr>
          <w:b/>
        </w:rPr>
        <w:t>nombres</w:t>
      </w:r>
      <w:r>
        <w:rPr>
          <w:b/>
        </w:rPr>
        <w:t xml:space="preserve"> de cycles (100, 500 et 1 000), que le couple de roulettes soit destiné ou non à être utilisé pour l’ensemble des valeurs de cycle.</w:t>
      </w:r>
    </w:p>
  </w:footnote>
  <w:footnote w:id="8">
    <w:p w:rsidR="001A0723" w:rsidRDefault="001A0723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>
        <w:rPr>
          <w:b/>
        </w:rPr>
        <w:t xml:space="preserve">Dans le cas d’une pierre abrasive </w:t>
      </w:r>
      <w:proofErr w:type="spellStart"/>
      <w:r>
        <w:rPr>
          <w:b/>
        </w:rPr>
        <w:t>Taber</w:t>
      </w:r>
      <w:proofErr w:type="spellEnd"/>
      <w:r>
        <w:rPr>
          <w:b/>
        </w:rPr>
        <w:t xml:space="preserve">, pour une charge totale de 500 g, la masse accessoire est de 250 g </w:t>
      </w:r>
      <w:r>
        <w:rPr>
          <w:b/>
        </w:rPr>
        <w:sym w:font="Symbol" w:char="F0B1"/>
      </w:r>
      <w:r>
        <w:rPr>
          <w:b/>
        </w:rPr>
        <w:t xml:space="preserve"> 1 g.</w:t>
      </w:r>
    </w:p>
  </w:footnote>
  <w:footnote w:id="9">
    <w:p w:rsidR="001A0723" w:rsidRDefault="001A0723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>
        <w:rPr>
          <w:b/>
        </w:rPr>
        <w:t>L’entreprise BYK-Gardner (Allemagne) fabrique des instruments adaptés pour mesurer l’atténuation de la visibilité.</w:t>
      </w:r>
    </w:p>
  </w:footnote>
  <w:footnote w:id="10">
    <w:p w:rsidR="001A0723" w:rsidRDefault="001A0723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>
        <w:rPr>
          <w:b/>
        </w:rPr>
        <w:t>Il suffit de déterminer le facteur de correction d’une paire de roulettes pour les nombres de cycles sélectionnés aux fins de l’essai des éprouvettes.</w:t>
      </w:r>
    </w:p>
  </w:footnote>
  <w:footnote w:id="11">
    <w:p w:rsidR="001A0723" w:rsidRPr="0047034C" w:rsidRDefault="001A0723" w:rsidP="007F6572">
      <w:pPr>
        <w:tabs>
          <w:tab w:val="right" w:pos="993"/>
          <w:tab w:val="left" w:pos="1134"/>
        </w:tabs>
        <w:spacing w:line="240" w:lineRule="auto"/>
        <w:ind w:left="1134" w:right="1134" w:hanging="141"/>
        <w:jc w:val="both"/>
        <w:rPr>
          <w:lang w:val="fr-FR"/>
        </w:rPr>
      </w:pPr>
      <w:r>
        <w:rPr>
          <w:rStyle w:val="Appelnotedebasdep"/>
          <w:b/>
        </w:rPr>
        <w:footnoteRef/>
      </w:r>
      <w:r>
        <w:rPr>
          <w:b/>
        </w:rPr>
        <w:t xml:space="preserve"> </w:t>
      </w:r>
      <w:r>
        <w:rPr>
          <w:b/>
          <w:sz w:val="18"/>
          <w:szCs w:val="18"/>
        </w:rPr>
        <w:t>Ces valeurs fixes ∆</w:t>
      </w:r>
      <w:proofErr w:type="spellStart"/>
      <w:r>
        <w:rPr>
          <w:b/>
          <w:sz w:val="18"/>
          <w:szCs w:val="18"/>
        </w:rPr>
        <w:t>haze</w:t>
      </w:r>
      <w:r>
        <w:rPr>
          <w:b/>
          <w:sz w:val="18"/>
          <w:szCs w:val="18"/>
          <w:vertAlign w:val="subscript"/>
        </w:rPr>
        <w:t>rv</w:t>
      </w:r>
      <w:proofErr w:type="spellEnd"/>
      <w:r>
        <w:rPr>
          <w:b/>
          <w:sz w:val="18"/>
          <w:szCs w:val="18"/>
        </w:rPr>
        <w:t xml:space="preserve">(r) pour les </w:t>
      </w:r>
      <w:r w:rsidRPr="0083197A">
        <w:rPr>
          <w:b/>
          <w:sz w:val="18"/>
          <w:szCs w:val="18"/>
        </w:rPr>
        <w:t xml:space="preserve">échantillons de polycarbonate enduits de revêtement dur de type AS4000S </w:t>
      </w:r>
      <w:r>
        <w:rPr>
          <w:b/>
          <w:sz w:val="18"/>
          <w:szCs w:val="18"/>
        </w:rPr>
        <w:t>sont les valeurs moyennes par nombre de cycles obtenues lors de l’</w:t>
      </w:r>
      <w:r w:rsidRPr="008731A9">
        <w:rPr>
          <w:b/>
          <w:sz w:val="18"/>
          <w:szCs w:val="18"/>
        </w:rPr>
        <w:t xml:space="preserve">essai </w:t>
      </w:r>
      <w:proofErr w:type="spellStart"/>
      <w:r w:rsidRPr="008731A9">
        <w:rPr>
          <w:b/>
          <w:sz w:val="18"/>
          <w:szCs w:val="18"/>
        </w:rPr>
        <w:t>interlaboratoires</w:t>
      </w:r>
      <w:proofErr w:type="spellEnd"/>
      <w:r>
        <w:rPr>
          <w:b/>
          <w:sz w:val="18"/>
          <w:szCs w:val="18"/>
        </w:rPr>
        <w:t xml:space="preserve"> par les laboratoires participants au moyen de roulettes qualifiées conformément au paragraphe 4.1.2.2.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23" w:rsidRPr="007F46EC" w:rsidRDefault="0020750A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ECE/TRANS/WP.29/GRSG/2017/6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23" w:rsidRPr="007F46EC" w:rsidRDefault="0020750A" w:rsidP="007F46EC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ECE/TRANS/WP.29/GRSG/2017/6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A9"/>
    <w:rsid w:val="00017F94"/>
    <w:rsid w:val="00023842"/>
    <w:rsid w:val="000334F9"/>
    <w:rsid w:val="00045FEB"/>
    <w:rsid w:val="00046D19"/>
    <w:rsid w:val="0007796D"/>
    <w:rsid w:val="000A7660"/>
    <w:rsid w:val="000B7790"/>
    <w:rsid w:val="000C228B"/>
    <w:rsid w:val="000C5AC0"/>
    <w:rsid w:val="00111F2F"/>
    <w:rsid w:val="001305AF"/>
    <w:rsid w:val="001322A8"/>
    <w:rsid w:val="0014365E"/>
    <w:rsid w:val="00143C66"/>
    <w:rsid w:val="00176178"/>
    <w:rsid w:val="001A0723"/>
    <w:rsid w:val="001E7BB6"/>
    <w:rsid w:val="001F1F24"/>
    <w:rsid w:val="001F20C4"/>
    <w:rsid w:val="001F525A"/>
    <w:rsid w:val="0020704A"/>
    <w:rsid w:val="0020750A"/>
    <w:rsid w:val="00223272"/>
    <w:rsid w:val="0024779E"/>
    <w:rsid w:val="00257168"/>
    <w:rsid w:val="002744B8"/>
    <w:rsid w:val="002832AC"/>
    <w:rsid w:val="002D7C93"/>
    <w:rsid w:val="00305801"/>
    <w:rsid w:val="00306328"/>
    <w:rsid w:val="003916DE"/>
    <w:rsid w:val="003D166B"/>
    <w:rsid w:val="00441C3B"/>
    <w:rsid w:val="00446FE5"/>
    <w:rsid w:val="00452396"/>
    <w:rsid w:val="00474D8E"/>
    <w:rsid w:val="00477EA4"/>
    <w:rsid w:val="004837D8"/>
    <w:rsid w:val="004E468C"/>
    <w:rsid w:val="005505B7"/>
    <w:rsid w:val="00554D3A"/>
    <w:rsid w:val="00573BE5"/>
    <w:rsid w:val="00586ED3"/>
    <w:rsid w:val="00596AA9"/>
    <w:rsid w:val="00702ABA"/>
    <w:rsid w:val="0071601D"/>
    <w:rsid w:val="00797756"/>
    <w:rsid w:val="007A62E6"/>
    <w:rsid w:val="007F20FA"/>
    <w:rsid w:val="007F46EC"/>
    <w:rsid w:val="007F6572"/>
    <w:rsid w:val="0080684C"/>
    <w:rsid w:val="008577F5"/>
    <w:rsid w:val="00871C75"/>
    <w:rsid w:val="008776DC"/>
    <w:rsid w:val="00890158"/>
    <w:rsid w:val="008939AC"/>
    <w:rsid w:val="008E599E"/>
    <w:rsid w:val="009446C0"/>
    <w:rsid w:val="00955ACB"/>
    <w:rsid w:val="009705C8"/>
    <w:rsid w:val="009A7309"/>
    <w:rsid w:val="009C1CF4"/>
    <w:rsid w:val="009F6B74"/>
    <w:rsid w:val="00A30353"/>
    <w:rsid w:val="00A33737"/>
    <w:rsid w:val="00A408E6"/>
    <w:rsid w:val="00A5770B"/>
    <w:rsid w:val="00A65767"/>
    <w:rsid w:val="00AC3823"/>
    <w:rsid w:val="00AD41A9"/>
    <w:rsid w:val="00AD6DEC"/>
    <w:rsid w:val="00AE192B"/>
    <w:rsid w:val="00AE323C"/>
    <w:rsid w:val="00AF0CB5"/>
    <w:rsid w:val="00B00181"/>
    <w:rsid w:val="00B00B0D"/>
    <w:rsid w:val="00B326FB"/>
    <w:rsid w:val="00B56DFB"/>
    <w:rsid w:val="00B765F7"/>
    <w:rsid w:val="00B825C9"/>
    <w:rsid w:val="00BA0CA9"/>
    <w:rsid w:val="00BB4B75"/>
    <w:rsid w:val="00BC0F6D"/>
    <w:rsid w:val="00C02897"/>
    <w:rsid w:val="00C479D0"/>
    <w:rsid w:val="00CC18C2"/>
    <w:rsid w:val="00CF71DB"/>
    <w:rsid w:val="00D3439C"/>
    <w:rsid w:val="00DA5458"/>
    <w:rsid w:val="00DB1831"/>
    <w:rsid w:val="00DD3BFD"/>
    <w:rsid w:val="00DF6678"/>
    <w:rsid w:val="00E85C74"/>
    <w:rsid w:val="00E879EC"/>
    <w:rsid w:val="00EA6547"/>
    <w:rsid w:val="00EC4AB2"/>
    <w:rsid w:val="00EF2E22"/>
    <w:rsid w:val="00EF54E4"/>
    <w:rsid w:val="00F16F94"/>
    <w:rsid w:val="00F35BAF"/>
    <w:rsid w:val="00F43B80"/>
    <w:rsid w:val="00F660DF"/>
    <w:rsid w:val="00F8163B"/>
    <w:rsid w:val="00F94664"/>
    <w:rsid w:val="00F9573C"/>
    <w:rsid w:val="00F95C08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SingleTxtGR">
    <w:name w:val="_ Single Txt_GR"/>
    <w:basedOn w:val="Normal"/>
    <w:qFormat/>
    <w:rsid w:val="00B326FB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para">
    <w:name w:val="para"/>
    <w:basedOn w:val="Normal"/>
    <w:link w:val="paraChar"/>
    <w:rsid w:val="00B326FB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lang w:val="en-GB"/>
    </w:rPr>
  </w:style>
  <w:style w:type="character" w:customStyle="1" w:styleId="paraChar">
    <w:name w:val="para Char"/>
    <w:link w:val="para"/>
    <w:rsid w:val="00B326FB"/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SingleTxtGR">
    <w:name w:val="_ Single Txt_GR"/>
    <w:basedOn w:val="Normal"/>
    <w:qFormat/>
    <w:rsid w:val="00B326FB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para">
    <w:name w:val="para"/>
    <w:basedOn w:val="Normal"/>
    <w:link w:val="paraChar"/>
    <w:rsid w:val="00B326FB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lang w:val="en-GB"/>
    </w:rPr>
  </w:style>
  <w:style w:type="character" w:customStyle="1" w:styleId="paraChar">
    <w:name w:val="para Char"/>
    <w:link w:val="para"/>
    <w:rsid w:val="00B326FB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19A8-BFF1-4792-B61D-7AD4CFC2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16</Pages>
  <Words>6288</Words>
  <Characters>34586</Characters>
  <Application>Microsoft Office Word</Application>
  <DocSecurity>0</DocSecurity>
  <Lines>288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ECE/TRANS/WP.29/GRSG/2017/6</vt:lpstr>
    </vt:vector>
  </TitlesOfParts>
  <Company>DCM</Company>
  <LinksUpToDate>false</LinksUpToDate>
  <CharactersWithSpaces>40793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ECE/TRANS/WP.29/GRSG/2017/6</dc:title>
  <dc:creator>Fabienne Crelier</dc:creator>
  <cp:lastModifiedBy>Fabienne Crelier</cp:lastModifiedBy>
  <cp:revision>3</cp:revision>
  <cp:lastPrinted>2017-03-03T13:37:00Z</cp:lastPrinted>
  <dcterms:created xsi:type="dcterms:W3CDTF">2017-03-03T13:37:00Z</dcterms:created>
  <dcterms:modified xsi:type="dcterms:W3CDTF">2017-03-03T13:40:00Z</dcterms:modified>
</cp:coreProperties>
</file>