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3707EC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3707EC" w:rsidP="003707EC">
            <w:pPr>
              <w:jc w:val="right"/>
            </w:pPr>
            <w:r w:rsidRPr="003707EC">
              <w:rPr>
                <w:sz w:val="40"/>
              </w:rPr>
              <w:t>ECE</w:t>
            </w:r>
            <w:r>
              <w:t>/TRANS/WP.29/GRSG/2017/30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3707EC" w:rsidP="00C97039">
            <w:pPr>
              <w:spacing w:before="240"/>
            </w:pPr>
            <w:r>
              <w:t>Distr. générale</w:t>
            </w:r>
          </w:p>
          <w:p w:rsidR="003707EC" w:rsidRDefault="003707EC" w:rsidP="003707EC">
            <w:pPr>
              <w:spacing w:line="240" w:lineRule="exact"/>
            </w:pPr>
            <w:r>
              <w:t>28 juillet 2017</w:t>
            </w:r>
          </w:p>
          <w:p w:rsidR="003707EC" w:rsidRDefault="003707EC" w:rsidP="003707EC">
            <w:pPr>
              <w:spacing w:line="240" w:lineRule="exact"/>
            </w:pPr>
            <w:r>
              <w:t>Français</w:t>
            </w:r>
          </w:p>
          <w:p w:rsidR="003707EC" w:rsidRPr="00DB58B5" w:rsidRDefault="003707EC" w:rsidP="003707EC">
            <w:pPr>
              <w:spacing w:line="240" w:lineRule="exact"/>
            </w:pPr>
            <w:r>
              <w:t>Original</w:t>
            </w:r>
            <w:r w:rsidR="00BE6550">
              <w:t> :</w:t>
            </w:r>
            <w:r>
              <w:t xml:space="preserve">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EF66B5" w:rsidRPr="00EF66B5" w:rsidRDefault="00EF66B5" w:rsidP="00EF66B5">
      <w:pPr>
        <w:spacing w:before="120"/>
        <w:rPr>
          <w:b/>
          <w:sz w:val="24"/>
          <w:szCs w:val="24"/>
        </w:rPr>
      </w:pPr>
      <w:r w:rsidRPr="00EF66B5">
        <w:rPr>
          <w:b/>
          <w:sz w:val="24"/>
          <w:szCs w:val="24"/>
          <w:lang w:val="fr-FR"/>
        </w:rPr>
        <w:t xml:space="preserve">Forum mondial de l’harmonisation </w:t>
      </w:r>
      <w:r>
        <w:rPr>
          <w:b/>
          <w:sz w:val="24"/>
          <w:szCs w:val="24"/>
          <w:lang w:val="fr-FR"/>
        </w:rPr>
        <w:br/>
      </w:r>
      <w:r w:rsidRPr="00EF66B5">
        <w:rPr>
          <w:b/>
          <w:sz w:val="24"/>
          <w:szCs w:val="24"/>
          <w:lang w:val="fr-FR"/>
        </w:rPr>
        <w:t>des Règlements concernant les véhicules</w:t>
      </w:r>
    </w:p>
    <w:p w:rsidR="00EF66B5" w:rsidRPr="00C44E59" w:rsidRDefault="00EF66B5" w:rsidP="00EF66B5">
      <w:pPr>
        <w:spacing w:before="120"/>
        <w:rPr>
          <w:b/>
        </w:rPr>
      </w:pPr>
      <w:r w:rsidRPr="00C44E59">
        <w:rPr>
          <w:b/>
          <w:lang w:val="fr-FR"/>
        </w:rPr>
        <w:t>Groupe de travail des dispositions générales de sécurité</w:t>
      </w:r>
    </w:p>
    <w:p w:rsidR="00EF66B5" w:rsidRPr="00F32872" w:rsidRDefault="00EF66B5" w:rsidP="00EF66B5">
      <w:pPr>
        <w:spacing w:before="120"/>
        <w:rPr>
          <w:b/>
        </w:rPr>
      </w:pPr>
      <w:r w:rsidRPr="00F32872">
        <w:rPr>
          <w:b/>
          <w:lang w:val="fr-FR"/>
        </w:rPr>
        <w:t>113</w:t>
      </w:r>
      <w:r w:rsidRPr="00F32872">
        <w:rPr>
          <w:b/>
          <w:vertAlign w:val="superscript"/>
          <w:lang w:val="fr-FR"/>
        </w:rPr>
        <w:t>e</w:t>
      </w:r>
      <w:r w:rsidR="007D5D1C">
        <w:rPr>
          <w:b/>
          <w:lang w:val="fr-FR"/>
        </w:rPr>
        <w:t> </w:t>
      </w:r>
      <w:r w:rsidRPr="00F32872">
        <w:rPr>
          <w:b/>
          <w:lang w:val="fr-FR"/>
        </w:rPr>
        <w:t>session</w:t>
      </w:r>
    </w:p>
    <w:p w:rsidR="00EF66B5" w:rsidRPr="00F32872" w:rsidRDefault="00EF66B5" w:rsidP="00EF66B5">
      <w:r w:rsidRPr="00F32872">
        <w:rPr>
          <w:lang w:val="fr-FR"/>
        </w:rPr>
        <w:t>Genève, 10-13 octobre 2017</w:t>
      </w:r>
    </w:p>
    <w:p w:rsidR="00EF66B5" w:rsidRPr="00F32872" w:rsidRDefault="00EF66B5" w:rsidP="00EF66B5">
      <w:r w:rsidRPr="00F32872">
        <w:rPr>
          <w:lang w:val="fr-FR"/>
        </w:rPr>
        <w:t>Point 6 a) de l</w:t>
      </w:r>
      <w:r>
        <w:rPr>
          <w:lang w:val="fr-FR"/>
        </w:rPr>
        <w:t>’</w:t>
      </w:r>
      <w:r w:rsidRPr="00F32872">
        <w:rPr>
          <w:lang w:val="fr-FR"/>
        </w:rPr>
        <w:t>ordre du jour provisoire</w:t>
      </w:r>
    </w:p>
    <w:p w:rsidR="00EF66B5" w:rsidRPr="00F32872" w:rsidRDefault="00EF66B5" w:rsidP="00EF66B5">
      <w:pPr>
        <w:rPr>
          <w:b/>
        </w:rPr>
      </w:pPr>
      <w:r w:rsidRPr="00F32872">
        <w:rPr>
          <w:b/>
          <w:lang w:val="fr-FR"/>
        </w:rPr>
        <w:t xml:space="preserve">Amendements aux Règlements concernant les véhicules </w:t>
      </w:r>
      <w:r w:rsidR="007D5D1C">
        <w:rPr>
          <w:b/>
          <w:lang w:val="fr-FR"/>
        </w:rPr>
        <w:br/>
      </w:r>
      <w:r w:rsidRPr="00F32872">
        <w:rPr>
          <w:b/>
          <w:lang w:val="fr-FR"/>
        </w:rPr>
        <w:t>fonctionnant au gaz</w:t>
      </w:r>
      <w:r w:rsidR="00BE6550">
        <w:rPr>
          <w:b/>
          <w:lang w:val="fr-FR"/>
        </w:rPr>
        <w:t> :</w:t>
      </w:r>
      <w:r w:rsidRPr="00F32872">
        <w:rPr>
          <w:b/>
          <w:lang w:val="fr-FR"/>
        </w:rPr>
        <w:t xml:space="preserve"> Règlement n</w:t>
      </w:r>
      <w:r w:rsidRPr="00F32872">
        <w:rPr>
          <w:b/>
          <w:vertAlign w:val="superscript"/>
          <w:lang w:val="fr-FR"/>
        </w:rPr>
        <w:t>o</w:t>
      </w:r>
      <w:r w:rsidRPr="00F32872">
        <w:rPr>
          <w:b/>
          <w:lang w:val="fr-FR"/>
        </w:rPr>
        <w:t xml:space="preserve"> 67 </w:t>
      </w:r>
      <w:r w:rsidR="007D5D1C">
        <w:rPr>
          <w:b/>
          <w:lang w:val="fr-FR"/>
        </w:rPr>
        <w:br/>
      </w:r>
      <w:r w:rsidRPr="00F32872">
        <w:rPr>
          <w:b/>
          <w:lang w:val="fr-FR"/>
        </w:rPr>
        <w:t>(Véhicules alimentés au GPL)</w:t>
      </w:r>
    </w:p>
    <w:p w:rsidR="00EF66B5" w:rsidRPr="00F32872" w:rsidRDefault="00EF66B5" w:rsidP="007D5D1C">
      <w:pPr>
        <w:pStyle w:val="HChG"/>
        <w:rPr>
          <w:sz w:val="26"/>
          <w:szCs w:val="26"/>
        </w:rPr>
      </w:pPr>
      <w:r w:rsidRPr="00F32872">
        <w:rPr>
          <w:lang w:val="fr-FR"/>
        </w:rPr>
        <w:tab/>
      </w:r>
      <w:r w:rsidRPr="00F32872">
        <w:rPr>
          <w:lang w:val="fr-FR"/>
        </w:rPr>
        <w:tab/>
        <w:t>Proposition de complément 15 à la série 01 d</w:t>
      </w:r>
      <w:r>
        <w:rPr>
          <w:lang w:val="fr-FR"/>
        </w:rPr>
        <w:t>’</w:t>
      </w:r>
      <w:r w:rsidRPr="00F32872">
        <w:rPr>
          <w:lang w:val="fr-FR"/>
        </w:rPr>
        <w:t>amendements au Règlement n</w:t>
      </w:r>
      <w:r w:rsidRPr="00F32872">
        <w:rPr>
          <w:vertAlign w:val="superscript"/>
          <w:lang w:val="fr-FR"/>
        </w:rPr>
        <w:t>o</w:t>
      </w:r>
      <w:r w:rsidR="007D5D1C">
        <w:rPr>
          <w:lang w:val="fr-FR"/>
        </w:rPr>
        <w:t> </w:t>
      </w:r>
      <w:r w:rsidRPr="00F32872">
        <w:rPr>
          <w:lang w:val="fr-FR"/>
        </w:rPr>
        <w:t>67 (Véhicules alimentés au GPL)</w:t>
      </w:r>
    </w:p>
    <w:p w:rsidR="00EF66B5" w:rsidRPr="007D5D1C" w:rsidRDefault="007D5D1C" w:rsidP="007D5D1C">
      <w:pPr>
        <w:pStyle w:val="H1G"/>
      </w:pPr>
      <w:r>
        <w:tab/>
      </w:r>
      <w:r>
        <w:tab/>
      </w:r>
      <w:r w:rsidR="00EF66B5" w:rsidRPr="00F32872">
        <w:rPr>
          <w:lang w:val="fr-FR"/>
        </w:rPr>
        <w:t>Communication des experts des Pays-Bas et de l</w:t>
      </w:r>
      <w:r w:rsidR="00EF66B5">
        <w:rPr>
          <w:lang w:val="fr-FR"/>
        </w:rPr>
        <w:t>’</w:t>
      </w:r>
      <w:r w:rsidR="00EF66B5" w:rsidRPr="00F32872">
        <w:rPr>
          <w:lang w:val="fr-FR"/>
        </w:rPr>
        <w:t>Association européenne des gaz de pétrole liquéfiés</w:t>
      </w:r>
      <w:r w:rsidR="00EF66B5" w:rsidRPr="007D5D1C">
        <w:rPr>
          <w:b w:val="0"/>
          <w:sz w:val="20"/>
          <w:lang w:val="fr-FR"/>
        </w:rPr>
        <w:footnoteReference w:customMarkFollows="1" w:id="2"/>
        <w:t>*</w:t>
      </w:r>
    </w:p>
    <w:p w:rsidR="00EF66B5" w:rsidRDefault="00EF66B5" w:rsidP="007D5D1C">
      <w:pPr>
        <w:pStyle w:val="SingleTxtG"/>
        <w:ind w:firstLine="567"/>
        <w:rPr>
          <w:lang w:val="fr-FR"/>
        </w:rPr>
      </w:pPr>
      <w:r w:rsidRPr="00F32872">
        <w:rPr>
          <w:lang w:val="fr-FR"/>
        </w:rPr>
        <w:t>Le texte ci-après, établi par les experts des Pays-Bas et de l</w:t>
      </w:r>
      <w:r>
        <w:rPr>
          <w:lang w:val="fr-FR"/>
        </w:rPr>
        <w:t>’</w:t>
      </w:r>
      <w:r w:rsidRPr="00F32872">
        <w:rPr>
          <w:lang w:val="fr-FR"/>
        </w:rPr>
        <w:t>Association européenne des gaz de pétrole liquéfiés (AEGPL), a pour objet la modification des dispositions relatives à l</w:t>
      </w:r>
      <w:r>
        <w:rPr>
          <w:lang w:val="fr-FR"/>
        </w:rPr>
        <w:t>’</w:t>
      </w:r>
      <w:r w:rsidRPr="00F32872">
        <w:rPr>
          <w:lang w:val="fr-FR"/>
        </w:rPr>
        <w:t>homologation de type des accessoires des réservoirs à gaz de pétrole liquéfié (GPL). Il vise à substituer une nouvelle proposition à celle formulée dans le document informel ECE/TRANS/WP.29/GRSG/2017/10, présenté à la 112</w:t>
      </w:r>
      <w:r w:rsidRPr="00F32872">
        <w:rPr>
          <w:vertAlign w:val="superscript"/>
          <w:lang w:val="fr-FR"/>
        </w:rPr>
        <w:t>e</w:t>
      </w:r>
      <w:r w:rsidR="007D5D1C">
        <w:rPr>
          <w:lang w:val="fr-FR"/>
        </w:rPr>
        <w:t> </w:t>
      </w:r>
      <w:r w:rsidRPr="00F32872">
        <w:rPr>
          <w:lang w:val="fr-FR"/>
        </w:rPr>
        <w:t>session du Groupe de travail des dispositions générales de sécurité (GRSG) (voir le paragraphe 22 du rapport ECE/TRANS/WP.29/GRSG/91). Les ajouts proposés au texte actuel du Règlement n</w:t>
      </w:r>
      <w:r w:rsidRPr="00F32872">
        <w:rPr>
          <w:vertAlign w:val="superscript"/>
          <w:lang w:val="fr-FR"/>
        </w:rPr>
        <w:t>o</w:t>
      </w:r>
      <w:r w:rsidRPr="00F32872">
        <w:rPr>
          <w:lang w:val="fr-FR"/>
        </w:rPr>
        <w:t> 67 sont signalés en caractères gras.</w:t>
      </w:r>
    </w:p>
    <w:p w:rsidR="00EF66B5" w:rsidRPr="00F32872" w:rsidRDefault="00EF66B5" w:rsidP="001979F2">
      <w:pPr>
        <w:pStyle w:val="HChG"/>
        <w:rPr>
          <w:sz w:val="32"/>
        </w:rPr>
      </w:pPr>
      <w:r w:rsidRPr="00F32872">
        <w:rPr>
          <w:lang w:val="fr-FR"/>
        </w:rPr>
        <w:br w:type="page"/>
      </w:r>
      <w:r w:rsidR="001979F2">
        <w:rPr>
          <w:lang w:val="fr-FR"/>
        </w:rPr>
        <w:lastRenderedPageBreak/>
        <w:tab/>
      </w:r>
      <w:r w:rsidRPr="00F32872">
        <w:rPr>
          <w:lang w:val="fr-FR"/>
        </w:rPr>
        <w:t>I.</w:t>
      </w:r>
      <w:r w:rsidRPr="00F32872">
        <w:rPr>
          <w:lang w:val="fr-FR"/>
        </w:rPr>
        <w:tab/>
        <w:t>Proposition</w:t>
      </w:r>
    </w:p>
    <w:p w:rsidR="00EF66B5" w:rsidRPr="00F32872" w:rsidRDefault="00EF66B5" w:rsidP="001979F2">
      <w:pPr>
        <w:pStyle w:val="SingleTxtG"/>
        <w:rPr>
          <w:rFonts w:eastAsia="MS Mincho"/>
          <w:bCs/>
          <w:spacing w:val="-2"/>
        </w:rPr>
      </w:pPr>
      <w:r w:rsidRPr="00F32872">
        <w:rPr>
          <w:i/>
          <w:iCs/>
          <w:lang w:val="fr-FR"/>
        </w:rPr>
        <w:t>Annexe 2A</w:t>
      </w:r>
      <w:r w:rsidR="001979F2">
        <w:rPr>
          <w:lang w:val="fr-FR"/>
        </w:rPr>
        <w:t>, modifier comme suit</w:t>
      </w:r>
      <w:r w:rsidR="00BE6550">
        <w:rPr>
          <w:lang w:val="fr-FR"/>
        </w:rPr>
        <w:t> :</w:t>
      </w:r>
    </w:p>
    <w:p w:rsidR="00EF66B5" w:rsidRPr="00F32872" w:rsidRDefault="001979F2" w:rsidP="001979F2">
      <w:pPr>
        <w:pStyle w:val="HChG"/>
      </w:pPr>
      <w:r w:rsidRPr="001979F2">
        <w:rPr>
          <w:b w:val="0"/>
          <w:sz w:val="20"/>
          <w:lang w:val="fr-FR"/>
        </w:rPr>
        <w:t>« </w:t>
      </w:r>
      <w:r w:rsidR="00EF66B5" w:rsidRPr="00F32872">
        <w:rPr>
          <w:lang w:val="fr-FR"/>
        </w:rPr>
        <w:t>Annexe 2A</w:t>
      </w:r>
    </w:p>
    <w:p w:rsidR="00EF66B5" w:rsidRPr="00F32872" w:rsidRDefault="00EF66B5" w:rsidP="001979F2">
      <w:pPr>
        <w:pStyle w:val="HChG"/>
      </w:pPr>
      <w:r w:rsidRPr="00F32872">
        <w:rPr>
          <w:lang w:val="fr-FR"/>
        </w:rPr>
        <w:tab/>
      </w:r>
      <w:r w:rsidRPr="00F32872">
        <w:rPr>
          <w:lang w:val="fr-FR"/>
        </w:rPr>
        <w:tab/>
        <w:t>Exemple de marque d</w:t>
      </w:r>
      <w:r>
        <w:rPr>
          <w:lang w:val="fr-FR"/>
        </w:rPr>
        <w:t>’</w:t>
      </w:r>
      <w:r w:rsidRPr="00F32872">
        <w:rPr>
          <w:lang w:val="fr-FR"/>
        </w:rPr>
        <w:t>homologation de l</w:t>
      </w:r>
      <w:r>
        <w:rPr>
          <w:lang w:val="fr-FR"/>
        </w:rPr>
        <w:t>’</w:t>
      </w:r>
      <w:r w:rsidRPr="00F32872">
        <w:rPr>
          <w:lang w:val="fr-FR"/>
        </w:rPr>
        <w:t>équipement GPL</w:t>
      </w:r>
    </w:p>
    <w:p w:rsidR="00EF66B5" w:rsidRDefault="00EF66B5" w:rsidP="00F30194">
      <w:pPr>
        <w:pStyle w:val="SingleTxtG"/>
      </w:pPr>
      <w:r w:rsidRPr="00F32872">
        <w:rPr>
          <w:lang w:val="fr-FR"/>
        </w:rPr>
        <w:t>(Voir le paragraphe 5.4 du présent Règlement)</w:t>
      </w:r>
    </w:p>
    <w:p w:rsidR="00331438" w:rsidRPr="00150DB2" w:rsidRDefault="00331438" w:rsidP="00331438">
      <w:pPr>
        <w:pStyle w:val="SingleTxtG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7014D0" wp14:editId="43DB12EE">
                <wp:simplePos x="0" y="0"/>
                <wp:positionH relativeFrom="column">
                  <wp:posOffset>2960475</wp:posOffset>
                </wp:positionH>
                <wp:positionV relativeFrom="paragraph">
                  <wp:posOffset>456565</wp:posOffset>
                </wp:positionV>
                <wp:extent cx="2254581" cy="263662"/>
                <wp:effectExtent l="0" t="0" r="0" b="317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4581" cy="2636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31438" w:rsidRPr="008D16D9" w:rsidRDefault="00331438" w:rsidP="0033143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D16D9">
                              <w:rPr>
                                <w:sz w:val="24"/>
                                <w:szCs w:val="24"/>
                                <w:lang w:val="en-US"/>
                              </w:rPr>
                              <w:t>67 R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−</w:t>
                            </w:r>
                            <w:r w:rsidRPr="008D16D9">
                              <w:rPr>
                                <w:sz w:val="24"/>
                                <w:szCs w:val="24"/>
                                <w:lang w:val="en-US"/>
                              </w:rPr>
                              <w:t>012439</w:t>
                            </w:r>
                            <w:r w:rsidRPr="008D16D9">
                              <w:rPr>
                                <w:sz w:val="24"/>
                                <w:szCs w:val="24"/>
                                <w:lang w:val="en-US"/>
                              </w:rPr>
                              <w:tab/>
                              <w:t>CLASS #</w:t>
                            </w:r>
                            <w:r w:rsidRPr="005F24D3">
                              <w:rPr>
                                <w:sz w:val="22"/>
                                <w:szCs w:val="22"/>
                                <w:vertAlign w:val="superscript"/>
                                <w:lang w:val="en-US"/>
                              </w:rPr>
                              <w:t>1</w:t>
                            </w:r>
                            <w:r w:rsidRPr="008D16D9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8D16D9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* </w:t>
                            </w:r>
                            <w:r w:rsidRPr="008D16D9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A</w:t>
                            </w:r>
                            <w:r w:rsidRPr="005F24D3">
                              <w:rPr>
                                <w:b/>
                                <w:bCs/>
                                <w:sz w:val="22"/>
                                <w:szCs w:val="22"/>
                                <w:vertAlign w:val="superscript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017014D0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233.1pt;margin-top:35.95pt;width:177.55pt;height:2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" fillcolor="white [3201]" stroked="f" strokeweight=".5pt">
                <v:textbox>
                  <w:txbxContent>
                    <w:p w:rsidR="00331438" w:rsidRPr="008D16D9" w:rsidRDefault="00331438" w:rsidP="00331438">
                      <w:pPr>
                        <w:rPr>
                          <w:sz w:val="24"/>
                          <w:szCs w:val="24"/>
                        </w:rPr>
                      </w:pPr>
                      <w:r w:rsidRPr="008D16D9">
                        <w:rPr>
                          <w:sz w:val="24"/>
                          <w:szCs w:val="24"/>
                          <w:lang w:val="en-US"/>
                        </w:rPr>
                        <w:t>67 R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−</w:t>
                      </w:r>
                      <w:r w:rsidRPr="008D16D9">
                        <w:rPr>
                          <w:sz w:val="24"/>
                          <w:szCs w:val="24"/>
                          <w:lang w:val="en-US"/>
                        </w:rPr>
                        <w:t>012439</w:t>
                      </w:r>
                      <w:r w:rsidRPr="008D16D9">
                        <w:rPr>
                          <w:sz w:val="24"/>
                          <w:szCs w:val="24"/>
                          <w:lang w:val="en-US"/>
                        </w:rPr>
                        <w:tab/>
                        <w:t>CLASS #</w:t>
                      </w:r>
                      <w:r w:rsidRPr="005F24D3">
                        <w:rPr>
                          <w:sz w:val="22"/>
                          <w:szCs w:val="22"/>
                          <w:vertAlign w:val="superscript"/>
                          <w:lang w:val="en-US"/>
                        </w:rPr>
                        <w:t>1</w:t>
                      </w:r>
                      <w:r w:rsidRPr="008D16D9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8D16D9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* </w:t>
                      </w:r>
                      <w:r w:rsidRPr="008D16D9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A</w:t>
                      </w:r>
                      <w:r w:rsidRPr="005F24D3">
                        <w:rPr>
                          <w:b/>
                          <w:bCs/>
                          <w:sz w:val="22"/>
                          <w:szCs w:val="22"/>
                          <w:vertAlign w:val="superscript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w:drawing>
          <wp:inline distT="0" distB="0" distL="0" distR="0" wp14:anchorId="4672041C" wp14:editId="1F148EB3">
            <wp:extent cx="4644000" cy="1270886"/>
            <wp:effectExtent l="0" t="0" r="0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-106863"/>
                    <a:stretch/>
                  </pic:blipFill>
                  <pic:spPr bwMode="auto">
                    <a:xfrm>
                      <a:off x="0" y="0"/>
                      <a:ext cx="4644000" cy="1270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F66B5" w:rsidRPr="00C30E35" w:rsidRDefault="00EF66B5" w:rsidP="00EF66B5">
      <w:pPr>
        <w:widowControl w:val="0"/>
        <w:tabs>
          <w:tab w:val="left" w:pos="-720"/>
          <w:tab w:val="left" w:pos="1080"/>
          <w:tab w:val="left" w:pos="1920"/>
          <w:tab w:val="right" w:leader="dot" w:pos="5664"/>
          <w:tab w:val="right" w:leader="dot" w:pos="9062"/>
        </w:tabs>
        <w:suppressAutoHyphens w:val="0"/>
        <w:spacing w:line="240" w:lineRule="auto"/>
        <w:ind w:left="4820" w:right="1134"/>
        <w:jc w:val="both"/>
        <w:rPr>
          <w:bCs/>
          <w:lang w:val="en-US"/>
        </w:rPr>
      </w:pPr>
      <w:r w:rsidRPr="00C30E35">
        <w:rPr>
          <w:lang w:val="en-US"/>
        </w:rPr>
        <w:t>a ≥ 5 mm</w:t>
      </w:r>
    </w:p>
    <w:p w:rsidR="00EF66B5" w:rsidRPr="00C30E35" w:rsidRDefault="00EF66B5" w:rsidP="00EF66B5">
      <w:pPr>
        <w:widowControl w:val="0"/>
        <w:tabs>
          <w:tab w:val="left" w:pos="-720"/>
          <w:tab w:val="left" w:pos="1080"/>
          <w:tab w:val="left" w:pos="1920"/>
          <w:tab w:val="left" w:pos="5103"/>
          <w:tab w:val="right" w:leader="dot" w:pos="5664"/>
          <w:tab w:val="right" w:leader="dot" w:pos="9062"/>
        </w:tabs>
        <w:suppressAutoHyphens w:val="0"/>
        <w:spacing w:line="240" w:lineRule="auto"/>
        <w:ind w:left="4820" w:right="1134"/>
        <w:jc w:val="both"/>
        <w:rPr>
          <w:bCs/>
          <w:lang w:val="en-US"/>
        </w:rPr>
      </w:pPr>
      <w:r w:rsidRPr="00F30194">
        <w:rPr>
          <w:rStyle w:val="FootnoteReference"/>
          <w:lang w:val="en-US"/>
        </w:rPr>
        <w:t>1</w:t>
      </w:r>
      <w:r w:rsidRPr="00C30E35">
        <w:rPr>
          <w:lang w:val="en-US"/>
        </w:rPr>
        <w:tab/>
        <w:t>Classe 0, 1, 2, 2A ou 3.</w:t>
      </w:r>
    </w:p>
    <w:p w:rsidR="00EF66B5" w:rsidRDefault="00EF66B5" w:rsidP="007600E5">
      <w:pPr>
        <w:widowControl w:val="0"/>
        <w:tabs>
          <w:tab w:val="left" w:pos="-720"/>
          <w:tab w:val="left" w:pos="1080"/>
          <w:tab w:val="left" w:pos="1920"/>
          <w:tab w:val="left" w:pos="5103"/>
          <w:tab w:val="right" w:leader="dot" w:pos="8505"/>
        </w:tabs>
        <w:suppressAutoHyphens w:val="0"/>
        <w:spacing w:line="240" w:lineRule="auto"/>
        <w:ind w:left="4820" w:right="1134"/>
        <w:rPr>
          <w:b/>
          <w:bCs/>
        </w:rPr>
      </w:pPr>
      <w:r w:rsidRPr="00F30194">
        <w:rPr>
          <w:rStyle w:val="FootnoteReference"/>
          <w:b/>
        </w:rPr>
        <w:t>2</w:t>
      </w:r>
      <w:r w:rsidRPr="00F32872">
        <w:rPr>
          <w:lang w:val="fr-FR"/>
        </w:rPr>
        <w:tab/>
      </w:r>
      <w:r w:rsidRPr="00F32872">
        <w:rPr>
          <w:b/>
          <w:bCs/>
          <w:lang w:val="fr-FR"/>
        </w:rPr>
        <w:t>Marque de modification technique à n</w:t>
      </w:r>
      <w:r>
        <w:rPr>
          <w:b/>
          <w:bCs/>
          <w:lang w:val="fr-FR"/>
        </w:rPr>
        <w:t>’</w:t>
      </w:r>
      <w:r w:rsidRPr="00F32872">
        <w:rPr>
          <w:b/>
          <w:bCs/>
          <w:lang w:val="fr-FR"/>
        </w:rPr>
        <w:t>apposer que sur le bloc multivannes ou, en cas d</w:t>
      </w:r>
      <w:r>
        <w:rPr>
          <w:b/>
          <w:bCs/>
          <w:lang w:val="fr-FR"/>
        </w:rPr>
        <w:t>’</w:t>
      </w:r>
      <w:r w:rsidRPr="00F32872">
        <w:rPr>
          <w:b/>
          <w:bCs/>
          <w:lang w:val="fr-FR"/>
        </w:rPr>
        <w:t>homologations distinctes, sur la soupape de surpression (soupape de décharge) et le dispositif de surpression.</w:t>
      </w:r>
    </w:p>
    <w:p w:rsidR="00EF66B5" w:rsidRDefault="00EF66B5" w:rsidP="005F24D3">
      <w:pPr>
        <w:pStyle w:val="SingleTxtG"/>
        <w:spacing w:before="120"/>
        <w:ind w:firstLine="567"/>
      </w:pPr>
      <w:r w:rsidRPr="00F32872">
        <w:rPr>
          <w:lang w:val="fr-FR"/>
        </w:rPr>
        <w:t>La marque d</w:t>
      </w:r>
      <w:r>
        <w:rPr>
          <w:lang w:val="fr-FR"/>
        </w:rPr>
        <w:t>’</w:t>
      </w:r>
      <w:r w:rsidRPr="00F32872">
        <w:rPr>
          <w:lang w:val="fr-FR"/>
        </w:rPr>
        <w:t>homologation ci-dessus, apposée sur un équipement GPL, indique que cet équipement a été homologué aux Pays-Bas (E4) en application du Règlement n</w:t>
      </w:r>
      <w:r w:rsidRPr="00F32872">
        <w:rPr>
          <w:vertAlign w:val="superscript"/>
          <w:lang w:val="fr-FR"/>
        </w:rPr>
        <w:t>o</w:t>
      </w:r>
      <w:r w:rsidR="005F24D3">
        <w:rPr>
          <w:lang w:val="fr-FR"/>
        </w:rPr>
        <w:t> </w:t>
      </w:r>
      <w:r w:rsidRPr="00F32872">
        <w:rPr>
          <w:lang w:val="fr-FR"/>
        </w:rPr>
        <w:t>67, sous le numéro d</w:t>
      </w:r>
      <w:r>
        <w:rPr>
          <w:lang w:val="fr-FR"/>
        </w:rPr>
        <w:t>’</w:t>
      </w:r>
      <w:r w:rsidRPr="00F32872">
        <w:rPr>
          <w:lang w:val="fr-FR"/>
        </w:rPr>
        <w:t>homologation 012439. Les deux premiers chiffres de ce numéro indiquent que l</w:t>
      </w:r>
      <w:r>
        <w:rPr>
          <w:lang w:val="fr-FR"/>
        </w:rPr>
        <w:t>’</w:t>
      </w:r>
      <w:r w:rsidRPr="00F32872">
        <w:rPr>
          <w:lang w:val="fr-FR"/>
        </w:rPr>
        <w:t>homologation a été accordée conformément aux dispositions du Règlement n</w:t>
      </w:r>
      <w:r w:rsidRPr="00F32872">
        <w:rPr>
          <w:vertAlign w:val="superscript"/>
          <w:lang w:val="fr-FR"/>
        </w:rPr>
        <w:t>o</w:t>
      </w:r>
      <w:r w:rsidRPr="00F32872">
        <w:rPr>
          <w:lang w:val="fr-FR"/>
        </w:rPr>
        <w:t> 67 tel qu</w:t>
      </w:r>
      <w:r>
        <w:rPr>
          <w:lang w:val="fr-FR"/>
        </w:rPr>
        <w:t>’</w:t>
      </w:r>
      <w:r w:rsidRPr="00F32872">
        <w:rPr>
          <w:lang w:val="fr-FR"/>
        </w:rPr>
        <w:t>amendé par la série 01 d</w:t>
      </w:r>
      <w:r>
        <w:rPr>
          <w:lang w:val="fr-FR"/>
        </w:rPr>
        <w:t>’</w:t>
      </w:r>
      <w:r w:rsidRPr="00F32872">
        <w:rPr>
          <w:lang w:val="fr-FR"/>
        </w:rPr>
        <w:t xml:space="preserve">amendements. </w:t>
      </w:r>
      <w:r w:rsidRPr="00F32872">
        <w:rPr>
          <w:b/>
          <w:bCs/>
          <w:lang w:val="fr-FR"/>
        </w:rPr>
        <w:t xml:space="preserve">La marque de modification technique </w:t>
      </w:r>
      <w:r w:rsidR="005F24D3">
        <w:rPr>
          <w:b/>
          <w:bCs/>
          <w:lang w:val="fr-FR"/>
        </w:rPr>
        <w:t>(la lettre “</w:t>
      </w:r>
      <w:r w:rsidRPr="00F32872">
        <w:rPr>
          <w:b/>
          <w:bCs/>
          <w:lang w:val="fr-FR"/>
        </w:rPr>
        <w:t>A</w:t>
      </w:r>
      <w:r w:rsidR="005F24D3">
        <w:rPr>
          <w:b/>
          <w:bCs/>
          <w:lang w:val="fr-FR"/>
        </w:rPr>
        <w:t>”</w:t>
      </w:r>
      <w:r w:rsidRPr="00F32872">
        <w:rPr>
          <w:b/>
          <w:bCs/>
          <w:lang w:val="fr-FR"/>
        </w:rPr>
        <w:t xml:space="preserve"> dans cet exemple) précédée d</w:t>
      </w:r>
      <w:r>
        <w:rPr>
          <w:b/>
          <w:bCs/>
          <w:lang w:val="fr-FR"/>
        </w:rPr>
        <w:t>’</w:t>
      </w:r>
      <w:r w:rsidRPr="00F32872">
        <w:rPr>
          <w:b/>
          <w:bCs/>
          <w:lang w:val="fr-FR"/>
        </w:rPr>
        <w:t>un astérisque n</w:t>
      </w:r>
      <w:r>
        <w:rPr>
          <w:b/>
          <w:bCs/>
          <w:lang w:val="fr-FR"/>
        </w:rPr>
        <w:t>’</w:t>
      </w:r>
      <w:r w:rsidRPr="00F32872">
        <w:rPr>
          <w:b/>
          <w:bCs/>
          <w:lang w:val="fr-FR"/>
        </w:rPr>
        <w:t>est obligatoire que pour indiquer l</w:t>
      </w:r>
      <w:r>
        <w:rPr>
          <w:b/>
          <w:bCs/>
          <w:lang w:val="fr-FR"/>
        </w:rPr>
        <w:t>’</w:t>
      </w:r>
      <w:r w:rsidRPr="00F32872">
        <w:rPr>
          <w:b/>
          <w:bCs/>
          <w:lang w:val="fr-FR"/>
        </w:rPr>
        <w:t>homologation des accessoires des réservoirs (bloc multivannes ou, en cas d</w:t>
      </w:r>
      <w:r>
        <w:rPr>
          <w:b/>
          <w:bCs/>
          <w:lang w:val="fr-FR"/>
        </w:rPr>
        <w:t>’</w:t>
      </w:r>
      <w:r w:rsidRPr="00F32872">
        <w:rPr>
          <w:b/>
          <w:bCs/>
          <w:lang w:val="fr-FR"/>
        </w:rPr>
        <w:t>homologations distinctes, soupape de surpression (soupape de décharge) et dispositif de surpression).</w:t>
      </w:r>
      <w:r w:rsidR="005F24D3" w:rsidRPr="005F24D3">
        <w:rPr>
          <w:bCs/>
          <w:lang w:val="fr-FR"/>
        </w:rPr>
        <w:t> »</w:t>
      </w:r>
      <w:r w:rsidRPr="00F32872">
        <w:rPr>
          <w:bCs/>
          <w:lang w:val="fr-FR"/>
        </w:rPr>
        <w:t>.</w:t>
      </w:r>
    </w:p>
    <w:p w:rsidR="00EF66B5" w:rsidRPr="00F32872" w:rsidRDefault="00EF66B5" w:rsidP="005F24D3">
      <w:pPr>
        <w:pStyle w:val="SingleTxtG"/>
        <w:rPr>
          <w:rFonts w:eastAsia="MS Mincho"/>
          <w:bCs/>
          <w:spacing w:val="-2"/>
        </w:rPr>
      </w:pPr>
      <w:r w:rsidRPr="00F32872">
        <w:rPr>
          <w:i/>
          <w:iCs/>
          <w:lang w:val="fr-FR"/>
        </w:rPr>
        <w:t>Annexe 2B, appendice, tableau 1</w:t>
      </w:r>
      <w:r w:rsidRPr="00F32872">
        <w:rPr>
          <w:lang w:val="fr-FR"/>
        </w:rPr>
        <w:t>, modifier comme suit (ajouter une nouvelle colonne pour la ma</w:t>
      </w:r>
      <w:r w:rsidR="005F24D3">
        <w:rPr>
          <w:lang w:val="fr-FR"/>
        </w:rPr>
        <w:t>rque de modification technique)</w:t>
      </w:r>
      <w:r w:rsidR="00BE6550">
        <w:rPr>
          <w:lang w:val="fr-FR"/>
        </w:rPr>
        <w:t> :</w:t>
      </w:r>
    </w:p>
    <w:p w:rsidR="00EF66B5" w:rsidRPr="00F32872" w:rsidRDefault="005F24D3" w:rsidP="005F24D3">
      <w:pPr>
        <w:pStyle w:val="SingleTxtG"/>
      </w:pPr>
      <w:bookmarkStart w:id="1" w:name="_Toc387935181"/>
      <w:bookmarkStart w:id="2" w:name="_Toc397517971"/>
      <w:r>
        <w:rPr>
          <w:lang w:val="fr-FR"/>
        </w:rPr>
        <w:t>« </w:t>
      </w:r>
      <w:r w:rsidR="00EF66B5" w:rsidRPr="00F32872">
        <w:rPr>
          <w:lang w:val="fr-FR"/>
        </w:rPr>
        <w:t>Tableau 1</w:t>
      </w:r>
      <w:bookmarkEnd w:id="1"/>
      <w:bookmarkEnd w:id="2"/>
    </w:p>
    <w:tbl>
      <w:tblPr>
        <w:tblW w:w="7370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"/>
        <w:gridCol w:w="2263"/>
        <w:gridCol w:w="992"/>
        <w:gridCol w:w="1276"/>
        <w:gridCol w:w="1275"/>
        <w:gridCol w:w="1133"/>
      </w:tblGrid>
      <w:tr w:rsidR="000F14F2" w:rsidRPr="000F14F2" w:rsidTr="005368D9">
        <w:trPr>
          <w:tblHeader/>
        </w:trPr>
        <w:tc>
          <w:tcPr>
            <w:tcW w:w="4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F66B5" w:rsidRPr="000F14F2" w:rsidRDefault="00EF66B5" w:rsidP="005368D9">
            <w:pPr>
              <w:spacing w:before="80" w:after="80" w:line="200" w:lineRule="exact"/>
              <w:ind w:left="57" w:right="57"/>
              <w:jc w:val="center"/>
              <w:rPr>
                <w:i/>
                <w:sz w:val="16"/>
              </w:rPr>
            </w:pPr>
            <w:r w:rsidRPr="000F14F2">
              <w:rPr>
                <w:i/>
                <w:sz w:val="16"/>
                <w:lang w:val="fr-FR"/>
              </w:rPr>
              <w:t>N</w:t>
            </w:r>
            <w:r w:rsidRPr="000F14F2">
              <w:rPr>
                <w:i/>
                <w:sz w:val="16"/>
                <w:vertAlign w:val="superscript"/>
                <w:lang w:val="fr-FR"/>
              </w:rPr>
              <w:t>o</w:t>
            </w:r>
          </w:p>
        </w:tc>
        <w:tc>
          <w:tcPr>
            <w:tcW w:w="226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F66B5" w:rsidRPr="000F14F2" w:rsidRDefault="00EF66B5" w:rsidP="00066EFE">
            <w:pPr>
              <w:spacing w:before="80" w:after="80" w:line="200" w:lineRule="exact"/>
              <w:ind w:left="57" w:right="57"/>
              <w:jc w:val="center"/>
              <w:rPr>
                <w:i/>
                <w:sz w:val="16"/>
              </w:rPr>
            </w:pPr>
            <w:r w:rsidRPr="000F14F2">
              <w:rPr>
                <w:i/>
                <w:sz w:val="16"/>
                <w:lang w:val="fr-FR"/>
              </w:rPr>
              <w:t>Accessoire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F66B5" w:rsidRPr="000F14F2" w:rsidRDefault="00EF66B5" w:rsidP="00066EFE">
            <w:pPr>
              <w:spacing w:before="80" w:after="80" w:line="200" w:lineRule="exact"/>
              <w:ind w:left="57" w:right="57"/>
              <w:jc w:val="center"/>
              <w:rPr>
                <w:i/>
                <w:sz w:val="16"/>
              </w:rPr>
            </w:pPr>
            <w:r w:rsidRPr="000F14F2">
              <w:rPr>
                <w:i/>
                <w:sz w:val="16"/>
                <w:lang w:val="fr-FR"/>
              </w:rPr>
              <w:t>Type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F66B5" w:rsidRPr="000F14F2" w:rsidRDefault="00EF66B5" w:rsidP="00066EFE">
            <w:pPr>
              <w:spacing w:before="80" w:after="80" w:line="200" w:lineRule="exact"/>
              <w:ind w:left="57" w:right="57"/>
              <w:jc w:val="center"/>
              <w:rPr>
                <w:i/>
                <w:sz w:val="16"/>
              </w:rPr>
            </w:pPr>
            <w:r w:rsidRPr="000F14F2">
              <w:rPr>
                <w:i/>
                <w:sz w:val="16"/>
                <w:lang w:val="fr-FR"/>
              </w:rPr>
              <w:t>N</w:t>
            </w:r>
            <w:r w:rsidRPr="000F14F2">
              <w:rPr>
                <w:i/>
                <w:sz w:val="16"/>
                <w:vertAlign w:val="superscript"/>
                <w:lang w:val="fr-FR"/>
              </w:rPr>
              <w:t>o</w:t>
            </w:r>
            <w:r w:rsidRPr="000F14F2">
              <w:rPr>
                <w:i/>
                <w:sz w:val="16"/>
                <w:lang w:val="fr-FR"/>
              </w:rPr>
              <w:t xml:space="preserve"> d’homologation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F66B5" w:rsidRPr="000F14F2" w:rsidRDefault="00EF66B5" w:rsidP="00066EFE">
            <w:pPr>
              <w:spacing w:before="80" w:after="80" w:line="200" w:lineRule="exact"/>
              <w:ind w:left="57" w:right="57"/>
              <w:jc w:val="center"/>
              <w:rPr>
                <w:i/>
                <w:sz w:val="16"/>
              </w:rPr>
            </w:pPr>
            <w:r w:rsidRPr="000F14F2">
              <w:rPr>
                <w:i/>
                <w:sz w:val="16"/>
                <w:lang w:val="fr-FR"/>
              </w:rPr>
              <w:t>N</w:t>
            </w:r>
            <w:r w:rsidRPr="000F14F2">
              <w:rPr>
                <w:i/>
                <w:sz w:val="16"/>
                <w:vertAlign w:val="superscript"/>
                <w:lang w:val="fr-FR"/>
              </w:rPr>
              <w:t>o</w:t>
            </w:r>
            <w:r w:rsidRPr="000F14F2">
              <w:rPr>
                <w:i/>
                <w:sz w:val="16"/>
                <w:lang w:val="fr-FR"/>
              </w:rPr>
              <w:t xml:space="preserve"> </w:t>
            </w:r>
            <w:r w:rsidR="005368D9">
              <w:rPr>
                <w:i/>
                <w:sz w:val="16"/>
                <w:lang w:val="fr-FR"/>
              </w:rPr>
              <w:br/>
            </w:r>
            <w:r w:rsidRPr="000F14F2">
              <w:rPr>
                <w:i/>
                <w:sz w:val="16"/>
                <w:lang w:val="fr-FR"/>
              </w:rPr>
              <w:t>d’extension</w:t>
            </w:r>
          </w:p>
        </w:tc>
        <w:tc>
          <w:tcPr>
            <w:tcW w:w="113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F66B5" w:rsidRPr="000F14F2" w:rsidRDefault="00EF66B5" w:rsidP="00066EFE">
            <w:pPr>
              <w:spacing w:before="80" w:after="80" w:line="200" w:lineRule="exact"/>
              <w:ind w:left="57" w:right="57"/>
              <w:jc w:val="center"/>
              <w:rPr>
                <w:i/>
                <w:sz w:val="16"/>
              </w:rPr>
            </w:pPr>
            <w:r w:rsidRPr="002D539E">
              <w:rPr>
                <w:b/>
                <w:bCs/>
                <w:i/>
                <w:sz w:val="16"/>
                <w:lang w:val="fr-FR"/>
              </w:rPr>
              <w:t>Marque de modification techniqu</w:t>
            </w:r>
            <w:r w:rsidRPr="00AA4177">
              <w:rPr>
                <w:b/>
                <w:bCs/>
                <w:i/>
                <w:sz w:val="16"/>
                <w:lang w:val="fr-FR"/>
              </w:rPr>
              <w:t>e</w:t>
            </w:r>
            <w:r w:rsidRPr="00AA4177">
              <w:rPr>
                <w:b/>
                <w:bCs/>
                <w:sz w:val="16"/>
                <w:vertAlign w:val="superscript"/>
                <w:lang w:val="fr-FR"/>
              </w:rPr>
              <w:t>1</w:t>
            </w:r>
          </w:p>
        </w:tc>
      </w:tr>
      <w:tr w:rsidR="00066EFE" w:rsidRPr="000F14F2" w:rsidTr="005368D9">
        <w:tc>
          <w:tcPr>
            <w:tcW w:w="431" w:type="dxa"/>
            <w:tcBorders>
              <w:top w:val="single" w:sz="12" w:space="0" w:color="auto"/>
            </w:tcBorders>
            <w:shd w:val="clear" w:color="auto" w:fill="auto"/>
          </w:tcPr>
          <w:p w:rsidR="00EF66B5" w:rsidRPr="005368D9" w:rsidRDefault="00EF66B5" w:rsidP="005368D9">
            <w:pPr>
              <w:spacing w:before="40" w:after="120" w:line="220" w:lineRule="atLeast"/>
              <w:ind w:left="57" w:right="57"/>
              <w:jc w:val="center"/>
              <w:rPr>
                <w:sz w:val="18"/>
                <w:szCs w:val="18"/>
              </w:rPr>
            </w:pPr>
            <w:r w:rsidRPr="005368D9">
              <w:rPr>
                <w:sz w:val="18"/>
                <w:szCs w:val="18"/>
              </w:rPr>
              <w:t>a</w:t>
            </w:r>
          </w:p>
        </w:tc>
        <w:tc>
          <w:tcPr>
            <w:tcW w:w="2263" w:type="dxa"/>
            <w:tcBorders>
              <w:top w:val="single" w:sz="12" w:space="0" w:color="auto"/>
            </w:tcBorders>
            <w:shd w:val="clear" w:color="auto" w:fill="auto"/>
          </w:tcPr>
          <w:p w:rsidR="00EF66B5" w:rsidRPr="000F14F2" w:rsidRDefault="00EF66B5" w:rsidP="00066EFE">
            <w:pPr>
              <w:spacing w:before="40" w:after="120" w:line="220" w:lineRule="atLeast"/>
              <w:ind w:left="57" w:right="57"/>
              <w:rPr>
                <w:sz w:val="18"/>
                <w:szCs w:val="18"/>
              </w:rPr>
            </w:pPr>
            <w:r w:rsidRPr="000F14F2">
              <w:rPr>
                <w:sz w:val="18"/>
                <w:szCs w:val="18"/>
                <w:lang w:val="fr-FR"/>
              </w:rPr>
              <w:t>Limiteur</w:t>
            </w:r>
            <w:r w:rsidR="00066EFE">
              <w:rPr>
                <w:sz w:val="18"/>
                <w:szCs w:val="18"/>
                <w:lang w:val="fr-FR"/>
              </w:rPr>
              <w:t xml:space="preserve"> de remplissage à 80 </w:t>
            </w:r>
            <w:r w:rsidRPr="000F14F2">
              <w:rPr>
                <w:sz w:val="18"/>
                <w:szCs w:val="18"/>
                <w:lang w:val="fr-FR"/>
              </w:rPr>
              <w:t>%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</w:tcPr>
          <w:p w:rsidR="00EF66B5" w:rsidRPr="005368D9" w:rsidRDefault="00EF66B5" w:rsidP="00066EFE">
            <w:pPr>
              <w:spacing w:before="40" w:after="12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EF66B5" w:rsidRPr="005368D9" w:rsidRDefault="00EF66B5" w:rsidP="00066EFE">
            <w:pPr>
              <w:spacing w:before="40" w:after="12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auto"/>
          </w:tcPr>
          <w:p w:rsidR="00EF66B5" w:rsidRPr="005368D9" w:rsidRDefault="00EF66B5" w:rsidP="00066EFE">
            <w:pPr>
              <w:spacing w:before="40" w:after="12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12" w:space="0" w:color="auto"/>
            </w:tcBorders>
            <w:shd w:val="clear" w:color="auto" w:fill="auto"/>
          </w:tcPr>
          <w:p w:rsidR="00EF66B5" w:rsidRPr="005368D9" w:rsidRDefault="00EF66B5" w:rsidP="00066EFE">
            <w:pPr>
              <w:spacing w:before="40" w:after="12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5368D9" w:rsidRPr="000F14F2" w:rsidTr="005368D9">
        <w:tc>
          <w:tcPr>
            <w:tcW w:w="431" w:type="dxa"/>
            <w:shd w:val="clear" w:color="auto" w:fill="auto"/>
          </w:tcPr>
          <w:p w:rsidR="00EF66B5" w:rsidRPr="005368D9" w:rsidRDefault="00EF66B5" w:rsidP="005368D9">
            <w:pPr>
              <w:spacing w:before="40" w:after="120" w:line="220" w:lineRule="atLeast"/>
              <w:ind w:left="57" w:right="57"/>
              <w:jc w:val="center"/>
              <w:rPr>
                <w:sz w:val="18"/>
                <w:szCs w:val="18"/>
              </w:rPr>
            </w:pPr>
            <w:r w:rsidRPr="005368D9">
              <w:rPr>
                <w:sz w:val="18"/>
                <w:szCs w:val="18"/>
              </w:rPr>
              <w:t>b</w:t>
            </w:r>
          </w:p>
        </w:tc>
        <w:tc>
          <w:tcPr>
            <w:tcW w:w="2263" w:type="dxa"/>
            <w:shd w:val="clear" w:color="auto" w:fill="auto"/>
          </w:tcPr>
          <w:p w:rsidR="00EF66B5" w:rsidRPr="000F14F2" w:rsidRDefault="00EF66B5" w:rsidP="00066EFE">
            <w:pPr>
              <w:spacing w:before="40" w:after="120" w:line="220" w:lineRule="atLeast"/>
              <w:ind w:left="57" w:right="57"/>
              <w:rPr>
                <w:sz w:val="18"/>
                <w:szCs w:val="18"/>
              </w:rPr>
            </w:pPr>
            <w:r w:rsidRPr="000F14F2">
              <w:rPr>
                <w:sz w:val="18"/>
                <w:szCs w:val="18"/>
                <w:lang w:val="fr-FR"/>
              </w:rPr>
              <w:t>Jauge</w:t>
            </w:r>
          </w:p>
        </w:tc>
        <w:tc>
          <w:tcPr>
            <w:tcW w:w="992" w:type="dxa"/>
            <w:shd w:val="clear" w:color="auto" w:fill="auto"/>
          </w:tcPr>
          <w:p w:rsidR="00EF66B5" w:rsidRPr="005368D9" w:rsidRDefault="00EF66B5" w:rsidP="00066EFE">
            <w:pPr>
              <w:spacing w:before="40" w:after="12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F66B5" w:rsidRPr="005368D9" w:rsidRDefault="00EF66B5" w:rsidP="00066EFE">
            <w:pPr>
              <w:spacing w:before="40" w:after="12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EF66B5" w:rsidRPr="005368D9" w:rsidRDefault="00EF66B5" w:rsidP="00066EFE">
            <w:pPr>
              <w:spacing w:before="40" w:after="12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auto"/>
          </w:tcPr>
          <w:p w:rsidR="00EF66B5" w:rsidRPr="005368D9" w:rsidRDefault="00EF66B5" w:rsidP="00066EFE">
            <w:pPr>
              <w:spacing w:before="40" w:after="12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5368D9" w:rsidRPr="000F14F2" w:rsidTr="005368D9">
        <w:tc>
          <w:tcPr>
            <w:tcW w:w="431" w:type="dxa"/>
            <w:shd w:val="clear" w:color="auto" w:fill="auto"/>
          </w:tcPr>
          <w:p w:rsidR="00EF66B5" w:rsidRPr="005368D9" w:rsidRDefault="00EF66B5" w:rsidP="005368D9">
            <w:pPr>
              <w:spacing w:before="40" w:after="120" w:line="220" w:lineRule="atLeast"/>
              <w:ind w:left="57" w:right="57"/>
              <w:jc w:val="center"/>
              <w:rPr>
                <w:sz w:val="18"/>
                <w:szCs w:val="18"/>
              </w:rPr>
            </w:pPr>
            <w:r w:rsidRPr="005368D9">
              <w:rPr>
                <w:sz w:val="18"/>
                <w:szCs w:val="18"/>
              </w:rPr>
              <w:t>c</w:t>
            </w:r>
          </w:p>
        </w:tc>
        <w:tc>
          <w:tcPr>
            <w:tcW w:w="2263" w:type="dxa"/>
            <w:shd w:val="clear" w:color="auto" w:fill="auto"/>
          </w:tcPr>
          <w:p w:rsidR="00EF66B5" w:rsidRPr="000F14F2" w:rsidRDefault="00EF66B5" w:rsidP="00066EFE">
            <w:pPr>
              <w:spacing w:before="40" w:after="120" w:line="220" w:lineRule="atLeast"/>
              <w:ind w:left="57" w:right="57"/>
              <w:rPr>
                <w:sz w:val="18"/>
                <w:szCs w:val="18"/>
              </w:rPr>
            </w:pPr>
            <w:r w:rsidRPr="000F14F2">
              <w:rPr>
                <w:sz w:val="18"/>
                <w:szCs w:val="18"/>
                <w:lang w:val="fr-FR"/>
              </w:rPr>
              <w:t>Soupape de surpression</w:t>
            </w:r>
          </w:p>
        </w:tc>
        <w:tc>
          <w:tcPr>
            <w:tcW w:w="992" w:type="dxa"/>
            <w:shd w:val="clear" w:color="auto" w:fill="auto"/>
          </w:tcPr>
          <w:p w:rsidR="00EF66B5" w:rsidRPr="005368D9" w:rsidRDefault="00EF66B5" w:rsidP="00066EFE">
            <w:pPr>
              <w:spacing w:before="40" w:after="12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F66B5" w:rsidRPr="005368D9" w:rsidRDefault="00EF66B5" w:rsidP="00066EFE">
            <w:pPr>
              <w:spacing w:before="40" w:after="12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EF66B5" w:rsidRPr="005368D9" w:rsidRDefault="00EF66B5" w:rsidP="00066EFE">
            <w:pPr>
              <w:spacing w:before="40" w:after="12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auto"/>
          </w:tcPr>
          <w:p w:rsidR="00EF66B5" w:rsidRPr="005368D9" w:rsidRDefault="00EF66B5" w:rsidP="00066EFE">
            <w:pPr>
              <w:spacing w:before="40" w:after="12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5368D9" w:rsidRPr="000F14F2" w:rsidTr="005368D9">
        <w:tc>
          <w:tcPr>
            <w:tcW w:w="431" w:type="dxa"/>
            <w:shd w:val="clear" w:color="auto" w:fill="auto"/>
          </w:tcPr>
          <w:p w:rsidR="00EF66B5" w:rsidRPr="005368D9" w:rsidRDefault="00EF66B5" w:rsidP="005368D9">
            <w:pPr>
              <w:spacing w:before="40" w:after="120" w:line="220" w:lineRule="atLeast"/>
              <w:ind w:left="57" w:right="57"/>
              <w:jc w:val="center"/>
              <w:rPr>
                <w:sz w:val="18"/>
                <w:szCs w:val="18"/>
              </w:rPr>
            </w:pPr>
            <w:r w:rsidRPr="005368D9">
              <w:rPr>
                <w:sz w:val="18"/>
                <w:szCs w:val="18"/>
              </w:rPr>
              <w:t>d</w:t>
            </w:r>
          </w:p>
        </w:tc>
        <w:tc>
          <w:tcPr>
            <w:tcW w:w="2263" w:type="dxa"/>
            <w:shd w:val="clear" w:color="auto" w:fill="auto"/>
          </w:tcPr>
          <w:p w:rsidR="00EF66B5" w:rsidRPr="000F14F2" w:rsidRDefault="00EF66B5" w:rsidP="00066EFE">
            <w:pPr>
              <w:spacing w:before="40" w:after="120" w:line="220" w:lineRule="atLeast"/>
              <w:ind w:left="57" w:right="57"/>
              <w:rPr>
                <w:sz w:val="18"/>
                <w:szCs w:val="18"/>
              </w:rPr>
            </w:pPr>
            <w:r w:rsidRPr="000F14F2">
              <w:rPr>
                <w:sz w:val="18"/>
                <w:szCs w:val="18"/>
                <w:lang w:val="fr-FR"/>
              </w:rPr>
              <w:t>Vanne d’isolement télécommandée avec limiteur de débit</w:t>
            </w:r>
          </w:p>
        </w:tc>
        <w:tc>
          <w:tcPr>
            <w:tcW w:w="992" w:type="dxa"/>
            <w:shd w:val="clear" w:color="auto" w:fill="auto"/>
          </w:tcPr>
          <w:p w:rsidR="00EF66B5" w:rsidRPr="000F14F2" w:rsidRDefault="00EF66B5" w:rsidP="00066EFE">
            <w:pPr>
              <w:spacing w:before="40" w:after="12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F66B5" w:rsidRPr="000F14F2" w:rsidRDefault="00EF66B5" w:rsidP="00066EFE">
            <w:pPr>
              <w:spacing w:before="40" w:after="12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EF66B5" w:rsidRPr="000F14F2" w:rsidRDefault="00EF66B5" w:rsidP="00066EFE">
            <w:pPr>
              <w:spacing w:before="40" w:after="12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auto"/>
          </w:tcPr>
          <w:p w:rsidR="00EF66B5" w:rsidRPr="000F14F2" w:rsidRDefault="00EF66B5" w:rsidP="00066EFE">
            <w:pPr>
              <w:spacing w:before="40" w:after="12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5368D9" w:rsidRPr="000F14F2" w:rsidTr="005368D9">
        <w:tc>
          <w:tcPr>
            <w:tcW w:w="431" w:type="dxa"/>
            <w:shd w:val="clear" w:color="auto" w:fill="auto"/>
          </w:tcPr>
          <w:p w:rsidR="00EF66B5" w:rsidRPr="000F14F2" w:rsidRDefault="00EF66B5" w:rsidP="005368D9">
            <w:pPr>
              <w:spacing w:before="40" w:after="120" w:line="220" w:lineRule="atLeast"/>
              <w:ind w:left="57" w:right="57"/>
              <w:jc w:val="center"/>
              <w:rPr>
                <w:sz w:val="18"/>
                <w:szCs w:val="18"/>
                <w:lang w:val="en-US"/>
              </w:rPr>
            </w:pPr>
            <w:r w:rsidRPr="000F14F2">
              <w:rPr>
                <w:sz w:val="18"/>
                <w:szCs w:val="18"/>
                <w:lang w:val="en-US"/>
              </w:rPr>
              <w:t>e</w:t>
            </w:r>
          </w:p>
        </w:tc>
        <w:tc>
          <w:tcPr>
            <w:tcW w:w="2263" w:type="dxa"/>
            <w:shd w:val="clear" w:color="auto" w:fill="auto"/>
          </w:tcPr>
          <w:p w:rsidR="00EF66B5" w:rsidRPr="000F14F2" w:rsidRDefault="00EF66B5" w:rsidP="00066EFE">
            <w:pPr>
              <w:spacing w:before="40" w:after="120" w:line="220" w:lineRule="atLeast"/>
              <w:ind w:left="57" w:right="57"/>
              <w:rPr>
                <w:sz w:val="18"/>
                <w:szCs w:val="18"/>
              </w:rPr>
            </w:pPr>
            <w:r w:rsidRPr="000F14F2">
              <w:rPr>
                <w:sz w:val="18"/>
                <w:szCs w:val="18"/>
                <w:lang w:val="fr-FR"/>
              </w:rPr>
              <w:t>Pompe à GPL</w:t>
            </w:r>
          </w:p>
        </w:tc>
        <w:tc>
          <w:tcPr>
            <w:tcW w:w="992" w:type="dxa"/>
            <w:shd w:val="clear" w:color="auto" w:fill="auto"/>
          </w:tcPr>
          <w:p w:rsidR="00EF66B5" w:rsidRPr="000F14F2" w:rsidRDefault="00EF66B5" w:rsidP="00066EFE">
            <w:pPr>
              <w:spacing w:before="40" w:after="120" w:line="220" w:lineRule="atLeast"/>
              <w:ind w:left="57" w:right="57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EF66B5" w:rsidRPr="000F14F2" w:rsidRDefault="00EF66B5" w:rsidP="00066EFE">
            <w:pPr>
              <w:spacing w:before="40" w:after="120" w:line="220" w:lineRule="atLeast"/>
              <w:ind w:left="57" w:right="57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EF66B5" w:rsidRPr="000F14F2" w:rsidRDefault="00EF66B5" w:rsidP="00066EFE">
            <w:pPr>
              <w:spacing w:before="40" w:after="120" w:line="220" w:lineRule="atLeast"/>
              <w:ind w:left="57" w:right="57"/>
              <w:rPr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shd w:val="clear" w:color="auto" w:fill="auto"/>
          </w:tcPr>
          <w:p w:rsidR="00EF66B5" w:rsidRPr="000F14F2" w:rsidRDefault="00EF66B5" w:rsidP="00066EFE">
            <w:pPr>
              <w:spacing w:before="40" w:after="120" w:line="220" w:lineRule="atLeast"/>
              <w:ind w:left="57" w:right="57"/>
              <w:rPr>
                <w:sz w:val="18"/>
                <w:szCs w:val="18"/>
                <w:lang w:val="en-US"/>
              </w:rPr>
            </w:pPr>
          </w:p>
        </w:tc>
      </w:tr>
      <w:tr w:rsidR="005368D9" w:rsidRPr="000F14F2" w:rsidTr="005368D9">
        <w:tc>
          <w:tcPr>
            <w:tcW w:w="431" w:type="dxa"/>
            <w:shd w:val="clear" w:color="auto" w:fill="auto"/>
          </w:tcPr>
          <w:p w:rsidR="00EF66B5" w:rsidRPr="000F14F2" w:rsidRDefault="00EF66B5" w:rsidP="005368D9">
            <w:pPr>
              <w:spacing w:before="40" w:after="120" w:line="220" w:lineRule="atLeast"/>
              <w:ind w:left="57" w:right="57"/>
              <w:jc w:val="center"/>
              <w:rPr>
                <w:sz w:val="18"/>
                <w:szCs w:val="18"/>
                <w:lang w:val="en-US"/>
              </w:rPr>
            </w:pPr>
            <w:r w:rsidRPr="000F14F2">
              <w:rPr>
                <w:sz w:val="18"/>
                <w:szCs w:val="18"/>
                <w:lang w:val="en-US"/>
              </w:rPr>
              <w:t>f</w:t>
            </w:r>
          </w:p>
        </w:tc>
        <w:tc>
          <w:tcPr>
            <w:tcW w:w="2263" w:type="dxa"/>
            <w:shd w:val="clear" w:color="auto" w:fill="auto"/>
          </w:tcPr>
          <w:p w:rsidR="00EF66B5" w:rsidRPr="000F14F2" w:rsidRDefault="00EF66B5" w:rsidP="00066EFE">
            <w:pPr>
              <w:spacing w:before="40" w:after="120" w:line="220" w:lineRule="atLeast"/>
              <w:ind w:left="57" w:right="57"/>
              <w:rPr>
                <w:sz w:val="18"/>
                <w:szCs w:val="18"/>
              </w:rPr>
            </w:pPr>
            <w:r w:rsidRPr="000F14F2">
              <w:rPr>
                <w:sz w:val="18"/>
                <w:szCs w:val="18"/>
                <w:lang w:val="fr-FR"/>
              </w:rPr>
              <w:t>Bloc multivannes</w:t>
            </w:r>
          </w:p>
        </w:tc>
        <w:tc>
          <w:tcPr>
            <w:tcW w:w="992" w:type="dxa"/>
            <w:shd w:val="clear" w:color="auto" w:fill="auto"/>
          </w:tcPr>
          <w:p w:rsidR="00EF66B5" w:rsidRPr="000F14F2" w:rsidRDefault="00EF66B5" w:rsidP="00066EFE">
            <w:pPr>
              <w:spacing w:before="40" w:after="120" w:line="220" w:lineRule="atLeast"/>
              <w:ind w:left="57" w:right="57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EF66B5" w:rsidRPr="000F14F2" w:rsidRDefault="00EF66B5" w:rsidP="00066EFE">
            <w:pPr>
              <w:spacing w:before="40" w:after="120" w:line="220" w:lineRule="atLeast"/>
              <w:ind w:left="57" w:right="57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EF66B5" w:rsidRPr="000F14F2" w:rsidRDefault="00EF66B5" w:rsidP="00066EFE">
            <w:pPr>
              <w:spacing w:before="40" w:after="120" w:line="220" w:lineRule="atLeast"/>
              <w:ind w:left="57" w:right="57"/>
              <w:rPr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shd w:val="clear" w:color="auto" w:fill="auto"/>
          </w:tcPr>
          <w:p w:rsidR="00EF66B5" w:rsidRPr="000F14F2" w:rsidRDefault="00EF66B5" w:rsidP="00066EFE">
            <w:pPr>
              <w:spacing w:before="40" w:after="120" w:line="220" w:lineRule="atLeast"/>
              <w:ind w:left="57" w:right="57"/>
              <w:rPr>
                <w:sz w:val="18"/>
                <w:szCs w:val="18"/>
                <w:lang w:val="en-US"/>
              </w:rPr>
            </w:pPr>
          </w:p>
        </w:tc>
      </w:tr>
      <w:tr w:rsidR="005368D9" w:rsidRPr="000F14F2" w:rsidTr="005368D9">
        <w:tc>
          <w:tcPr>
            <w:tcW w:w="431" w:type="dxa"/>
            <w:shd w:val="clear" w:color="auto" w:fill="auto"/>
          </w:tcPr>
          <w:p w:rsidR="00EF66B5" w:rsidRPr="000F14F2" w:rsidRDefault="00EF66B5" w:rsidP="005368D9">
            <w:pPr>
              <w:spacing w:before="40" w:after="120" w:line="220" w:lineRule="atLeast"/>
              <w:ind w:left="57" w:right="57"/>
              <w:jc w:val="center"/>
              <w:rPr>
                <w:sz w:val="18"/>
                <w:szCs w:val="18"/>
                <w:lang w:val="en-US"/>
              </w:rPr>
            </w:pPr>
            <w:r w:rsidRPr="000F14F2">
              <w:rPr>
                <w:sz w:val="18"/>
                <w:szCs w:val="18"/>
                <w:lang w:val="en-US"/>
              </w:rPr>
              <w:t>g</w:t>
            </w:r>
          </w:p>
        </w:tc>
        <w:tc>
          <w:tcPr>
            <w:tcW w:w="2263" w:type="dxa"/>
            <w:shd w:val="clear" w:color="auto" w:fill="auto"/>
          </w:tcPr>
          <w:p w:rsidR="00EF66B5" w:rsidRPr="000F14F2" w:rsidRDefault="00EF66B5" w:rsidP="00066EFE">
            <w:pPr>
              <w:spacing w:before="40" w:after="120" w:line="220" w:lineRule="atLeast"/>
              <w:ind w:left="57" w:right="57"/>
              <w:rPr>
                <w:sz w:val="18"/>
                <w:szCs w:val="18"/>
              </w:rPr>
            </w:pPr>
            <w:r w:rsidRPr="000F14F2">
              <w:rPr>
                <w:sz w:val="18"/>
                <w:szCs w:val="18"/>
                <w:lang w:val="fr-FR"/>
              </w:rPr>
              <w:t>Enceinte étanche</w:t>
            </w:r>
          </w:p>
        </w:tc>
        <w:tc>
          <w:tcPr>
            <w:tcW w:w="992" w:type="dxa"/>
            <w:shd w:val="clear" w:color="auto" w:fill="auto"/>
          </w:tcPr>
          <w:p w:rsidR="00EF66B5" w:rsidRPr="000F14F2" w:rsidRDefault="00EF66B5" w:rsidP="00066EFE">
            <w:pPr>
              <w:spacing w:before="40" w:after="120" w:line="220" w:lineRule="atLeast"/>
              <w:ind w:left="57" w:right="57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EF66B5" w:rsidRPr="000F14F2" w:rsidRDefault="00EF66B5" w:rsidP="00066EFE">
            <w:pPr>
              <w:spacing w:before="40" w:after="120" w:line="220" w:lineRule="atLeast"/>
              <w:ind w:left="57" w:right="57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EF66B5" w:rsidRPr="000F14F2" w:rsidRDefault="00EF66B5" w:rsidP="00066EFE">
            <w:pPr>
              <w:spacing w:before="40" w:after="120" w:line="220" w:lineRule="atLeast"/>
              <w:ind w:left="57" w:right="57"/>
              <w:rPr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shd w:val="clear" w:color="auto" w:fill="auto"/>
          </w:tcPr>
          <w:p w:rsidR="00EF66B5" w:rsidRPr="000F14F2" w:rsidRDefault="00EF66B5" w:rsidP="00066EFE">
            <w:pPr>
              <w:spacing w:before="40" w:after="120" w:line="220" w:lineRule="atLeast"/>
              <w:ind w:left="57" w:right="57"/>
              <w:rPr>
                <w:sz w:val="18"/>
                <w:szCs w:val="18"/>
                <w:lang w:val="en-US"/>
              </w:rPr>
            </w:pPr>
          </w:p>
        </w:tc>
      </w:tr>
      <w:tr w:rsidR="005368D9" w:rsidRPr="000F14F2" w:rsidTr="005368D9">
        <w:tc>
          <w:tcPr>
            <w:tcW w:w="431" w:type="dxa"/>
            <w:shd w:val="clear" w:color="auto" w:fill="auto"/>
          </w:tcPr>
          <w:p w:rsidR="00EF66B5" w:rsidRPr="000F14F2" w:rsidRDefault="00EF66B5" w:rsidP="005368D9">
            <w:pPr>
              <w:spacing w:before="40" w:after="120" w:line="220" w:lineRule="atLeast"/>
              <w:ind w:left="57" w:right="57"/>
              <w:jc w:val="center"/>
              <w:rPr>
                <w:sz w:val="18"/>
                <w:szCs w:val="18"/>
                <w:lang w:val="en-US"/>
              </w:rPr>
            </w:pPr>
            <w:r w:rsidRPr="000F14F2">
              <w:rPr>
                <w:sz w:val="18"/>
                <w:szCs w:val="18"/>
                <w:lang w:val="en-US"/>
              </w:rPr>
              <w:lastRenderedPageBreak/>
              <w:t>h</w:t>
            </w:r>
          </w:p>
        </w:tc>
        <w:tc>
          <w:tcPr>
            <w:tcW w:w="2263" w:type="dxa"/>
            <w:shd w:val="clear" w:color="auto" w:fill="auto"/>
          </w:tcPr>
          <w:p w:rsidR="00EF66B5" w:rsidRPr="000F14F2" w:rsidRDefault="00EF66B5" w:rsidP="00066EFE">
            <w:pPr>
              <w:spacing w:before="40" w:after="120" w:line="220" w:lineRule="atLeast"/>
              <w:ind w:left="57" w:right="57"/>
              <w:rPr>
                <w:sz w:val="18"/>
                <w:szCs w:val="18"/>
              </w:rPr>
            </w:pPr>
            <w:r w:rsidRPr="000F14F2">
              <w:rPr>
                <w:sz w:val="18"/>
                <w:szCs w:val="18"/>
                <w:lang w:val="fr-FR"/>
              </w:rPr>
              <w:t>Raccord électrique d’alimentation</w:t>
            </w:r>
          </w:p>
        </w:tc>
        <w:tc>
          <w:tcPr>
            <w:tcW w:w="992" w:type="dxa"/>
            <w:shd w:val="clear" w:color="auto" w:fill="auto"/>
          </w:tcPr>
          <w:p w:rsidR="00EF66B5" w:rsidRPr="000F14F2" w:rsidRDefault="00EF66B5" w:rsidP="00066EFE">
            <w:pPr>
              <w:spacing w:before="40" w:after="120" w:line="220" w:lineRule="atLeast"/>
              <w:ind w:left="57" w:right="57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EF66B5" w:rsidRPr="000F14F2" w:rsidRDefault="00EF66B5" w:rsidP="00066EFE">
            <w:pPr>
              <w:spacing w:before="40" w:after="120" w:line="220" w:lineRule="atLeast"/>
              <w:ind w:left="57" w:right="57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EF66B5" w:rsidRPr="000F14F2" w:rsidRDefault="00EF66B5" w:rsidP="00066EFE">
            <w:pPr>
              <w:spacing w:before="40" w:after="120" w:line="220" w:lineRule="atLeast"/>
              <w:ind w:left="57" w:right="57"/>
              <w:rPr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shd w:val="clear" w:color="auto" w:fill="auto"/>
          </w:tcPr>
          <w:p w:rsidR="00EF66B5" w:rsidRPr="000F14F2" w:rsidRDefault="00EF66B5" w:rsidP="00066EFE">
            <w:pPr>
              <w:spacing w:before="40" w:after="120" w:line="220" w:lineRule="atLeast"/>
              <w:ind w:left="57" w:right="57"/>
              <w:rPr>
                <w:sz w:val="18"/>
                <w:szCs w:val="18"/>
                <w:lang w:val="en-US"/>
              </w:rPr>
            </w:pPr>
          </w:p>
        </w:tc>
      </w:tr>
      <w:tr w:rsidR="005368D9" w:rsidRPr="000F14F2" w:rsidTr="005368D9"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</w:tcPr>
          <w:p w:rsidR="00EF66B5" w:rsidRPr="000F14F2" w:rsidRDefault="00EF66B5" w:rsidP="005368D9">
            <w:pPr>
              <w:spacing w:before="40" w:after="120" w:line="220" w:lineRule="atLeast"/>
              <w:ind w:left="57" w:right="57"/>
              <w:jc w:val="center"/>
              <w:rPr>
                <w:sz w:val="18"/>
                <w:szCs w:val="18"/>
                <w:lang w:val="en-US"/>
              </w:rPr>
            </w:pPr>
            <w:r w:rsidRPr="000F14F2">
              <w:rPr>
                <w:sz w:val="18"/>
                <w:szCs w:val="18"/>
                <w:lang w:val="en-US"/>
              </w:rPr>
              <w:t>i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</w:tcPr>
          <w:p w:rsidR="00EF66B5" w:rsidRPr="000F14F2" w:rsidRDefault="00EF66B5" w:rsidP="00066EFE">
            <w:pPr>
              <w:spacing w:before="40" w:after="120" w:line="220" w:lineRule="atLeast"/>
              <w:ind w:left="57" w:right="57"/>
              <w:rPr>
                <w:sz w:val="18"/>
                <w:szCs w:val="18"/>
              </w:rPr>
            </w:pPr>
            <w:r w:rsidRPr="000F14F2">
              <w:rPr>
                <w:sz w:val="18"/>
                <w:szCs w:val="18"/>
                <w:lang w:val="fr-FR"/>
              </w:rPr>
              <w:t>Soupape antiretour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F66B5" w:rsidRPr="000F14F2" w:rsidRDefault="00EF66B5" w:rsidP="00066EFE">
            <w:pPr>
              <w:spacing w:before="40" w:after="120" w:line="220" w:lineRule="atLeast"/>
              <w:ind w:left="57" w:right="57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F66B5" w:rsidRPr="000F14F2" w:rsidRDefault="00EF66B5" w:rsidP="00066EFE">
            <w:pPr>
              <w:spacing w:before="40" w:after="120" w:line="220" w:lineRule="atLeast"/>
              <w:ind w:left="57" w:right="57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EF66B5" w:rsidRPr="000F14F2" w:rsidRDefault="00EF66B5" w:rsidP="00066EFE">
            <w:pPr>
              <w:spacing w:before="40" w:after="120" w:line="220" w:lineRule="atLeast"/>
              <w:ind w:left="57" w:right="57"/>
              <w:rPr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EF66B5" w:rsidRPr="000F14F2" w:rsidRDefault="00EF66B5" w:rsidP="00066EFE">
            <w:pPr>
              <w:spacing w:before="40" w:after="120" w:line="220" w:lineRule="atLeast"/>
              <w:ind w:left="57" w:right="57"/>
              <w:rPr>
                <w:sz w:val="18"/>
                <w:szCs w:val="18"/>
                <w:lang w:val="en-US"/>
              </w:rPr>
            </w:pPr>
          </w:p>
        </w:tc>
      </w:tr>
      <w:tr w:rsidR="00066EFE" w:rsidRPr="000F14F2" w:rsidTr="005368D9">
        <w:tc>
          <w:tcPr>
            <w:tcW w:w="431" w:type="dxa"/>
            <w:tcBorders>
              <w:bottom w:val="single" w:sz="12" w:space="0" w:color="auto"/>
            </w:tcBorders>
            <w:shd w:val="clear" w:color="auto" w:fill="auto"/>
          </w:tcPr>
          <w:p w:rsidR="00EF66B5" w:rsidRPr="000F14F2" w:rsidRDefault="00EF66B5" w:rsidP="005368D9">
            <w:pPr>
              <w:spacing w:before="40" w:after="120" w:line="220" w:lineRule="atLeast"/>
              <w:ind w:left="57" w:right="57"/>
              <w:jc w:val="center"/>
              <w:rPr>
                <w:sz w:val="18"/>
                <w:szCs w:val="18"/>
                <w:lang w:val="en-US"/>
              </w:rPr>
            </w:pPr>
            <w:r w:rsidRPr="000F14F2">
              <w:rPr>
                <w:sz w:val="18"/>
                <w:szCs w:val="18"/>
                <w:lang w:val="en-US"/>
              </w:rPr>
              <w:t>j</w:t>
            </w:r>
          </w:p>
        </w:tc>
        <w:tc>
          <w:tcPr>
            <w:tcW w:w="2263" w:type="dxa"/>
            <w:tcBorders>
              <w:bottom w:val="single" w:sz="12" w:space="0" w:color="auto"/>
            </w:tcBorders>
            <w:shd w:val="clear" w:color="auto" w:fill="auto"/>
          </w:tcPr>
          <w:p w:rsidR="00EF66B5" w:rsidRPr="000F14F2" w:rsidRDefault="00EF66B5" w:rsidP="00066EFE">
            <w:pPr>
              <w:spacing w:before="40" w:after="120" w:line="220" w:lineRule="atLeast"/>
              <w:ind w:left="57" w:right="57"/>
              <w:rPr>
                <w:sz w:val="18"/>
                <w:szCs w:val="18"/>
              </w:rPr>
            </w:pPr>
            <w:r w:rsidRPr="000F14F2">
              <w:rPr>
                <w:sz w:val="18"/>
                <w:szCs w:val="18"/>
                <w:lang w:val="fr-FR"/>
              </w:rPr>
              <w:t>Dispositif de surpression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</w:tcPr>
          <w:p w:rsidR="00EF66B5" w:rsidRPr="000F14F2" w:rsidRDefault="00EF66B5" w:rsidP="00066EFE">
            <w:pPr>
              <w:spacing w:before="40" w:after="120" w:line="220" w:lineRule="atLeast"/>
              <w:ind w:left="57" w:right="57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EF66B5" w:rsidRPr="000F14F2" w:rsidRDefault="00EF66B5" w:rsidP="00066EFE">
            <w:pPr>
              <w:spacing w:before="40" w:after="120" w:line="220" w:lineRule="atLeast"/>
              <w:ind w:left="57" w:right="57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auto"/>
          </w:tcPr>
          <w:p w:rsidR="00EF66B5" w:rsidRPr="000F14F2" w:rsidRDefault="00EF66B5" w:rsidP="00066EFE">
            <w:pPr>
              <w:spacing w:before="40" w:after="120" w:line="220" w:lineRule="atLeast"/>
              <w:ind w:left="57" w:right="57"/>
              <w:rPr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tcBorders>
              <w:bottom w:val="single" w:sz="12" w:space="0" w:color="auto"/>
            </w:tcBorders>
            <w:shd w:val="clear" w:color="auto" w:fill="auto"/>
          </w:tcPr>
          <w:p w:rsidR="00EF66B5" w:rsidRPr="000F14F2" w:rsidRDefault="00EF66B5" w:rsidP="00066EFE">
            <w:pPr>
              <w:spacing w:before="40" w:after="120" w:line="220" w:lineRule="atLeast"/>
              <w:ind w:left="57" w:right="57"/>
              <w:rPr>
                <w:sz w:val="18"/>
                <w:szCs w:val="18"/>
                <w:lang w:val="en-US"/>
              </w:rPr>
            </w:pPr>
          </w:p>
        </w:tc>
      </w:tr>
    </w:tbl>
    <w:p w:rsidR="00EF66B5" w:rsidRDefault="00EF66B5" w:rsidP="005E09B6">
      <w:pPr>
        <w:pStyle w:val="EndnoteText"/>
        <w:spacing w:after="240" w:line="200" w:lineRule="exact"/>
        <w:ind w:firstLine="170"/>
        <w:rPr>
          <w:rFonts w:eastAsia="MS Mincho"/>
        </w:rPr>
      </w:pPr>
      <w:r w:rsidRPr="00AA4177">
        <w:rPr>
          <w:b/>
          <w:sz w:val="16"/>
          <w:szCs w:val="16"/>
          <w:vertAlign w:val="superscript"/>
          <w:lang w:val="fr-FR"/>
        </w:rPr>
        <w:t>1</w:t>
      </w:r>
      <w:r w:rsidR="003A5432" w:rsidRPr="00AA4177">
        <w:rPr>
          <w:b/>
          <w:lang w:val="fr-FR"/>
        </w:rPr>
        <w:t xml:space="preserve">  </w:t>
      </w:r>
      <w:r w:rsidRPr="00AA4177">
        <w:rPr>
          <w:b/>
          <w:lang w:val="fr-FR"/>
        </w:rPr>
        <w:t>Les marques de modification technique ne s’appliquent qu’aux blocs multivannes ou, en cas d’homologations distinctes, aux soupapes de surpression (soupapes de décharge) et aux dispositifs de</w:t>
      </w:r>
      <w:r w:rsidR="005E09B6" w:rsidRPr="00AA4177">
        <w:rPr>
          <w:b/>
          <w:lang w:val="fr-FR"/>
        </w:rPr>
        <w:t> </w:t>
      </w:r>
      <w:r w:rsidRPr="00AA4177">
        <w:rPr>
          <w:b/>
          <w:lang w:val="fr-FR"/>
        </w:rPr>
        <w:t>surpression).</w:t>
      </w:r>
      <w:r w:rsidR="003A5432">
        <w:rPr>
          <w:lang w:val="fr-FR"/>
        </w:rPr>
        <w:t> </w:t>
      </w:r>
      <w:r w:rsidR="003A5432" w:rsidRPr="005E09B6">
        <w:rPr>
          <w:sz w:val="20"/>
          <w:lang w:val="fr-FR"/>
        </w:rPr>
        <w:t>»</w:t>
      </w:r>
      <w:r w:rsidRPr="005E09B6">
        <w:rPr>
          <w:sz w:val="20"/>
          <w:lang w:val="fr-FR"/>
        </w:rPr>
        <w:t>.</w:t>
      </w:r>
    </w:p>
    <w:p w:rsidR="00EF66B5" w:rsidRPr="00F32872" w:rsidRDefault="00EF66B5" w:rsidP="005E09B6">
      <w:pPr>
        <w:pStyle w:val="SingleTxtG"/>
        <w:rPr>
          <w:rFonts w:eastAsia="MS Mincho"/>
          <w:bCs/>
          <w:spacing w:val="-2"/>
        </w:rPr>
      </w:pPr>
      <w:r w:rsidRPr="005E09B6">
        <w:rPr>
          <w:i/>
          <w:lang w:val="fr-FR"/>
        </w:rPr>
        <w:t>Annexe 10, paragraphe 2.6.1 (Essai à la flamme vive)</w:t>
      </w:r>
      <w:r w:rsidRPr="00F32872">
        <w:rPr>
          <w:lang w:val="fr-FR"/>
        </w:rPr>
        <w:t>, modifier la note de bas de page n</w:t>
      </w:r>
      <w:r w:rsidRPr="00F32872">
        <w:rPr>
          <w:vertAlign w:val="superscript"/>
          <w:lang w:val="fr-FR"/>
        </w:rPr>
        <w:t>o</w:t>
      </w:r>
      <w:r w:rsidR="005E09B6" w:rsidRPr="005E09B6">
        <w:t> </w:t>
      </w:r>
      <w:r w:rsidR="005E09B6">
        <w:rPr>
          <w:lang w:val="fr-FR"/>
        </w:rPr>
        <w:t>1 comme suit</w:t>
      </w:r>
      <w:r w:rsidR="00BE6550">
        <w:rPr>
          <w:lang w:val="fr-FR"/>
        </w:rPr>
        <w:t> :</w:t>
      </w:r>
    </w:p>
    <w:p w:rsidR="00EF66B5" w:rsidRPr="00F32872" w:rsidRDefault="005E09B6" w:rsidP="005E09B6">
      <w:pPr>
        <w:pStyle w:val="SingleTxtG"/>
        <w:ind w:left="2268" w:hanging="1134"/>
      </w:pPr>
      <w:r>
        <w:t>« </w:t>
      </w:r>
      <w:r w:rsidR="00EF66B5" w:rsidRPr="00C30E35">
        <w:t>2.6.1.</w:t>
      </w:r>
      <w:r w:rsidR="00EF66B5" w:rsidRPr="00C30E35">
        <w:tab/>
      </w:r>
      <w:r w:rsidR="00EF66B5" w:rsidRPr="00F32872">
        <w:t>Généralités</w:t>
      </w:r>
    </w:p>
    <w:p w:rsidR="00EF66B5" w:rsidRPr="00C24BD2" w:rsidRDefault="00EF66B5" w:rsidP="005E09B6">
      <w:pPr>
        <w:pStyle w:val="SingleTxtG"/>
        <w:ind w:left="2268"/>
      </w:pPr>
      <w:r w:rsidRPr="00C24BD2">
        <w:t>L</w:t>
      </w:r>
      <w:r>
        <w:t>’</w:t>
      </w:r>
      <w:r w:rsidRPr="00C24BD2">
        <w:t>essai à la flamme vive sert à démontrer que le système de protection contre l</w:t>
      </w:r>
      <w:r>
        <w:t>’</w:t>
      </w:r>
      <w:r w:rsidRPr="00C24BD2">
        <w:t>incendie dont est muni le réservoir par construction l</w:t>
      </w:r>
      <w:r>
        <w:t>’</w:t>
      </w:r>
      <w:r w:rsidRPr="00C24BD2">
        <w:t>empêche d</w:t>
      </w:r>
      <w:r>
        <w:t>’</w:t>
      </w:r>
      <w:r w:rsidRPr="00C24BD2">
        <w:t>exploser lorsque l</w:t>
      </w:r>
      <w:r>
        <w:t>’</w:t>
      </w:r>
      <w:r w:rsidRPr="00C24BD2">
        <w:t>essai a lieu dans les conditions prescrites. Le fabricant doit décrire le comportement de l</w:t>
      </w:r>
      <w:r>
        <w:t>’</w:t>
      </w:r>
      <w:r w:rsidRPr="00C24BD2">
        <w:t>ensemble du système de protection contre l</w:t>
      </w:r>
      <w:r>
        <w:t>’</w:t>
      </w:r>
      <w:r w:rsidRPr="00C24BD2">
        <w:t>incendie, y</w:t>
      </w:r>
      <w:r w:rsidRPr="00F32872">
        <w:t xml:space="preserve"> </w:t>
      </w:r>
      <w:r w:rsidRPr="00C24BD2">
        <w:t>compris son retour automatique à la pression atmosphérique. Les</w:t>
      </w:r>
      <w:r w:rsidRPr="00F32872">
        <w:t xml:space="preserve"> </w:t>
      </w:r>
      <w:r w:rsidRPr="00C24BD2">
        <w:t>conditions de cet essai seront considérées comme remplies pour tout réservoir ayant en commun avec le réservoir de base les caractéristiques suivantes</w:t>
      </w:r>
      <w:r w:rsidR="00BE6550">
        <w:t> :</w:t>
      </w:r>
    </w:p>
    <w:p w:rsidR="00EF66B5" w:rsidRPr="00C24BD2" w:rsidRDefault="00EF66B5" w:rsidP="005E09B6">
      <w:pPr>
        <w:pStyle w:val="SingleTxtG"/>
        <w:ind w:left="2835" w:hanging="567"/>
      </w:pPr>
      <w:r w:rsidRPr="00C24BD2">
        <w:t>a)</w:t>
      </w:r>
      <w:r w:rsidRPr="00C24BD2">
        <w:tab/>
        <w:t>Détenteur de l</w:t>
      </w:r>
      <w:r>
        <w:t>’</w:t>
      </w:r>
      <w:r w:rsidRPr="00C24BD2">
        <w:t>homologation de type identique</w:t>
      </w:r>
      <w:r w:rsidR="00BE6550">
        <w:t> ;</w:t>
      </w:r>
    </w:p>
    <w:p w:rsidR="00EF66B5" w:rsidRPr="00C24BD2" w:rsidRDefault="00EF66B5" w:rsidP="005E09B6">
      <w:pPr>
        <w:pStyle w:val="SingleTxtG"/>
        <w:ind w:left="2835" w:hanging="567"/>
      </w:pPr>
      <w:r w:rsidRPr="00C24BD2">
        <w:t>b)</w:t>
      </w:r>
      <w:r w:rsidRPr="00C24BD2">
        <w:tab/>
        <w:t>Forme identique (cylindrique ou forme spéciale)</w:t>
      </w:r>
      <w:r w:rsidR="00BE6550">
        <w:t> ;</w:t>
      </w:r>
    </w:p>
    <w:p w:rsidR="00EF66B5" w:rsidRPr="00C24BD2" w:rsidRDefault="00EF66B5" w:rsidP="005E09B6">
      <w:pPr>
        <w:pStyle w:val="SingleTxtG"/>
        <w:ind w:left="2835" w:hanging="567"/>
      </w:pPr>
      <w:r w:rsidRPr="00C24BD2">
        <w:t>c)</w:t>
      </w:r>
      <w:r w:rsidRPr="00C24BD2">
        <w:tab/>
        <w:t>Matériau identique</w:t>
      </w:r>
      <w:r w:rsidR="00BE6550">
        <w:t> ;</w:t>
      </w:r>
    </w:p>
    <w:p w:rsidR="00EF66B5" w:rsidRPr="00C24BD2" w:rsidRDefault="00EF66B5" w:rsidP="005E09B6">
      <w:pPr>
        <w:pStyle w:val="SingleTxtG"/>
        <w:ind w:left="2835" w:hanging="567"/>
      </w:pPr>
      <w:r w:rsidRPr="00C24BD2">
        <w:t>d)</w:t>
      </w:r>
      <w:r w:rsidRPr="00C24BD2">
        <w:tab/>
        <w:t>Épaisseur de paroi identique ou supérieure</w:t>
      </w:r>
      <w:r w:rsidR="00BE6550">
        <w:t> ;</w:t>
      </w:r>
    </w:p>
    <w:p w:rsidR="00EF66B5" w:rsidRPr="00C24BD2" w:rsidRDefault="00EF66B5" w:rsidP="005E09B6">
      <w:pPr>
        <w:pStyle w:val="SingleTxtG"/>
        <w:ind w:left="2835" w:hanging="567"/>
      </w:pPr>
      <w:r w:rsidRPr="00C24BD2">
        <w:t>e)</w:t>
      </w:r>
      <w:r w:rsidRPr="00C24BD2">
        <w:tab/>
        <w:t>Diamètre identique ou inférieur (réservoir cylindrique)</w:t>
      </w:r>
      <w:r w:rsidR="00BE6550">
        <w:t> ;</w:t>
      </w:r>
    </w:p>
    <w:p w:rsidR="00EF66B5" w:rsidRPr="00C24BD2" w:rsidRDefault="00EF66B5" w:rsidP="005E09B6">
      <w:pPr>
        <w:pStyle w:val="SingleTxtG"/>
        <w:ind w:left="2835" w:hanging="567"/>
      </w:pPr>
      <w:r w:rsidRPr="00C24BD2">
        <w:t>f)</w:t>
      </w:r>
      <w:r w:rsidRPr="00C24BD2">
        <w:tab/>
        <w:t>Hauteur identique ou inférieure (forme de réservoir spéciale)</w:t>
      </w:r>
      <w:r w:rsidR="00BE6550">
        <w:t> ;</w:t>
      </w:r>
    </w:p>
    <w:p w:rsidR="00EF66B5" w:rsidRPr="00C24BD2" w:rsidRDefault="00EF66B5" w:rsidP="005E09B6">
      <w:pPr>
        <w:pStyle w:val="SingleTxtG"/>
        <w:ind w:left="2835" w:hanging="567"/>
      </w:pPr>
      <w:r w:rsidRPr="00C24BD2">
        <w:t>g)</w:t>
      </w:r>
      <w:r w:rsidRPr="00C24BD2">
        <w:tab/>
        <w:t>Surface externe identique ou inférieure</w:t>
      </w:r>
      <w:r w:rsidR="00BE6550">
        <w:t> ;</w:t>
      </w:r>
    </w:p>
    <w:p w:rsidR="00EF66B5" w:rsidRDefault="00EF66B5" w:rsidP="005E09B6">
      <w:pPr>
        <w:pStyle w:val="SingleTxtG"/>
        <w:ind w:left="2835" w:hanging="567"/>
      </w:pPr>
      <w:r w:rsidRPr="00F32872">
        <w:t>h)</w:t>
      </w:r>
      <w:r w:rsidRPr="00F32872">
        <w:tab/>
        <w:t>Configuration identique des accessoires fixés au réservoir</w:t>
      </w:r>
      <w:r w:rsidRPr="005E09B6">
        <w:rPr>
          <w:rStyle w:val="FootnoteReference"/>
        </w:rPr>
        <w:t>1</w:t>
      </w:r>
      <w:r w:rsidRPr="00F32872">
        <w:t>.</w:t>
      </w:r>
    </w:p>
    <w:p w:rsidR="00DC4040" w:rsidRPr="00C30E35" w:rsidRDefault="00DC4040" w:rsidP="002A1DB8">
      <w:pPr>
        <w:spacing w:after="120"/>
        <w:ind w:left="1134" w:right="1134"/>
        <w:jc w:val="both"/>
        <w:rPr>
          <w:rFonts w:eastAsia="MS Mincho"/>
          <w:bCs/>
          <w:spacing w:val="-2"/>
        </w:rPr>
      </w:pPr>
      <w:r w:rsidRPr="00C30E35">
        <w:t>_______________</w:t>
      </w:r>
    </w:p>
    <w:p w:rsidR="00EF66B5" w:rsidRPr="002A1DB8" w:rsidRDefault="002A1DB8" w:rsidP="002A1DB8">
      <w:pPr>
        <w:pStyle w:val="FootnoteText"/>
        <w:tabs>
          <w:tab w:val="left" w:pos="2127"/>
        </w:tabs>
        <w:ind w:left="2268"/>
        <w:rPr>
          <w:rFonts w:eastAsia="MS Mincho"/>
          <w:bCs/>
          <w:spacing w:val="-2"/>
          <w:sz w:val="20"/>
        </w:rPr>
      </w:pPr>
      <w:r>
        <w:rPr>
          <w:vertAlign w:val="superscript"/>
        </w:rPr>
        <w:tab/>
      </w:r>
      <w:r w:rsidR="00EF66B5" w:rsidRPr="00F32872">
        <w:rPr>
          <w:vertAlign w:val="superscript"/>
        </w:rPr>
        <w:t>1</w:t>
      </w:r>
      <w:r w:rsidR="00EF66B5" w:rsidRPr="00F32872">
        <w:tab/>
      </w:r>
      <w:r w:rsidR="00EF66B5" w:rsidRPr="00F32872">
        <w:rPr>
          <w:lang w:val="fr-FR"/>
        </w:rPr>
        <w:t>Il est possible d</w:t>
      </w:r>
      <w:r w:rsidR="00EF66B5">
        <w:rPr>
          <w:lang w:val="fr-FR"/>
        </w:rPr>
        <w:t>’</w:t>
      </w:r>
      <w:r w:rsidR="00EF66B5" w:rsidRPr="00F32872">
        <w:rPr>
          <w:lang w:val="fr-FR"/>
        </w:rPr>
        <w:t>ajouter des accessoires ou de modifier et de déplacer les accessoires fixés au conteneur sans procéder à un nouvel essai, à condition que le département administratif ayant homologué le réservoir en soit informé et que la probabilité d</w:t>
      </w:r>
      <w:r w:rsidR="00EF66B5">
        <w:rPr>
          <w:lang w:val="fr-FR"/>
        </w:rPr>
        <w:t>’</w:t>
      </w:r>
      <w:r w:rsidR="00EF66B5" w:rsidRPr="00F32872">
        <w:rPr>
          <w:lang w:val="fr-FR"/>
        </w:rPr>
        <w:t>une incidence négative notable soit très faible. Le département administratif peut exiger un nouveau rapport d</w:t>
      </w:r>
      <w:r w:rsidR="00EF66B5">
        <w:rPr>
          <w:lang w:val="fr-FR"/>
        </w:rPr>
        <w:t>’</w:t>
      </w:r>
      <w:r w:rsidR="00EF66B5" w:rsidRPr="00F32872">
        <w:rPr>
          <w:lang w:val="fr-FR"/>
        </w:rPr>
        <w:t>essai émanant du service technique compétent.</w:t>
      </w:r>
      <w:r w:rsidR="00EF66B5" w:rsidRPr="00F32872">
        <w:t xml:space="preserve"> </w:t>
      </w:r>
      <w:r w:rsidR="00EF66B5" w:rsidRPr="00F32872">
        <w:rPr>
          <w:lang w:val="fr-FR"/>
        </w:rPr>
        <w:t xml:space="preserve">Le réservoir et les configurations de ses accessoires seront indiqués </w:t>
      </w:r>
      <w:r w:rsidR="00EF66B5" w:rsidRPr="00F32872">
        <w:rPr>
          <w:b/>
          <w:bCs/>
          <w:lang w:val="fr-FR"/>
        </w:rPr>
        <w:t>dans l</w:t>
      </w:r>
      <w:r w:rsidR="00EF66B5">
        <w:rPr>
          <w:b/>
          <w:bCs/>
          <w:lang w:val="fr-FR"/>
        </w:rPr>
        <w:t>’</w:t>
      </w:r>
      <w:r w:rsidR="00EF66B5" w:rsidRPr="00F32872">
        <w:rPr>
          <w:b/>
          <w:bCs/>
          <w:lang w:val="fr-FR"/>
        </w:rPr>
        <w:t>appendice</w:t>
      </w:r>
      <w:r w:rsidR="00EF66B5" w:rsidRPr="00F32872">
        <w:rPr>
          <w:lang w:val="fr-FR"/>
        </w:rPr>
        <w:t xml:space="preserve"> à l</w:t>
      </w:r>
      <w:r w:rsidR="00EF66B5">
        <w:rPr>
          <w:lang w:val="fr-FR"/>
        </w:rPr>
        <w:t>’</w:t>
      </w:r>
      <w:r w:rsidR="00EF66B5" w:rsidRPr="00F32872">
        <w:rPr>
          <w:lang w:val="fr-FR"/>
        </w:rPr>
        <w:t xml:space="preserve">annexe 2B. </w:t>
      </w:r>
      <w:r w:rsidR="00EF66B5" w:rsidRPr="00F32872">
        <w:rPr>
          <w:b/>
          <w:bCs/>
          <w:lang w:val="fr-FR"/>
        </w:rPr>
        <w:t>Les blocs multivannes ou, en cas d</w:t>
      </w:r>
      <w:r w:rsidR="00EF66B5">
        <w:rPr>
          <w:b/>
          <w:bCs/>
          <w:lang w:val="fr-FR"/>
        </w:rPr>
        <w:t>’</w:t>
      </w:r>
      <w:r w:rsidR="00EF66B5" w:rsidRPr="00F32872">
        <w:rPr>
          <w:b/>
          <w:bCs/>
          <w:lang w:val="fr-FR"/>
        </w:rPr>
        <w:t>homologations distinctes, les soupapes de surpression (soupapes de décharge) et les dispositifs de surpression, ayant fait l</w:t>
      </w:r>
      <w:r w:rsidR="00EF66B5">
        <w:rPr>
          <w:b/>
          <w:bCs/>
          <w:lang w:val="fr-FR"/>
        </w:rPr>
        <w:t>’</w:t>
      </w:r>
      <w:r w:rsidR="00EF66B5" w:rsidRPr="00F32872">
        <w:rPr>
          <w:b/>
          <w:bCs/>
          <w:lang w:val="fr-FR"/>
        </w:rPr>
        <w:t>objet d</w:t>
      </w:r>
      <w:r w:rsidR="00EF66B5">
        <w:rPr>
          <w:b/>
          <w:bCs/>
          <w:lang w:val="fr-FR"/>
        </w:rPr>
        <w:t>’</w:t>
      </w:r>
      <w:r w:rsidR="00EF66B5" w:rsidRPr="00F32872">
        <w:rPr>
          <w:b/>
          <w:bCs/>
          <w:lang w:val="fr-FR"/>
        </w:rPr>
        <w:t>une extension en raison de modifications techniques et marquées conformément aux dispositions de l</w:t>
      </w:r>
      <w:r w:rsidR="00EF66B5">
        <w:rPr>
          <w:b/>
          <w:bCs/>
          <w:lang w:val="fr-FR"/>
        </w:rPr>
        <w:t>’</w:t>
      </w:r>
      <w:r w:rsidR="00EF66B5" w:rsidRPr="00F32872">
        <w:rPr>
          <w:b/>
          <w:bCs/>
          <w:lang w:val="fr-FR"/>
        </w:rPr>
        <w:t>annexe 2A, doivent subir un nouvel essai à la flamme vive.</w:t>
      </w:r>
      <w:r w:rsidR="00EF66B5" w:rsidRPr="00F32872">
        <w:rPr>
          <w:lang w:val="fr-FR"/>
        </w:rPr>
        <w:t xml:space="preserve"> </w:t>
      </w:r>
      <w:r w:rsidR="00EF66B5" w:rsidRPr="00F32872">
        <w:rPr>
          <w:b/>
          <w:bCs/>
          <w:lang w:val="fr-FR"/>
        </w:rPr>
        <w:t>Le réservoir et les configurations de ses accessoires seront indiqués dans l</w:t>
      </w:r>
      <w:r w:rsidR="00EF66B5">
        <w:rPr>
          <w:b/>
          <w:bCs/>
          <w:lang w:val="fr-FR"/>
        </w:rPr>
        <w:t>’</w:t>
      </w:r>
      <w:r w:rsidR="00EF66B5" w:rsidRPr="00F32872">
        <w:rPr>
          <w:b/>
          <w:bCs/>
          <w:lang w:val="fr-FR"/>
        </w:rPr>
        <w:t>appendice à l</w:t>
      </w:r>
      <w:r w:rsidR="00EF66B5">
        <w:rPr>
          <w:b/>
          <w:bCs/>
          <w:lang w:val="fr-FR"/>
        </w:rPr>
        <w:t>’</w:t>
      </w:r>
      <w:r w:rsidR="00EF66B5" w:rsidRPr="00F32872">
        <w:rPr>
          <w:b/>
          <w:bCs/>
          <w:lang w:val="fr-FR"/>
        </w:rPr>
        <w:t>annexe 2B.</w:t>
      </w:r>
      <w:r w:rsidRPr="002A1DB8">
        <w:rPr>
          <w:bCs/>
          <w:sz w:val="20"/>
          <w:lang w:val="fr-FR"/>
        </w:rPr>
        <w:t> »</w:t>
      </w:r>
      <w:r>
        <w:rPr>
          <w:bCs/>
          <w:sz w:val="20"/>
          <w:lang w:val="fr-FR"/>
        </w:rPr>
        <w:t>.</w:t>
      </w:r>
    </w:p>
    <w:p w:rsidR="00EF66B5" w:rsidRPr="00F32872" w:rsidRDefault="00EF66B5" w:rsidP="00EF66B5">
      <w:pPr>
        <w:pStyle w:val="HChG"/>
      </w:pPr>
      <w:r>
        <w:rPr>
          <w:lang w:val="fr-FR"/>
        </w:rPr>
        <w:tab/>
      </w:r>
      <w:r w:rsidRPr="00F32872">
        <w:rPr>
          <w:lang w:val="fr-FR"/>
        </w:rPr>
        <w:t>II.</w:t>
      </w:r>
      <w:r w:rsidRPr="00F32872">
        <w:rPr>
          <w:lang w:val="fr-FR"/>
        </w:rPr>
        <w:tab/>
        <w:t>Justification</w:t>
      </w:r>
    </w:p>
    <w:p w:rsidR="00EF66B5" w:rsidRPr="00F32872" w:rsidRDefault="00EF66B5" w:rsidP="00EF66B5">
      <w:pPr>
        <w:pStyle w:val="SingleTxtG"/>
      </w:pPr>
      <w:r w:rsidRPr="00F32872">
        <w:rPr>
          <w:lang w:val="fr-FR"/>
        </w:rPr>
        <w:t>1.</w:t>
      </w:r>
      <w:r w:rsidRPr="00F32872">
        <w:rPr>
          <w:lang w:val="fr-FR"/>
        </w:rPr>
        <w:tab/>
        <w:t>Dans le document ECE/TRANS/WP.29/GRSG/2017/10, il est fait état de préoccupations concernant les réservoirs et leurs accessoires tels qu</w:t>
      </w:r>
      <w:r>
        <w:rPr>
          <w:lang w:val="fr-FR"/>
        </w:rPr>
        <w:t>’</w:t>
      </w:r>
      <w:r w:rsidRPr="00F32872">
        <w:rPr>
          <w:lang w:val="fr-FR"/>
        </w:rPr>
        <w:t>homologués conformément au Règlement n</w:t>
      </w:r>
      <w:r w:rsidRPr="00F32872">
        <w:rPr>
          <w:vertAlign w:val="superscript"/>
          <w:lang w:val="fr-FR"/>
        </w:rPr>
        <w:t>o</w:t>
      </w:r>
      <w:r w:rsidR="002A1DB8">
        <w:rPr>
          <w:lang w:val="fr-FR"/>
        </w:rPr>
        <w:t> </w:t>
      </w:r>
      <w:r w:rsidRPr="00F32872">
        <w:rPr>
          <w:lang w:val="fr-FR"/>
        </w:rPr>
        <w:t>67. Le Règlement prescrit que le réservoir équipé d</w:t>
      </w:r>
      <w:r>
        <w:rPr>
          <w:lang w:val="fr-FR"/>
        </w:rPr>
        <w:t>’</w:t>
      </w:r>
      <w:r w:rsidRPr="00F32872">
        <w:rPr>
          <w:lang w:val="fr-FR"/>
        </w:rPr>
        <w:t>une configuration donnée d</w:t>
      </w:r>
      <w:r>
        <w:rPr>
          <w:lang w:val="fr-FR"/>
        </w:rPr>
        <w:t>’</w:t>
      </w:r>
      <w:r w:rsidRPr="00F32872">
        <w:rPr>
          <w:lang w:val="fr-FR"/>
        </w:rPr>
        <w:t>accessoires (regroupés sur un bloc multivannes ou séparés) doit être soumis à un essai spécifique (essai à la flamme vive).</w:t>
      </w:r>
    </w:p>
    <w:p w:rsidR="00EF66B5" w:rsidRPr="00F32872" w:rsidRDefault="00EF66B5" w:rsidP="00EF66B5">
      <w:pPr>
        <w:pStyle w:val="SingleTxtG"/>
      </w:pPr>
      <w:r w:rsidRPr="00F32872">
        <w:rPr>
          <w:lang w:val="fr-FR"/>
        </w:rPr>
        <w:lastRenderedPageBreak/>
        <w:t>2.</w:t>
      </w:r>
      <w:r w:rsidRPr="00F32872">
        <w:rPr>
          <w:lang w:val="fr-FR"/>
        </w:rPr>
        <w:tab/>
        <w:t xml:space="preserve">Une </w:t>
      </w:r>
      <w:r w:rsidR="002A1DB8">
        <w:rPr>
          <w:lang w:val="fr-FR"/>
        </w:rPr>
        <w:t>« </w:t>
      </w:r>
      <w:r w:rsidRPr="00F32872">
        <w:rPr>
          <w:lang w:val="fr-FR"/>
        </w:rPr>
        <w:t>liste des configurations possibles des accessoires fixés au réservoir</w:t>
      </w:r>
      <w:r w:rsidR="002A1DB8">
        <w:rPr>
          <w:lang w:val="fr-FR"/>
        </w:rPr>
        <w:t> »</w:t>
      </w:r>
      <w:r w:rsidRPr="00F32872">
        <w:rPr>
          <w:lang w:val="fr-FR"/>
        </w:rPr>
        <w:t xml:space="preserve"> est homologuée pour chaque réservoir. Cette liste, qui figure dans le tableau 3 de l</w:t>
      </w:r>
      <w:r>
        <w:rPr>
          <w:lang w:val="fr-FR"/>
        </w:rPr>
        <w:t>’</w:t>
      </w:r>
      <w:r w:rsidRPr="00F32872">
        <w:rPr>
          <w:lang w:val="fr-FR"/>
        </w:rPr>
        <w:t>appendice de l</w:t>
      </w:r>
      <w:r>
        <w:rPr>
          <w:lang w:val="fr-FR"/>
        </w:rPr>
        <w:t>’</w:t>
      </w:r>
      <w:r w:rsidRPr="00F32872">
        <w:rPr>
          <w:lang w:val="fr-FR"/>
        </w:rPr>
        <w:t>annexe 2B au Règlement, indique également le numéro d</w:t>
      </w:r>
      <w:r>
        <w:rPr>
          <w:lang w:val="fr-FR"/>
        </w:rPr>
        <w:t>’</w:t>
      </w:r>
      <w:r w:rsidRPr="00F32872">
        <w:rPr>
          <w:lang w:val="fr-FR"/>
        </w:rPr>
        <w:t>extension de chaque accessoire.</w:t>
      </w:r>
    </w:p>
    <w:p w:rsidR="00EF66B5" w:rsidRPr="00F32872" w:rsidRDefault="00EF66B5" w:rsidP="00EF66B5">
      <w:pPr>
        <w:pStyle w:val="SingleTxtG"/>
      </w:pPr>
      <w:r w:rsidRPr="00F32872">
        <w:rPr>
          <w:lang w:val="fr-FR"/>
        </w:rPr>
        <w:t>3.</w:t>
      </w:r>
      <w:r w:rsidRPr="00F32872">
        <w:rPr>
          <w:lang w:val="fr-FR"/>
        </w:rPr>
        <w:tab/>
        <w:t xml:space="preserve">La justification du document ECE/TRANS/WP.29/GRSG/2017/10 (voir le point 8) souligne très justement que </w:t>
      </w:r>
      <w:r w:rsidR="002A1DB8">
        <w:rPr>
          <w:lang w:val="fr-FR"/>
        </w:rPr>
        <w:t>« </w:t>
      </w:r>
      <w:r w:rsidRPr="00F32872">
        <w:rPr>
          <w:lang w:val="fr-FR"/>
        </w:rPr>
        <w:t>le fabricant est tenu d</w:t>
      </w:r>
      <w:r>
        <w:rPr>
          <w:lang w:val="fr-FR"/>
        </w:rPr>
        <w:t>’</w:t>
      </w:r>
      <w:r w:rsidRPr="00F32872">
        <w:rPr>
          <w:lang w:val="fr-FR"/>
        </w:rPr>
        <w:t>indiquer sur le produit le numéro de l</w:t>
      </w:r>
      <w:r>
        <w:rPr>
          <w:lang w:val="fr-FR"/>
        </w:rPr>
        <w:t>’</w:t>
      </w:r>
      <w:r w:rsidRPr="00F32872">
        <w:rPr>
          <w:lang w:val="fr-FR"/>
        </w:rPr>
        <w:t>homologation de type qui y correspond, mais pas celui de l</w:t>
      </w:r>
      <w:r>
        <w:rPr>
          <w:lang w:val="fr-FR"/>
        </w:rPr>
        <w:t>’</w:t>
      </w:r>
      <w:r w:rsidRPr="00F32872">
        <w:rPr>
          <w:lang w:val="fr-FR"/>
        </w:rPr>
        <w:t>extension d</w:t>
      </w:r>
      <w:r>
        <w:rPr>
          <w:lang w:val="fr-FR"/>
        </w:rPr>
        <w:t>’</w:t>
      </w:r>
      <w:r w:rsidRPr="00F32872">
        <w:rPr>
          <w:lang w:val="fr-FR"/>
        </w:rPr>
        <w:t>homologation éventuellement applicable (Règlement n</w:t>
      </w:r>
      <w:r w:rsidRPr="00F32872">
        <w:rPr>
          <w:vertAlign w:val="superscript"/>
          <w:lang w:val="fr-FR"/>
        </w:rPr>
        <w:t>o</w:t>
      </w:r>
      <w:r w:rsidR="002A1DB8">
        <w:rPr>
          <w:lang w:val="fr-FR"/>
        </w:rPr>
        <w:t> </w:t>
      </w:r>
      <w:r w:rsidRPr="00F32872">
        <w:rPr>
          <w:lang w:val="fr-FR"/>
        </w:rPr>
        <w:t>67, par. </w:t>
      </w:r>
      <w:r w:rsidR="002A1DB8">
        <w:rPr>
          <w:lang w:val="fr-FR"/>
        </w:rPr>
        <w:t>4.1) »</w:t>
      </w:r>
      <w:r w:rsidRPr="00F32872">
        <w:rPr>
          <w:lang w:val="fr-FR"/>
        </w:rPr>
        <w:t xml:space="preserve"> et que </w:t>
      </w:r>
      <w:r w:rsidR="002A1DB8">
        <w:rPr>
          <w:lang w:val="fr-FR"/>
        </w:rPr>
        <w:t>« </w:t>
      </w:r>
      <w:r w:rsidRPr="00F32872">
        <w:rPr>
          <w:lang w:val="fr-FR"/>
        </w:rPr>
        <w:t>l</w:t>
      </w:r>
      <w:r>
        <w:rPr>
          <w:lang w:val="fr-FR"/>
        </w:rPr>
        <w:t>’</w:t>
      </w:r>
      <w:r w:rsidRPr="00F32872">
        <w:rPr>
          <w:lang w:val="fr-FR"/>
        </w:rPr>
        <w:t>on ne peut donc savoir avec certitude, en ayant sous les yeux un élément homologué au titre du Règlement n</w:t>
      </w:r>
      <w:r w:rsidRPr="00F32872">
        <w:rPr>
          <w:vertAlign w:val="superscript"/>
          <w:lang w:val="fr-FR"/>
        </w:rPr>
        <w:t>o</w:t>
      </w:r>
      <w:r w:rsidR="002A1DB8">
        <w:t> </w:t>
      </w:r>
      <w:r w:rsidRPr="00F32872">
        <w:rPr>
          <w:lang w:val="fr-FR"/>
        </w:rPr>
        <w:t>67, si une extension d</w:t>
      </w:r>
      <w:r>
        <w:rPr>
          <w:lang w:val="fr-FR"/>
        </w:rPr>
        <w:t>’</w:t>
      </w:r>
      <w:r w:rsidRPr="00F32872">
        <w:rPr>
          <w:lang w:val="fr-FR"/>
        </w:rPr>
        <w:t>homologation s</w:t>
      </w:r>
      <w:r>
        <w:rPr>
          <w:lang w:val="fr-FR"/>
        </w:rPr>
        <w:t>’</w:t>
      </w:r>
      <w:r w:rsidRPr="00F32872">
        <w:rPr>
          <w:lang w:val="fr-FR"/>
        </w:rPr>
        <w:t>applique</w:t>
      </w:r>
      <w:r w:rsidR="002A1DB8">
        <w:rPr>
          <w:lang w:val="fr-FR"/>
        </w:rPr>
        <w:t> »</w:t>
      </w:r>
      <w:r w:rsidRPr="00F32872">
        <w:rPr>
          <w:lang w:val="fr-FR"/>
        </w:rPr>
        <w:t>. Il est de ce fait difficile de savoir si l</w:t>
      </w:r>
      <w:r>
        <w:rPr>
          <w:lang w:val="fr-FR"/>
        </w:rPr>
        <w:t>’</w:t>
      </w:r>
      <w:r w:rsidRPr="00F32872">
        <w:rPr>
          <w:lang w:val="fr-FR"/>
        </w:rPr>
        <w:t>accessoire est homologué pour être monté sur un réservoir particulier.</w:t>
      </w:r>
    </w:p>
    <w:p w:rsidR="00EF66B5" w:rsidRPr="00F32872" w:rsidRDefault="00EF66B5" w:rsidP="00EF66B5">
      <w:pPr>
        <w:pStyle w:val="SingleTxtG"/>
      </w:pPr>
      <w:r w:rsidRPr="00F32872">
        <w:rPr>
          <w:lang w:val="fr-FR"/>
        </w:rPr>
        <w:t>5.</w:t>
      </w:r>
      <w:r w:rsidRPr="00F32872">
        <w:rPr>
          <w:lang w:val="fr-FR"/>
        </w:rPr>
        <w:tab/>
        <w:t>Pour régler ce problème, qui a été bien formulé par les experts de la Pologne, l</w:t>
      </w:r>
      <w:r>
        <w:rPr>
          <w:lang w:val="fr-FR"/>
        </w:rPr>
        <w:t>’</w:t>
      </w:r>
      <w:r w:rsidRPr="00F32872">
        <w:rPr>
          <w:lang w:val="fr-FR"/>
        </w:rPr>
        <w:t>AEGPL propose l</w:t>
      </w:r>
      <w:r>
        <w:rPr>
          <w:lang w:val="fr-FR"/>
        </w:rPr>
        <w:t>’</w:t>
      </w:r>
      <w:r w:rsidRPr="00F32872">
        <w:rPr>
          <w:lang w:val="fr-FR"/>
        </w:rPr>
        <w:t>apposition du numéro d</w:t>
      </w:r>
      <w:r>
        <w:rPr>
          <w:lang w:val="fr-FR"/>
        </w:rPr>
        <w:t>’</w:t>
      </w:r>
      <w:r w:rsidRPr="00F32872">
        <w:rPr>
          <w:lang w:val="fr-FR"/>
        </w:rPr>
        <w:t>extension sur les accessoires concernés par l</w:t>
      </w:r>
      <w:r>
        <w:rPr>
          <w:lang w:val="fr-FR"/>
        </w:rPr>
        <w:t>’</w:t>
      </w:r>
      <w:r w:rsidRPr="00F32872">
        <w:rPr>
          <w:lang w:val="fr-FR"/>
        </w:rPr>
        <w:t>essai à la flamme vive (bloc multivannes ou, en cas d</w:t>
      </w:r>
      <w:r>
        <w:rPr>
          <w:lang w:val="fr-FR"/>
        </w:rPr>
        <w:t>’</w:t>
      </w:r>
      <w:r w:rsidRPr="00F32872">
        <w:rPr>
          <w:lang w:val="fr-FR"/>
        </w:rPr>
        <w:t>homologations distinctes, soupape de surpression (soupape de décharge) et dispositif de surpression), de façon à empêcher ou à interdire le montage de tout accessoire ne figurant pas dans la liste des configurations approuvées susmentionnée.</w:t>
      </w:r>
    </w:p>
    <w:p w:rsidR="00EF66B5" w:rsidRDefault="00EF66B5" w:rsidP="006A54A2">
      <w:pPr>
        <w:pStyle w:val="SingleTxtG"/>
      </w:pPr>
      <w:r w:rsidRPr="00F32872">
        <w:rPr>
          <w:lang w:val="fr-FR"/>
        </w:rPr>
        <w:t>6.</w:t>
      </w:r>
      <w:r w:rsidRPr="00F32872">
        <w:rPr>
          <w:lang w:val="fr-FR"/>
        </w:rPr>
        <w:tab/>
        <w:t>La présente proposition, qui vise à remplacer la solution décrite dans le document ECE/TRANS/WP.29/GRSG/2017/10, signifierait l</w:t>
      </w:r>
      <w:r>
        <w:rPr>
          <w:lang w:val="fr-FR"/>
        </w:rPr>
        <w:t>’</w:t>
      </w:r>
      <w:r w:rsidRPr="00F32872">
        <w:rPr>
          <w:lang w:val="fr-FR"/>
        </w:rPr>
        <w:t>ajout d</w:t>
      </w:r>
      <w:r>
        <w:rPr>
          <w:lang w:val="fr-FR"/>
        </w:rPr>
        <w:t>’</w:t>
      </w:r>
      <w:r w:rsidRPr="00F32872">
        <w:rPr>
          <w:lang w:val="fr-FR"/>
        </w:rPr>
        <w:t>une nouvelle disposition à l</w:t>
      </w:r>
      <w:r>
        <w:rPr>
          <w:lang w:val="fr-FR"/>
        </w:rPr>
        <w:t>’</w:t>
      </w:r>
      <w:r w:rsidRPr="00F32872">
        <w:rPr>
          <w:lang w:val="fr-FR"/>
        </w:rPr>
        <w:t>annexe 2A du Règlement pour les marques apposées sur les accessoires fixés au réservoirs, mais cela permettrait d</w:t>
      </w:r>
      <w:r>
        <w:rPr>
          <w:lang w:val="fr-FR"/>
        </w:rPr>
        <w:t>’</w:t>
      </w:r>
      <w:r w:rsidRPr="00F32872">
        <w:rPr>
          <w:lang w:val="fr-FR"/>
        </w:rPr>
        <w:t>éviter un excès de paperasserie et une prolifération des numéros d</w:t>
      </w:r>
      <w:r>
        <w:rPr>
          <w:lang w:val="fr-FR"/>
        </w:rPr>
        <w:t>’</w:t>
      </w:r>
      <w:r w:rsidRPr="00F32872">
        <w:rPr>
          <w:lang w:val="fr-FR"/>
        </w:rPr>
        <w:t>homologation de type concernant des accessoires. Il n</w:t>
      </w:r>
      <w:r>
        <w:rPr>
          <w:lang w:val="fr-FR"/>
        </w:rPr>
        <w:t>’</w:t>
      </w:r>
      <w:r w:rsidRPr="00F32872">
        <w:rPr>
          <w:lang w:val="fr-FR"/>
        </w:rPr>
        <w:t>y aurait aucune incidence sur la sécurité du système.</w:t>
      </w:r>
    </w:p>
    <w:p w:rsidR="00F9573C" w:rsidRPr="00EF66B5" w:rsidRDefault="00EF66B5" w:rsidP="00EF66B5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9573C" w:rsidRPr="00EF66B5" w:rsidSect="003707EC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D65" w:rsidRDefault="00486D65" w:rsidP="00F95C08">
      <w:pPr>
        <w:spacing w:line="240" w:lineRule="auto"/>
      </w:pPr>
    </w:p>
  </w:endnote>
  <w:endnote w:type="continuationSeparator" w:id="0">
    <w:p w:rsidR="00486D65" w:rsidRPr="00AC3823" w:rsidRDefault="00486D65" w:rsidP="00AC3823">
      <w:pPr>
        <w:pStyle w:val="Footer"/>
      </w:pPr>
    </w:p>
  </w:endnote>
  <w:endnote w:type="continuationNotice" w:id="1">
    <w:p w:rsidR="00486D65" w:rsidRDefault="00486D6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7EC" w:rsidRPr="003707EC" w:rsidRDefault="003707EC" w:rsidP="003707EC">
    <w:pPr>
      <w:pStyle w:val="Footer"/>
      <w:tabs>
        <w:tab w:val="right" w:pos="9638"/>
      </w:tabs>
    </w:pPr>
    <w:r w:rsidRPr="003707EC">
      <w:rPr>
        <w:b/>
        <w:sz w:val="18"/>
      </w:rPr>
      <w:fldChar w:fldCharType="begin"/>
    </w:r>
    <w:r w:rsidRPr="003707EC">
      <w:rPr>
        <w:b/>
        <w:sz w:val="18"/>
      </w:rPr>
      <w:instrText xml:space="preserve"> PAGE  \* MERGEFORMAT </w:instrText>
    </w:r>
    <w:r w:rsidRPr="003707EC">
      <w:rPr>
        <w:b/>
        <w:sz w:val="18"/>
      </w:rPr>
      <w:fldChar w:fldCharType="separate"/>
    </w:r>
    <w:r w:rsidR="004A2530">
      <w:rPr>
        <w:b/>
        <w:noProof/>
        <w:sz w:val="18"/>
      </w:rPr>
      <w:t>2</w:t>
    </w:r>
    <w:r w:rsidRPr="003707EC">
      <w:rPr>
        <w:b/>
        <w:sz w:val="18"/>
      </w:rPr>
      <w:fldChar w:fldCharType="end"/>
    </w:r>
    <w:r>
      <w:rPr>
        <w:b/>
        <w:sz w:val="18"/>
      </w:rPr>
      <w:tab/>
    </w:r>
    <w:r>
      <w:t>GE.17-12898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7EC" w:rsidRPr="003707EC" w:rsidRDefault="003707EC" w:rsidP="003707EC">
    <w:pPr>
      <w:pStyle w:val="Footer"/>
      <w:tabs>
        <w:tab w:val="right" w:pos="9638"/>
      </w:tabs>
      <w:rPr>
        <w:b/>
        <w:sz w:val="18"/>
      </w:rPr>
    </w:pPr>
    <w:r>
      <w:t>GE.17-12898</w:t>
    </w:r>
    <w:r>
      <w:tab/>
    </w:r>
    <w:r w:rsidRPr="003707EC">
      <w:rPr>
        <w:b/>
        <w:sz w:val="18"/>
      </w:rPr>
      <w:fldChar w:fldCharType="begin"/>
    </w:r>
    <w:r w:rsidRPr="003707EC">
      <w:rPr>
        <w:b/>
        <w:sz w:val="18"/>
      </w:rPr>
      <w:instrText xml:space="preserve"> PAGE  \* MERGEFORMAT </w:instrText>
    </w:r>
    <w:r w:rsidRPr="003707EC">
      <w:rPr>
        <w:b/>
        <w:sz w:val="18"/>
      </w:rPr>
      <w:fldChar w:fldCharType="separate"/>
    </w:r>
    <w:r w:rsidR="004A2530">
      <w:rPr>
        <w:b/>
        <w:noProof/>
        <w:sz w:val="18"/>
      </w:rPr>
      <w:t>3</w:t>
    </w:r>
    <w:r w:rsidRPr="003707E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0FA" w:rsidRPr="003707EC" w:rsidRDefault="003707EC" w:rsidP="003707EC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17-12898</w:t>
    </w:r>
    <w:r w:rsidR="00D54797">
      <w:rPr>
        <w:sz w:val="20"/>
      </w:rPr>
      <w:t xml:space="preserve">  </w:t>
    </w:r>
    <w:r>
      <w:rPr>
        <w:sz w:val="20"/>
      </w:rPr>
      <w:t>(F)</w:t>
    </w:r>
    <w:r w:rsidR="001979F2">
      <w:rPr>
        <w:sz w:val="20"/>
      </w:rPr>
      <w:t xml:space="preserve">    221117    221117</w:t>
    </w:r>
    <w:r>
      <w:rPr>
        <w:sz w:val="20"/>
      </w:rPr>
      <w:br/>
    </w:r>
    <w:r w:rsidRPr="003707EC">
      <w:rPr>
        <w:rFonts w:ascii="C39T30Lfz" w:hAnsi="C39T30Lfz"/>
        <w:sz w:val="56"/>
      </w:rPr>
      <w:t></w:t>
    </w:r>
    <w:r w:rsidRPr="003707EC">
      <w:rPr>
        <w:rFonts w:ascii="C39T30Lfz" w:hAnsi="C39T30Lfz"/>
        <w:sz w:val="56"/>
      </w:rPr>
      <w:t></w:t>
    </w:r>
    <w:r w:rsidRPr="003707EC">
      <w:rPr>
        <w:rFonts w:ascii="C39T30Lfz" w:hAnsi="C39T30Lfz"/>
        <w:sz w:val="56"/>
      </w:rPr>
      <w:t></w:t>
    </w:r>
    <w:r w:rsidRPr="003707EC">
      <w:rPr>
        <w:rFonts w:ascii="C39T30Lfz" w:hAnsi="C39T30Lfz"/>
        <w:sz w:val="56"/>
      </w:rPr>
      <w:t></w:t>
    </w:r>
    <w:r w:rsidRPr="003707EC">
      <w:rPr>
        <w:rFonts w:ascii="C39T30Lfz" w:hAnsi="C39T30Lfz"/>
        <w:sz w:val="56"/>
      </w:rPr>
      <w:t></w:t>
    </w:r>
    <w:r w:rsidRPr="003707EC">
      <w:rPr>
        <w:rFonts w:ascii="C39T30Lfz" w:hAnsi="C39T30Lfz"/>
        <w:sz w:val="56"/>
      </w:rPr>
      <w:t></w:t>
    </w:r>
    <w:r w:rsidRPr="003707EC">
      <w:rPr>
        <w:rFonts w:ascii="C39T30Lfz" w:hAnsi="C39T30Lfz"/>
        <w:sz w:val="56"/>
      </w:rPr>
      <w:t></w:t>
    </w:r>
    <w:r w:rsidRPr="003707EC">
      <w:rPr>
        <w:rFonts w:ascii="C39T30Lfz" w:hAnsi="C39T30Lfz"/>
        <w:sz w:val="56"/>
      </w:rPr>
      <w:t></w:t>
    </w:r>
    <w:r w:rsidRPr="003707EC">
      <w:rPr>
        <w:rFonts w:ascii="C39T30Lfz" w:hAnsi="C39T30Lfz"/>
        <w:sz w:val="56"/>
      </w:rPr>
      <w:t></w:t>
    </w:r>
    <w:r>
      <w:rPr>
        <w:noProof/>
        <w:sz w:val="20"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GRSG/2017/30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SG/2017/30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D65" w:rsidRPr="00AC3823" w:rsidRDefault="00486D65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486D65" w:rsidRPr="00AC3823" w:rsidRDefault="00486D65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486D65" w:rsidRPr="00AC3823" w:rsidRDefault="00486D65">
      <w:pPr>
        <w:spacing w:line="240" w:lineRule="auto"/>
        <w:rPr>
          <w:sz w:val="2"/>
          <w:szCs w:val="2"/>
        </w:rPr>
      </w:pPr>
    </w:p>
  </w:footnote>
  <w:footnote w:id="2">
    <w:p w:rsidR="00EF66B5" w:rsidRPr="005B1D55" w:rsidRDefault="00D54797" w:rsidP="00EF66B5">
      <w:pPr>
        <w:pStyle w:val="FootnoteText"/>
      </w:pPr>
      <w:r>
        <w:rPr>
          <w:lang w:val="fr-FR"/>
        </w:rPr>
        <w:tab/>
      </w:r>
      <w:r w:rsidR="00EF66B5" w:rsidRPr="00D54797">
        <w:rPr>
          <w:sz w:val="20"/>
          <w:lang w:val="fr-FR"/>
        </w:rPr>
        <w:t>*</w:t>
      </w:r>
      <w:r w:rsidR="00EF66B5">
        <w:rPr>
          <w:lang w:val="fr-FR"/>
        </w:rPr>
        <w:tab/>
      </w:r>
      <w:r w:rsidR="00EF66B5" w:rsidRPr="00D54797">
        <w:rPr>
          <w:spacing w:val="-2"/>
          <w:lang w:val="fr-FR"/>
        </w:rPr>
        <w:t>Conformément au programme de travail du Comité des transports intérieurs pour la période</w:t>
      </w:r>
      <w:r w:rsidRPr="00D54797">
        <w:rPr>
          <w:spacing w:val="-2"/>
          <w:lang w:val="fr-FR"/>
        </w:rPr>
        <w:t xml:space="preserve"> 2016-2017 (ECE/TRANS/254, par. </w:t>
      </w:r>
      <w:r w:rsidR="00EF66B5" w:rsidRPr="00D54797">
        <w:rPr>
          <w:spacing w:val="-2"/>
          <w:lang w:val="fr-FR"/>
        </w:rPr>
        <w:t>159, et ECE/TRANS/2016/28/Add.1, module 3.1), le Forum mondial a pour mission d</w:t>
      </w:r>
      <w:r>
        <w:rPr>
          <w:spacing w:val="-2"/>
          <w:lang w:val="fr-FR"/>
        </w:rPr>
        <w:t>’</w:t>
      </w:r>
      <w:r w:rsidR="00EF66B5" w:rsidRPr="00D54797">
        <w:rPr>
          <w:spacing w:val="-2"/>
          <w:lang w:val="fr-FR"/>
        </w:rPr>
        <w:t>élaborer, d</w:t>
      </w:r>
      <w:r>
        <w:rPr>
          <w:spacing w:val="-2"/>
          <w:lang w:val="fr-FR"/>
        </w:rPr>
        <w:t>’</w:t>
      </w:r>
      <w:r w:rsidR="00EF66B5" w:rsidRPr="00D54797">
        <w:rPr>
          <w:spacing w:val="-2"/>
          <w:lang w:val="fr-FR"/>
        </w:rPr>
        <w:t>harmoniser et de mettre à jour les Règlements en vue d</w:t>
      </w:r>
      <w:r>
        <w:rPr>
          <w:spacing w:val="-2"/>
          <w:lang w:val="fr-FR"/>
        </w:rPr>
        <w:t>’</w:t>
      </w:r>
      <w:r w:rsidR="00EF66B5" w:rsidRPr="00D54797">
        <w:rPr>
          <w:spacing w:val="-2"/>
          <w:lang w:val="fr-FR"/>
        </w:rPr>
        <w:t>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7EC" w:rsidRPr="003707EC" w:rsidRDefault="004A2530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2D539E">
      <w:t>ECE/TRANS/WP.29/GRSG/2017/30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7EC" w:rsidRPr="003707EC" w:rsidRDefault="004A2530" w:rsidP="003707EC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2D539E">
      <w:t>ECE/TRANS/WP.29/GRSG/2017/30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D65"/>
    <w:rsid w:val="00017F94"/>
    <w:rsid w:val="00023842"/>
    <w:rsid w:val="000334F9"/>
    <w:rsid w:val="00045FEB"/>
    <w:rsid w:val="00066EFE"/>
    <w:rsid w:val="0007796D"/>
    <w:rsid w:val="000B7790"/>
    <w:rsid w:val="000F14F2"/>
    <w:rsid w:val="00111F2F"/>
    <w:rsid w:val="0014365E"/>
    <w:rsid w:val="00143C66"/>
    <w:rsid w:val="00176178"/>
    <w:rsid w:val="001979F2"/>
    <w:rsid w:val="001D4DBA"/>
    <w:rsid w:val="001F525A"/>
    <w:rsid w:val="00223272"/>
    <w:rsid w:val="0024779E"/>
    <w:rsid w:val="00257168"/>
    <w:rsid w:val="002744B8"/>
    <w:rsid w:val="002832AC"/>
    <w:rsid w:val="002A1DB8"/>
    <w:rsid w:val="002D539E"/>
    <w:rsid w:val="002D7C93"/>
    <w:rsid w:val="00305801"/>
    <w:rsid w:val="00331438"/>
    <w:rsid w:val="003707EC"/>
    <w:rsid w:val="003916DE"/>
    <w:rsid w:val="003A5432"/>
    <w:rsid w:val="00441C3B"/>
    <w:rsid w:val="00446FE5"/>
    <w:rsid w:val="00452396"/>
    <w:rsid w:val="00476B9A"/>
    <w:rsid w:val="004837D8"/>
    <w:rsid w:val="00486D65"/>
    <w:rsid w:val="004A2530"/>
    <w:rsid w:val="004E468C"/>
    <w:rsid w:val="005368D9"/>
    <w:rsid w:val="005505B7"/>
    <w:rsid w:val="00573BE5"/>
    <w:rsid w:val="00586ED3"/>
    <w:rsid w:val="00596AA9"/>
    <w:rsid w:val="005E09B6"/>
    <w:rsid w:val="005F24D3"/>
    <w:rsid w:val="006A54A2"/>
    <w:rsid w:val="0071601D"/>
    <w:rsid w:val="007570B5"/>
    <w:rsid w:val="007600E5"/>
    <w:rsid w:val="007A62E6"/>
    <w:rsid w:val="007D5D1C"/>
    <w:rsid w:val="007F20FA"/>
    <w:rsid w:val="0080684C"/>
    <w:rsid w:val="00871C75"/>
    <w:rsid w:val="008776DC"/>
    <w:rsid w:val="009446C0"/>
    <w:rsid w:val="009705C8"/>
    <w:rsid w:val="009C1CF4"/>
    <w:rsid w:val="009F6B74"/>
    <w:rsid w:val="00A30353"/>
    <w:rsid w:val="00A55B55"/>
    <w:rsid w:val="00AA4177"/>
    <w:rsid w:val="00AC3823"/>
    <w:rsid w:val="00AE323C"/>
    <w:rsid w:val="00AF0CB5"/>
    <w:rsid w:val="00B00181"/>
    <w:rsid w:val="00B00B0D"/>
    <w:rsid w:val="00B34BF7"/>
    <w:rsid w:val="00B765F7"/>
    <w:rsid w:val="00BA0CA9"/>
    <w:rsid w:val="00BE6550"/>
    <w:rsid w:val="00C02897"/>
    <w:rsid w:val="00C97039"/>
    <w:rsid w:val="00CB4381"/>
    <w:rsid w:val="00D3439C"/>
    <w:rsid w:val="00D54797"/>
    <w:rsid w:val="00DB1831"/>
    <w:rsid w:val="00DC4040"/>
    <w:rsid w:val="00DD3BFD"/>
    <w:rsid w:val="00DF6678"/>
    <w:rsid w:val="00E0299A"/>
    <w:rsid w:val="00E85C74"/>
    <w:rsid w:val="00EA6547"/>
    <w:rsid w:val="00ED3965"/>
    <w:rsid w:val="00EF2E22"/>
    <w:rsid w:val="00EF66B5"/>
    <w:rsid w:val="00F30194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EF66B5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EF66B5"/>
    <w:rPr>
      <w:rFonts w:ascii="Times New Roman" w:eastAsiaTheme="minorHAnsi" w:hAnsi="Times New Roman" w:cs="Times New Roman"/>
      <w:b/>
      <w:sz w:val="28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EF66B5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EF66B5"/>
    <w:rPr>
      <w:rFonts w:ascii="Times New Roman" w:eastAsiaTheme="minorHAnsi" w:hAnsi="Times New Roman" w:cs="Times New Roman"/>
      <w:b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1110</Words>
  <Characters>6328</Characters>
  <Application>Microsoft Office Word</Application>
  <DocSecurity>4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ECE/TRANS/WP.29/GRSG/2017/30</vt:lpstr>
      <vt:lpstr>ECE/TRANS/WP.29/GRSG/2017/30</vt:lpstr>
    </vt:vector>
  </TitlesOfParts>
  <Company>DCM</Company>
  <LinksUpToDate>false</LinksUpToDate>
  <CharactersWithSpaces>7424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ECE/TRANS/WP.29/GRSG/2017/30</dc:title>
  <dc:creator>Nicolas MORIN</dc:creator>
  <cp:lastModifiedBy>Benedicte Boudol</cp:lastModifiedBy>
  <cp:revision>2</cp:revision>
  <cp:lastPrinted>2017-11-22T13:52:00Z</cp:lastPrinted>
  <dcterms:created xsi:type="dcterms:W3CDTF">2017-11-22T16:32:00Z</dcterms:created>
  <dcterms:modified xsi:type="dcterms:W3CDTF">2017-11-22T16:32:00Z</dcterms:modified>
</cp:coreProperties>
</file>