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134953">
            <w:pPr>
              <w:jc w:val="right"/>
            </w:pPr>
            <w:r w:rsidRPr="00D5792F">
              <w:rPr>
                <w:sz w:val="40"/>
              </w:rPr>
              <w:t>ECE</w:t>
            </w:r>
            <w:r w:rsidRPr="00593753">
              <w:t>/TRANS/WP.29/GR</w:t>
            </w:r>
            <w:r w:rsidR="000D4EB3" w:rsidRPr="00593753">
              <w:t>SG</w:t>
            </w:r>
            <w:r w:rsidRPr="00593753">
              <w:t>/201</w:t>
            </w:r>
            <w:r w:rsidR="00134953">
              <w:t>7</w:t>
            </w:r>
            <w:r w:rsidRPr="00593753">
              <w:t>/</w:t>
            </w:r>
            <w:r w:rsidR="009E6ABE">
              <w:t>1</w:t>
            </w:r>
            <w:r w:rsidR="00BA2784">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en-GB"/>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BA2784" w:rsidP="00D5792F">
            <w:pPr>
              <w:spacing w:line="240" w:lineRule="exact"/>
            </w:pPr>
            <w:r>
              <w:t>1</w:t>
            </w:r>
            <w:r w:rsidR="00056496">
              <w:t>4</w:t>
            </w:r>
            <w:r w:rsidR="000F179D">
              <w:t xml:space="preserve"> </w:t>
            </w:r>
            <w:r w:rsidR="002B55E4">
              <w:t>J</w:t>
            </w:r>
            <w:r>
              <w:t>ul</w:t>
            </w:r>
            <w:r w:rsidR="002B55E4">
              <w:t>y</w:t>
            </w:r>
            <w:r w:rsidR="00BD65F8" w:rsidRPr="00593753">
              <w:t xml:space="preserve"> </w:t>
            </w:r>
            <w:r w:rsidR="00803BF8" w:rsidRPr="00593753">
              <w:t>201</w:t>
            </w:r>
            <w:r w:rsidR="00134953">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BA2784">
        <w:rPr>
          <w:b/>
        </w:rPr>
        <w:t>3</w:t>
      </w:r>
      <w:r w:rsidRPr="00134953">
        <w:rPr>
          <w:b/>
        </w:rPr>
        <w:t xml:space="preserve">th </w:t>
      </w:r>
      <w:r w:rsidRPr="00C64574">
        <w:rPr>
          <w:b/>
        </w:rPr>
        <w:t>session</w:t>
      </w:r>
    </w:p>
    <w:p w:rsidR="0067362F" w:rsidRPr="00593753" w:rsidRDefault="009E6ABE" w:rsidP="009E6ABE">
      <w:r w:rsidRPr="00C64574">
        <w:t xml:space="preserve">Geneva, </w:t>
      </w:r>
      <w:r w:rsidR="00BA2784">
        <w:t>10</w:t>
      </w:r>
      <w:r w:rsidR="00A72A2B">
        <w:t>-</w:t>
      </w:r>
      <w:r w:rsidR="00BA2784">
        <w:t>13</w:t>
      </w:r>
      <w:r w:rsidRPr="00C64574">
        <w:t xml:space="preserve"> </w:t>
      </w:r>
      <w:r w:rsidR="00BA2784">
        <w:t>October</w:t>
      </w:r>
      <w:r w:rsidRPr="00C64574">
        <w:t xml:space="preserve"> 201</w:t>
      </w:r>
      <w:r w:rsidR="00134953">
        <w:t>7</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BA2784">
        <w:t>3</w:t>
      </w:r>
      <w:r w:rsidR="000F179D" w:rsidRPr="00134953">
        <w:t>th</w:t>
      </w:r>
      <w:r w:rsidR="000F179D" w:rsidRPr="00593753">
        <w:t xml:space="preserve"> </w:t>
      </w:r>
      <w:r w:rsidR="003C17CC" w:rsidRPr="00593753">
        <w:t>session</w:t>
      </w:r>
      <w:r w:rsidR="00231F2D" w:rsidRPr="00231F2D">
        <w:rPr>
          <w:rStyle w:val="FootnoteReference"/>
          <w:b w:val="0"/>
          <w:sz w:val="20"/>
          <w:vertAlign w:val="baseline"/>
        </w:rPr>
        <w:footnoteReference w:customMarkFollows="1" w:id="2"/>
        <w:t>*</w:t>
      </w:r>
      <w:r w:rsidR="00231F2D" w:rsidRPr="008B2CD1">
        <w:rPr>
          <w:rStyle w:val="FootnoteReference"/>
          <w:b w:val="0"/>
          <w:sz w:val="20"/>
        </w:rPr>
        <w:t>,</w:t>
      </w:r>
      <w:r w:rsidR="00231F2D" w:rsidRPr="00231F2D">
        <w:rPr>
          <w:rStyle w:val="FootnoteReference"/>
          <w:b w:val="0"/>
          <w:sz w:val="20"/>
          <w:vertAlign w:val="baseline"/>
        </w:rPr>
        <w:t xml:space="preserve"> </w:t>
      </w:r>
      <w:r w:rsidR="00231F2D" w:rsidRPr="00231F2D">
        <w:rPr>
          <w:rStyle w:val="FootnoteReference"/>
          <w:b w:val="0"/>
          <w:sz w:val="20"/>
          <w:vertAlign w:val="baseline"/>
        </w:rPr>
        <w:footnoteReference w:customMarkFollows="1" w:id="3"/>
        <w:t>**</w:t>
      </w:r>
    </w:p>
    <w:p w:rsidR="003C17CC" w:rsidRPr="00593753" w:rsidRDefault="003C17CC" w:rsidP="003C17CC">
      <w:pPr>
        <w:pStyle w:val="SingleTxtG"/>
      </w:pPr>
      <w:r w:rsidRPr="00593753">
        <w:t xml:space="preserve">to be held at the Palais des Nations, Geneva, starting at </w:t>
      </w:r>
      <w:r w:rsidR="00BA2784">
        <w:t>9</w:t>
      </w:r>
      <w:r w:rsidRPr="00593753">
        <w:t>.30</w:t>
      </w:r>
      <w:r w:rsidR="00A877CE">
        <w:t xml:space="preserve"> </w:t>
      </w:r>
      <w:r w:rsidR="00BA2784">
        <w:t>a</w:t>
      </w:r>
      <w:r w:rsidRPr="00593753">
        <w:t>.m. on</w:t>
      </w:r>
      <w:r w:rsidR="0028776F" w:rsidRPr="00593753">
        <w:t xml:space="preserve"> </w:t>
      </w:r>
      <w:r w:rsidR="00BA2784">
        <w:t>10 October</w:t>
      </w:r>
      <w:r w:rsidRPr="00593753">
        <w:t xml:space="preserve"> 201</w:t>
      </w:r>
      <w:r w:rsidR="00134953">
        <w:t>7</w:t>
      </w:r>
      <w:r w:rsidRPr="00593753">
        <w:t xml:space="preserve"> and concluding at </w:t>
      </w:r>
      <w:r w:rsidR="002B55E4">
        <w:t>12</w:t>
      </w:r>
      <w:r w:rsidRPr="00593753">
        <w:t xml:space="preserve">.30 p.m. on </w:t>
      </w:r>
      <w:r w:rsidR="00BA2784">
        <w:t>13 October</w:t>
      </w:r>
      <w:r w:rsidRPr="00593753">
        <w:t xml:space="preserve"> 201</w:t>
      </w:r>
      <w:r w:rsidR="00134953">
        <w:t>7</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CD1622" w:rsidRPr="004D1A62" w:rsidRDefault="00CD1622" w:rsidP="00CD1622">
      <w:pPr>
        <w:pStyle w:val="SingleTxtG"/>
        <w:keepNext/>
        <w:keepLines/>
        <w:ind w:left="1138"/>
      </w:pPr>
      <w:r w:rsidRPr="004D1A62">
        <w:t>1.</w:t>
      </w:r>
      <w:r w:rsidRPr="004D1A62">
        <w:tab/>
        <w:t>Adoption of the agenda</w:t>
      </w:r>
      <w:r>
        <w:t>.</w:t>
      </w:r>
    </w:p>
    <w:p w:rsidR="00CD1622" w:rsidRDefault="00CD1622" w:rsidP="00CD1622">
      <w:pPr>
        <w:pStyle w:val="SingleTxtG"/>
        <w:ind w:left="1140"/>
      </w:pPr>
      <w:r>
        <w:t>2</w:t>
      </w:r>
      <w:r w:rsidRPr="004D1A62">
        <w:t>.</w:t>
      </w:r>
      <w:r w:rsidRPr="004D1A62">
        <w:tab/>
      </w:r>
      <w:r>
        <w:t>Amendments to</w:t>
      </w:r>
      <w:r w:rsidRPr="001E1A0C">
        <w:t xml:space="preserve"> regulations </w:t>
      </w:r>
      <w:r>
        <w:t>on buses and coaches:</w:t>
      </w:r>
    </w:p>
    <w:p w:rsidR="00CD1622" w:rsidRDefault="00CD1622" w:rsidP="00CD1622">
      <w:pPr>
        <w:pStyle w:val="SingleTxtG"/>
      </w:pPr>
      <w:r>
        <w:tab/>
        <w:t>(a)</w:t>
      </w:r>
      <w:r>
        <w:tab/>
      </w:r>
      <w:r w:rsidRPr="004D1A62">
        <w:t>Regulation No. 107 (M</w:t>
      </w:r>
      <w:r w:rsidRPr="001E1A0C">
        <w:rPr>
          <w:vertAlign w:val="subscript"/>
        </w:rPr>
        <w:t>2</w:t>
      </w:r>
      <w:r w:rsidRPr="004D1A62">
        <w:t xml:space="preserve"> and M</w:t>
      </w:r>
      <w:r w:rsidRPr="001E1A0C">
        <w:rPr>
          <w:vertAlign w:val="subscript"/>
        </w:rPr>
        <w:t>3</w:t>
      </w:r>
      <w:r>
        <w:t xml:space="preserve"> vehicles);</w:t>
      </w:r>
    </w:p>
    <w:p w:rsidR="00CD1622" w:rsidRDefault="00CD1622" w:rsidP="00CD1622">
      <w:pPr>
        <w:pStyle w:val="SingleTxtG"/>
      </w:pPr>
      <w:r>
        <w:tab/>
        <w:t>(b)</w:t>
      </w:r>
      <w:r>
        <w:tab/>
      </w:r>
      <w:r w:rsidRPr="00573540">
        <w:t>Regulation No. 11</w:t>
      </w:r>
      <w:r>
        <w:t>8</w:t>
      </w:r>
      <w:r w:rsidRPr="00573540">
        <w:t xml:space="preserve"> </w:t>
      </w:r>
      <w:r>
        <w:t>(</w:t>
      </w:r>
      <w:r w:rsidRPr="00573540">
        <w:t>Burning behaviour of materials</w:t>
      </w:r>
      <w:r>
        <w:t>).</w:t>
      </w:r>
    </w:p>
    <w:p w:rsidR="00CD1622" w:rsidRDefault="00CD1622" w:rsidP="00CD1622">
      <w:pPr>
        <w:pStyle w:val="SingleTxtG"/>
        <w:ind w:left="1140"/>
      </w:pPr>
      <w:r w:rsidRPr="00F73779">
        <w:t>3.</w:t>
      </w:r>
      <w:r w:rsidRPr="00F73779">
        <w:tab/>
      </w:r>
      <w:r>
        <w:t>Regulation No. 34 (Prevention of fire risks).</w:t>
      </w:r>
    </w:p>
    <w:p w:rsidR="00CD1622" w:rsidRDefault="00CD1622" w:rsidP="00CD1622">
      <w:pPr>
        <w:pStyle w:val="SingleTxtG"/>
        <w:ind w:left="1140"/>
      </w:pPr>
      <w:r>
        <w:t>4.</w:t>
      </w:r>
      <w:r>
        <w:tab/>
        <w:t>Amendments to s</w:t>
      </w:r>
      <w:r w:rsidRPr="004D1A62">
        <w:t>afety glazing</w:t>
      </w:r>
      <w:r>
        <w:t xml:space="preserve"> regulations:</w:t>
      </w:r>
    </w:p>
    <w:p w:rsidR="00CD1622" w:rsidRDefault="00CD1622" w:rsidP="00CD1622">
      <w:pPr>
        <w:pStyle w:val="SingleTxtG"/>
        <w:ind w:left="1140"/>
      </w:pPr>
      <w:r>
        <w:tab/>
        <w:t>(a)</w:t>
      </w:r>
      <w:r>
        <w:tab/>
      </w:r>
      <w:r w:rsidRPr="00573540">
        <w:t>Reg</w:t>
      </w:r>
      <w:r>
        <w:t>ulation No. 43 (Safety glazing);</w:t>
      </w:r>
    </w:p>
    <w:p w:rsidR="00CD1622" w:rsidRPr="004D1A62" w:rsidRDefault="00CD1622" w:rsidP="00CD1622">
      <w:pPr>
        <w:pStyle w:val="SingleTxtG"/>
        <w:ind w:left="1140"/>
      </w:pPr>
      <w:r>
        <w:tab/>
        <w:t>(b)</w:t>
      </w:r>
      <w:r>
        <w:tab/>
      </w:r>
      <w:r w:rsidRPr="00573540">
        <w:t>Global Technical Regulation No. 6 (Safety glazing).</w:t>
      </w:r>
    </w:p>
    <w:p w:rsidR="00CD1622" w:rsidRDefault="00CD1622" w:rsidP="00CD1622">
      <w:pPr>
        <w:pStyle w:val="SingleTxtG"/>
        <w:ind w:left="1140"/>
      </w:pPr>
      <w:r>
        <w:t>5.</w:t>
      </w:r>
      <w:r>
        <w:tab/>
        <w:t>A</w:t>
      </w:r>
      <w:r w:rsidRPr="00AF259F">
        <w:t xml:space="preserve">wareness of </w:t>
      </w:r>
      <w:r w:rsidR="00E31625">
        <w:t xml:space="preserve">the </w:t>
      </w:r>
      <w:r w:rsidR="00E31625" w:rsidRPr="00AF259F">
        <w:t xml:space="preserve">proximity </w:t>
      </w:r>
      <w:r w:rsidR="00E31625">
        <w:t xml:space="preserve">of </w:t>
      </w:r>
      <w:r w:rsidRPr="00AF259F">
        <w:t>Vulnerable Road Users</w:t>
      </w:r>
      <w:r>
        <w:t>:</w:t>
      </w:r>
    </w:p>
    <w:p w:rsidR="00CD1622" w:rsidRDefault="00CD1622" w:rsidP="00CD1622">
      <w:pPr>
        <w:pStyle w:val="SingleTxtG"/>
        <w:ind w:left="1140"/>
      </w:pPr>
      <w:r>
        <w:tab/>
        <w:t>(a)</w:t>
      </w:r>
      <w:r>
        <w:tab/>
        <w:t>Regulation No. 46 (Devices for indirect vision);</w:t>
      </w:r>
    </w:p>
    <w:p w:rsidR="00CD1622" w:rsidRDefault="00CD1622" w:rsidP="00CD1622">
      <w:pPr>
        <w:pStyle w:val="SingleTxtG"/>
        <w:ind w:left="1140"/>
      </w:pPr>
      <w:r>
        <w:tab/>
        <w:t>(b)</w:t>
      </w:r>
      <w:r>
        <w:tab/>
        <w:t>N</w:t>
      </w:r>
      <w:r w:rsidRPr="00975FE8">
        <w:t xml:space="preserve">ew </w:t>
      </w:r>
      <w:r>
        <w:t>R</w:t>
      </w:r>
      <w:r w:rsidRPr="00975FE8">
        <w:t>egulation on</w:t>
      </w:r>
      <w:r>
        <w:t xml:space="preserve"> Blind Spot Information Systems (BSIS).</w:t>
      </w:r>
    </w:p>
    <w:p w:rsidR="00CD1622" w:rsidRDefault="00CD1622" w:rsidP="00CD1622">
      <w:pPr>
        <w:pStyle w:val="SingleTxtG"/>
        <w:ind w:left="1140"/>
      </w:pPr>
      <w:r>
        <w:t>6</w:t>
      </w:r>
      <w:r w:rsidRPr="00C379B4">
        <w:t>.</w:t>
      </w:r>
      <w:r w:rsidRPr="00C379B4">
        <w:tab/>
      </w:r>
      <w:r>
        <w:t>Amendments to gas-fuelled v</w:t>
      </w:r>
      <w:r w:rsidRPr="00573540">
        <w:t>ehicle</w:t>
      </w:r>
      <w:r>
        <w:t xml:space="preserve"> r</w:t>
      </w:r>
      <w:r w:rsidRPr="00573540">
        <w:t>egulation</w:t>
      </w:r>
      <w:r>
        <w:t>s:</w:t>
      </w:r>
    </w:p>
    <w:p w:rsidR="00CD1622" w:rsidRDefault="00CD1622" w:rsidP="00CD1622">
      <w:pPr>
        <w:pStyle w:val="SingleTxtG"/>
        <w:ind w:left="1140"/>
      </w:pPr>
      <w:r>
        <w:tab/>
        <w:t>(a)</w:t>
      </w:r>
      <w:r>
        <w:tab/>
      </w:r>
      <w:r w:rsidRPr="00573540">
        <w:t>R</w:t>
      </w:r>
      <w:r>
        <w:t>egulation No. 67 (LPG vehicles);</w:t>
      </w:r>
    </w:p>
    <w:p w:rsidR="00CD1622" w:rsidRPr="00573540" w:rsidRDefault="00CD1622" w:rsidP="00CD1622">
      <w:pPr>
        <w:pStyle w:val="SingleTxtG"/>
        <w:ind w:left="1140"/>
      </w:pPr>
      <w:r>
        <w:tab/>
        <w:t>(b)</w:t>
      </w:r>
      <w:r>
        <w:tab/>
        <w:t>Regulation No. 110 (CNG and LNG vehicles).</w:t>
      </w:r>
    </w:p>
    <w:p w:rsidR="00CD1622" w:rsidRPr="00573540" w:rsidRDefault="00CD1622" w:rsidP="00CD1622">
      <w:pPr>
        <w:pStyle w:val="SingleTxtG"/>
        <w:ind w:left="1140"/>
      </w:pPr>
      <w:r>
        <w:t>7.</w:t>
      </w:r>
      <w:r>
        <w:tab/>
        <w:t>Regulation No. 73</w:t>
      </w:r>
      <w:r w:rsidRPr="004D1A62">
        <w:t xml:space="preserve"> (</w:t>
      </w:r>
      <w:r w:rsidRPr="00573540">
        <w:t>Lateral protection devices).</w:t>
      </w:r>
    </w:p>
    <w:p w:rsidR="00CD1622" w:rsidRPr="00573540" w:rsidRDefault="00CD1622" w:rsidP="00CD1622">
      <w:pPr>
        <w:pStyle w:val="SingleTxtG"/>
        <w:ind w:left="1140"/>
      </w:pPr>
      <w:r>
        <w:t>8.</w:t>
      </w:r>
      <w:r w:rsidRPr="00573540">
        <w:tab/>
        <w:t>Regulation No. 93 (Front Underrun Protection Devices)</w:t>
      </w:r>
      <w:r w:rsidR="00E31625">
        <w:t>.</w:t>
      </w:r>
    </w:p>
    <w:p w:rsidR="00CD1622" w:rsidRDefault="00CD1622" w:rsidP="00CD1622">
      <w:pPr>
        <w:pStyle w:val="SingleTxtG"/>
        <w:ind w:left="1140"/>
      </w:pPr>
      <w:r>
        <w:t>9.</w:t>
      </w:r>
      <w:r>
        <w:tab/>
      </w:r>
      <w:r w:rsidRPr="00DC0D9F">
        <w:t>Regulation No. 11</w:t>
      </w:r>
      <w:r>
        <w:t>6</w:t>
      </w:r>
      <w:r w:rsidRPr="00DC0D9F">
        <w:t xml:space="preserve"> (</w:t>
      </w:r>
      <w:r w:rsidRPr="00366225">
        <w:t>Anti-theft and alarm systems</w:t>
      </w:r>
      <w:r>
        <w:t>)</w:t>
      </w:r>
      <w:r w:rsidRPr="00DC0D9F">
        <w:t>.</w:t>
      </w:r>
    </w:p>
    <w:p w:rsidR="00CD1622" w:rsidRDefault="00CD1622" w:rsidP="00CD1622">
      <w:pPr>
        <w:pStyle w:val="SingleTxtG"/>
        <w:ind w:left="1140"/>
      </w:pPr>
      <w:r>
        <w:t>10</w:t>
      </w:r>
      <w:r w:rsidRPr="00611D91">
        <w:t>.</w:t>
      </w:r>
      <w:r w:rsidRPr="00611D91">
        <w:tab/>
        <w:t>Regulation No. 1</w:t>
      </w:r>
      <w:r>
        <w:t>2</w:t>
      </w:r>
      <w:r w:rsidRPr="00611D91">
        <w:t>1 (Identification of controls, tell-tales and indicators).</w:t>
      </w:r>
    </w:p>
    <w:p w:rsidR="00CD1622" w:rsidRDefault="00CD1622" w:rsidP="00CD1622">
      <w:pPr>
        <w:pStyle w:val="SingleTxtG"/>
        <w:ind w:left="1140"/>
      </w:pPr>
      <w:r>
        <w:t>11.</w:t>
      </w:r>
      <w:r>
        <w:tab/>
      </w:r>
      <w:r w:rsidRPr="00573540">
        <w:t>Regulation No. 12</w:t>
      </w:r>
      <w:r>
        <w:t>2</w:t>
      </w:r>
      <w:r w:rsidRPr="00573540">
        <w:t xml:space="preserve"> (</w:t>
      </w:r>
      <w:r>
        <w:t>Heating systems).</w:t>
      </w:r>
    </w:p>
    <w:p w:rsidR="00CD1622" w:rsidRDefault="00CD1622" w:rsidP="00CD1622">
      <w:pPr>
        <w:pStyle w:val="SingleTxtG"/>
        <w:ind w:left="1140"/>
      </w:pPr>
      <w:r>
        <w:t>12.</w:t>
      </w:r>
      <w:r>
        <w:tab/>
        <w:t>Accident Emergency Call Systems (AECS).</w:t>
      </w:r>
    </w:p>
    <w:p w:rsidR="00CD1622" w:rsidRDefault="00CD1622" w:rsidP="00CD1622">
      <w:pPr>
        <w:pStyle w:val="SingleTxtG"/>
        <w:ind w:left="1140"/>
      </w:pPr>
      <w:r>
        <w:t>13.</w:t>
      </w:r>
      <w:r>
        <w:tab/>
      </w:r>
      <w:r w:rsidRPr="00E006E1">
        <w:t>International Whole Vehicle Type Approval</w:t>
      </w:r>
      <w:r>
        <w:t xml:space="preserve"> (IWVTA).</w:t>
      </w:r>
    </w:p>
    <w:p w:rsidR="00CD1622" w:rsidRDefault="00CD1622" w:rsidP="00CD1622">
      <w:pPr>
        <w:pStyle w:val="SingleTxtG"/>
        <w:ind w:left="1140"/>
      </w:pPr>
      <w:r>
        <w:t>14.</w:t>
      </w:r>
      <w:r>
        <w:tab/>
      </w:r>
      <w:r w:rsidRPr="00AF259F">
        <w:t>Consolidated Resolution on the Construction of Vehicles (R.E.3)</w:t>
      </w:r>
      <w:r>
        <w:t>.</w:t>
      </w:r>
    </w:p>
    <w:p w:rsidR="00CD1622" w:rsidRDefault="00CD1622" w:rsidP="00CD1622">
      <w:pPr>
        <w:pStyle w:val="SingleTxtG"/>
        <w:ind w:left="1140"/>
      </w:pPr>
      <w:r>
        <w:t>15.</w:t>
      </w:r>
      <w:r>
        <w:tab/>
        <w:t>Election of Officers.</w:t>
      </w:r>
    </w:p>
    <w:p w:rsidR="00CD1622" w:rsidRDefault="00CD1622" w:rsidP="00CD1622">
      <w:pPr>
        <w:pStyle w:val="SingleTxtG"/>
        <w:ind w:left="1140"/>
      </w:pPr>
      <w:r>
        <w:t>16</w:t>
      </w:r>
      <w:r w:rsidRPr="004D1A62">
        <w:t>.</w:t>
      </w:r>
      <w:r w:rsidRPr="004D1A62">
        <w:tab/>
        <w:t>Other business</w:t>
      </w:r>
      <w:r>
        <w:t>.</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134953">
        <w:t>7</w:t>
      </w:r>
      <w:r w:rsidRPr="00D04985">
        <w:t>/</w:t>
      </w:r>
      <w:r>
        <w:t>1</w:t>
      </w:r>
      <w:r w:rsidR="00BA2784">
        <w:t>3</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6622AB">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4F" w:rsidRDefault="00461E4F" w:rsidP="00461E4F">
    <w:pPr>
      <w:pStyle w:val="Foote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4442460</wp:posOffset>
          </wp:positionH>
          <wp:positionV relativeFrom="margin">
            <wp:posOffset>8253730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461E4F" w:rsidRDefault="00461E4F" w:rsidP="00461E4F">
    <w:pPr>
      <w:pStyle w:val="Footer"/>
      <w:ind w:right="1134"/>
      <w:rPr>
        <w:sz w:val="20"/>
      </w:rP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8037603</wp:posOffset>
          </wp:positionV>
          <wp:extent cx="638175" cy="638175"/>
          <wp:effectExtent l="0" t="0" r="9525" b="9525"/>
          <wp:wrapNone/>
          <wp:docPr id="2" name="Picture 1" descr="https://undocs.org/m2/QRCode.ashx?DS=ECE/TRANS/WP.29/GRSG/2017/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GE.17-11911(E)</w:t>
    </w:r>
  </w:p>
  <w:p w:rsidR="00461E4F" w:rsidRPr="00461E4F" w:rsidRDefault="00461E4F" w:rsidP="00461E4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231F2D" w:rsidRPr="00231F2D" w:rsidRDefault="00231F2D">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UNECE website </w:t>
      </w:r>
      <w:r w:rsidRPr="002F1C46">
        <w:t>(</w:t>
      </w:r>
      <w:r w:rsidR="002F1C46" w:rsidRPr="002F1C46">
        <w:t>https://www2.unece.org/uncdb/app/ext/meeting-registration?id=MLzcLr</w:t>
      </w:r>
      <w:r w:rsidRPr="002F1C46">
        <w:t>).</w:t>
      </w:r>
      <w:r w:rsidRPr="003F5DEC">
        <w:t xml:space="preserve">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pPr>
      <w:pStyle w:val="Header"/>
    </w:pPr>
    <w:r>
      <w:t>ECE/TRANS/WP.29/GRSG/201</w:t>
    </w:r>
    <w:r w:rsidR="00134953">
      <w:t>7</w:t>
    </w:r>
    <w:r>
      <w:t>/1</w:t>
    </w:r>
    <w:r w:rsidR="00BA2784">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44E5"/>
    <w:rsid w:val="001058B4"/>
    <w:rsid w:val="00105A35"/>
    <w:rsid w:val="001103AA"/>
    <w:rsid w:val="0011666B"/>
    <w:rsid w:val="00122CBC"/>
    <w:rsid w:val="00123206"/>
    <w:rsid w:val="00130E03"/>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1F2D"/>
    <w:rsid w:val="0023272E"/>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5F97"/>
    <w:rsid w:val="003E7376"/>
    <w:rsid w:val="003F00E3"/>
    <w:rsid w:val="003F080C"/>
    <w:rsid w:val="003F5DEC"/>
    <w:rsid w:val="003F6BE2"/>
    <w:rsid w:val="003F6FC1"/>
    <w:rsid w:val="004007E0"/>
    <w:rsid w:val="004019C4"/>
    <w:rsid w:val="00403D20"/>
    <w:rsid w:val="0040438C"/>
    <w:rsid w:val="00410C89"/>
    <w:rsid w:val="00420557"/>
    <w:rsid w:val="00422E03"/>
    <w:rsid w:val="00425C32"/>
    <w:rsid w:val="00426B9B"/>
    <w:rsid w:val="004325CB"/>
    <w:rsid w:val="00442A83"/>
    <w:rsid w:val="00443911"/>
    <w:rsid w:val="00454778"/>
    <w:rsid w:val="0045495B"/>
    <w:rsid w:val="004561E5"/>
    <w:rsid w:val="004572AE"/>
    <w:rsid w:val="00461E4F"/>
    <w:rsid w:val="00467FEF"/>
    <w:rsid w:val="00471BD2"/>
    <w:rsid w:val="00475736"/>
    <w:rsid w:val="00477526"/>
    <w:rsid w:val="00477A0D"/>
    <w:rsid w:val="0048237A"/>
    <w:rsid w:val="0048397A"/>
    <w:rsid w:val="0048419F"/>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2AB"/>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34D6"/>
    <w:rsid w:val="007247D3"/>
    <w:rsid w:val="0072632A"/>
    <w:rsid w:val="00731186"/>
    <w:rsid w:val="007327D5"/>
    <w:rsid w:val="00733316"/>
    <w:rsid w:val="00740B09"/>
    <w:rsid w:val="00750B8D"/>
    <w:rsid w:val="00752CF6"/>
    <w:rsid w:val="00757F2F"/>
    <w:rsid w:val="007629C8"/>
    <w:rsid w:val="0077047D"/>
    <w:rsid w:val="00775F7C"/>
    <w:rsid w:val="00790A9A"/>
    <w:rsid w:val="00793B94"/>
    <w:rsid w:val="007A52E6"/>
    <w:rsid w:val="007B0C74"/>
    <w:rsid w:val="007B6BA5"/>
    <w:rsid w:val="007C1AE2"/>
    <w:rsid w:val="007C2E71"/>
    <w:rsid w:val="007C3390"/>
    <w:rsid w:val="007C3B1C"/>
    <w:rsid w:val="007C4F4B"/>
    <w:rsid w:val="007C5A2B"/>
    <w:rsid w:val="007D0567"/>
    <w:rsid w:val="007D1CD2"/>
    <w:rsid w:val="007D1EC2"/>
    <w:rsid w:val="007D7663"/>
    <w:rsid w:val="007E01E9"/>
    <w:rsid w:val="007E3C7D"/>
    <w:rsid w:val="007E63F3"/>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6495"/>
    <w:rsid w:val="00A508DF"/>
    <w:rsid w:val="00A51DCC"/>
    <w:rsid w:val="00A52B68"/>
    <w:rsid w:val="00A6129C"/>
    <w:rsid w:val="00A63AE3"/>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293C"/>
    <w:rsid w:val="00AB01AB"/>
    <w:rsid w:val="00AB10D2"/>
    <w:rsid w:val="00AC1563"/>
    <w:rsid w:val="00AC3244"/>
    <w:rsid w:val="00AC38EE"/>
    <w:rsid w:val="00AC39D5"/>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2966"/>
    <w:rsid w:val="00B8584A"/>
    <w:rsid w:val="00B924F0"/>
    <w:rsid w:val="00BA124B"/>
    <w:rsid w:val="00BA12BA"/>
    <w:rsid w:val="00BA2784"/>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B6AFD"/>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625"/>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9A8D-8960-401B-A4D6-9E470FDB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1711911</vt:lpstr>
    </vt:vector>
  </TitlesOfParts>
  <Company>CSD</Company>
  <LinksUpToDate>false</LinksUpToDate>
  <CharactersWithSpaces>1881</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1711911</dc:title>
  <dc:subject>ECE/TRANS/WP.29/GRSG/2017/13</dc:subject>
  <dc:creator>HUBERT Romain</dc:creator>
  <cp:lastModifiedBy>Benedicte Boudol</cp:lastModifiedBy>
  <cp:revision>2</cp:revision>
  <cp:lastPrinted>2015-07-02T07:46:00Z</cp:lastPrinted>
  <dcterms:created xsi:type="dcterms:W3CDTF">2017-08-15T15:26:00Z</dcterms:created>
  <dcterms:modified xsi:type="dcterms:W3CDTF">2017-08-15T15:26:00Z</dcterms:modified>
</cp:coreProperties>
</file>