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F17B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F17B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F17BF" w:rsidRDefault="00B56E9C" w:rsidP="00BF17B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F17B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B830A4" w:rsidP="00BF17BF">
            <w:pPr>
              <w:jc w:val="right"/>
            </w:pPr>
            <w:r w:rsidRPr="00BF17BF">
              <w:rPr>
                <w:sz w:val="40"/>
              </w:rPr>
              <w:t>ECE</w:t>
            </w:r>
            <w:r w:rsidR="005453D9">
              <w:t>/TRANS/WP.29/GRSP/2017/6</w:t>
            </w:r>
          </w:p>
        </w:tc>
      </w:tr>
      <w:tr w:rsidR="00B56E9C" w:rsidTr="00BF17B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2A2CB0" w:rsidP="00BF17B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F17BF" w:rsidRDefault="00D773DF" w:rsidP="00BF17BF">
            <w:pPr>
              <w:spacing w:before="120" w:line="420" w:lineRule="exact"/>
              <w:rPr>
                <w:sz w:val="40"/>
                <w:szCs w:val="40"/>
              </w:rPr>
            </w:pPr>
            <w:r w:rsidRPr="00BF17B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B830A4" w:rsidP="00BF17BF">
            <w:pPr>
              <w:spacing w:before="240" w:line="240" w:lineRule="exact"/>
            </w:pPr>
            <w:r>
              <w:t>Distr.: General</w:t>
            </w:r>
          </w:p>
          <w:p w:rsidR="00B830A4" w:rsidRDefault="00B74A44" w:rsidP="00BF17BF">
            <w:pPr>
              <w:spacing w:line="240" w:lineRule="exact"/>
            </w:pPr>
            <w:r>
              <w:t>14</w:t>
            </w:r>
            <w:r w:rsidR="00217BA1">
              <w:t xml:space="preserve"> </w:t>
            </w:r>
            <w:r w:rsidR="00CE0FDA">
              <w:t>February 2017</w:t>
            </w:r>
          </w:p>
          <w:p w:rsidR="00B830A4" w:rsidRDefault="00B830A4" w:rsidP="00BF17BF">
            <w:pPr>
              <w:spacing w:line="240" w:lineRule="exact"/>
            </w:pPr>
          </w:p>
          <w:p w:rsidR="00B830A4" w:rsidRDefault="00B830A4" w:rsidP="00BF17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1A6B98" w:rsidRPr="00EA2A77" w:rsidRDefault="001A6B98" w:rsidP="00EA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Passive Safety</w:t>
      </w:r>
    </w:p>
    <w:p w:rsidR="001C3B02" w:rsidRDefault="001C3B02" w:rsidP="001C3B02">
      <w:pPr>
        <w:spacing w:before="120"/>
        <w:rPr>
          <w:b/>
        </w:rPr>
      </w:pPr>
      <w:r>
        <w:rPr>
          <w:b/>
        </w:rPr>
        <w:t>Sixty-first</w:t>
      </w:r>
      <w:r w:rsidRPr="00522F4F">
        <w:rPr>
          <w:b/>
        </w:rPr>
        <w:t xml:space="preserve"> </w:t>
      </w:r>
      <w:r w:rsidRPr="00182290">
        <w:rPr>
          <w:b/>
        </w:rPr>
        <w:t>session</w:t>
      </w:r>
    </w:p>
    <w:p w:rsidR="001C3B02" w:rsidRDefault="001C3B02" w:rsidP="001C3B02">
      <w:r>
        <w:t>Geneva, 8-12 May 2017</w:t>
      </w:r>
    </w:p>
    <w:p w:rsidR="00B53C21" w:rsidRDefault="00915EF6" w:rsidP="00C96DF2">
      <w:r>
        <w:t xml:space="preserve">Item </w:t>
      </w:r>
      <w:r w:rsidR="003A49CB">
        <w:t>7</w:t>
      </w:r>
      <w:r>
        <w:t xml:space="preserve"> of the provisional agenda</w:t>
      </w:r>
    </w:p>
    <w:p w:rsidR="003A49CB" w:rsidRPr="003A49CB" w:rsidRDefault="003A49CB" w:rsidP="00C96DF2">
      <w:pPr>
        <w:rPr>
          <w:b/>
        </w:rPr>
      </w:pPr>
      <w:r w:rsidRPr="003A49CB">
        <w:rPr>
          <w:b/>
        </w:rPr>
        <w:t>Regulation No. 12</w:t>
      </w:r>
      <w:r w:rsidR="006D6E10">
        <w:rPr>
          <w:b/>
        </w:rPr>
        <w:t xml:space="preserve"> (Steering mechanism)</w:t>
      </w:r>
    </w:p>
    <w:p w:rsidR="001A6B98" w:rsidRPr="00183417" w:rsidRDefault="001A6B98" w:rsidP="001A6B98">
      <w:pPr>
        <w:pStyle w:val="HChG"/>
      </w:pPr>
      <w:r w:rsidRPr="0085160C">
        <w:tab/>
      </w:r>
      <w:r w:rsidRPr="0085160C">
        <w:tab/>
      </w:r>
      <w:r w:rsidR="00BB1181">
        <w:t>Draft Supplement 5 to</w:t>
      </w:r>
      <w:r w:rsidR="00C01861">
        <w:t xml:space="preserve"> the 04 series of amendments to</w:t>
      </w:r>
      <w:r w:rsidR="00BB1181">
        <w:t xml:space="preserve"> Regulation No. 12 (Steering mechanism)</w:t>
      </w:r>
    </w:p>
    <w:p w:rsidR="001A6B98" w:rsidRPr="00F71987" w:rsidRDefault="001A6B98" w:rsidP="001A6B98">
      <w:pPr>
        <w:pStyle w:val="H1G"/>
      </w:pPr>
      <w:r w:rsidRPr="0085160C">
        <w:tab/>
      </w:r>
      <w:r w:rsidRPr="0085160C">
        <w:tab/>
      </w:r>
      <w:r w:rsidR="00217BA1">
        <w:t xml:space="preserve">Submitted by the </w:t>
      </w:r>
      <w:r w:rsidR="007173EE">
        <w:t>expert from</w:t>
      </w:r>
      <w:r w:rsidR="00FB27D2">
        <w:t xml:space="preserve"> the </w:t>
      </w:r>
      <w:r w:rsidR="00FB27D2" w:rsidRPr="00595BC2">
        <w:t>Organization of Motor Vehicle Manufacturers (OICA)</w:t>
      </w:r>
      <w:r w:rsidR="00E7762C" w:rsidRPr="00B74A44">
        <w:rPr>
          <w:rStyle w:val="FootnoteReference"/>
          <w:sz w:val="20"/>
        </w:rPr>
        <w:footnoteReference w:customMarkFollows="1" w:id="2"/>
        <w:t>*</w:t>
      </w:r>
    </w:p>
    <w:p w:rsidR="001A6B98" w:rsidRPr="0085160C" w:rsidRDefault="00FD7FC5" w:rsidP="001A6B98">
      <w:pPr>
        <w:pStyle w:val="SingleTxtG"/>
        <w:ind w:firstLine="567"/>
      </w:pPr>
      <w:r>
        <w:rPr>
          <w:snapToGrid w:val="0"/>
        </w:rPr>
        <w:t xml:space="preserve">The text reproduced below was </w:t>
      </w:r>
      <w:r w:rsidR="00CE0FDA">
        <w:rPr>
          <w:snapToGrid w:val="0"/>
        </w:rPr>
        <w:t>prepared by the expert</w:t>
      </w:r>
      <w:r w:rsidR="007173EE">
        <w:rPr>
          <w:snapToGrid w:val="0"/>
        </w:rPr>
        <w:t xml:space="preserve"> from</w:t>
      </w:r>
      <w:r w:rsidR="00BC4F54">
        <w:rPr>
          <w:snapToGrid w:val="0"/>
        </w:rPr>
        <w:t xml:space="preserve"> </w:t>
      </w:r>
      <w:r w:rsidR="00FB27D2">
        <w:rPr>
          <w:snapToGrid w:val="0"/>
        </w:rPr>
        <w:t xml:space="preserve">the </w:t>
      </w:r>
      <w:r w:rsidR="00FB27D2" w:rsidRPr="00595BC2">
        <w:t>Organization of Motor Vehicle Manufacturers (OICA)</w:t>
      </w:r>
      <w:r w:rsidR="00A94A76">
        <w:t xml:space="preserve"> to allow </w:t>
      </w:r>
      <w:r w:rsidR="006D6E10">
        <w:t xml:space="preserve">for the </w:t>
      </w:r>
      <w:r w:rsidR="00A94A76">
        <w:rPr>
          <w:lang w:eastAsia="ja-JP"/>
        </w:rPr>
        <w:t xml:space="preserve">"full width rigid barrier test" according </w:t>
      </w:r>
      <w:r w:rsidR="00A94A76">
        <w:rPr>
          <w:bCs/>
          <w:lang w:eastAsia="ja-JP"/>
        </w:rPr>
        <w:t>to Regulation No. 137</w:t>
      </w:r>
      <w:r w:rsidR="00A94A76" w:rsidRPr="002633DE">
        <w:rPr>
          <w:bCs/>
          <w:lang w:eastAsia="ja-JP"/>
        </w:rPr>
        <w:t xml:space="preserve"> </w:t>
      </w:r>
      <w:r w:rsidR="00A94A76">
        <w:rPr>
          <w:bCs/>
          <w:lang w:eastAsia="ja-JP"/>
        </w:rPr>
        <w:t xml:space="preserve">as an alternative </w:t>
      </w:r>
      <w:r w:rsidR="00A94A76" w:rsidRPr="002633DE">
        <w:rPr>
          <w:bCs/>
          <w:lang w:eastAsia="ja-JP"/>
        </w:rPr>
        <w:t>in order to avoid redundancy of testing</w:t>
      </w:r>
      <w:r w:rsidR="00944646">
        <w:rPr>
          <w:iCs/>
        </w:rPr>
        <w:t>.</w:t>
      </w:r>
      <w:r w:rsidR="00841F2F">
        <w:rPr>
          <w:iCs/>
        </w:rPr>
        <w:t xml:space="preserve"> </w:t>
      </w:r>
      <w:r>
        <w:rPr>
          <w:iCs/>
        </w:rPr>
        <w:t xml:space="preserve"> It is based on </w:t>
      </w:r>
      <w:r w:rsidR="00BC4F54">
        <w:rPr>
          <w:iCs/>
        </w:rPr>
        <w:t>GRSP-60-07</w:t>
      </w:r>
      <w:r w:rsidR="00217BA1">
        <w:rPr>
          <w:iCs/>
        </w:rPr>
        <w:t xml:space="preserve"> which was</w:t>
      </w:r>
      <w:r>
        <w:rPr>
          <w:iCs/>
        </w:rPr>
        <w:t xml:space="preserve"> distributed without </w:t>
      </w:r>
      <w:r w:rsidR="00217BA1">
        <w:rPr>
          <w:iCs/>
        </w:rPr>
        <w:t xml:space="preserve">a </w:t>
      </w:r>
      <w:r w:rsidR="00841F2F">
        <w:rPr>
          <w:iCs/>
        </w:rPr>
        <w:t>symbol at the sixtieth</w:t>
      </w:r>
      <w:r>
        <w:rPr>
          <w:iCs/>
        </w:rPr>
        <w:t xml:space="preserve"> session of the Working Party on Passive Safety (GRSP) (EC</w:t>
      </w:r>
      <w:r w:rsidR="007173EE">
        <w:rPr>
          <w:iCs/>
        </w:rPr>
        <w:t>E/TRANS</w:t>
      </w:r>
      <w:r w:rsidR="00A94A76">
        <w:rPr>
          <w:iCs/>
        </w:rPr>
        <w:t>/WP.29/GRSP/60, para. 52</w:t>
      </w:r>
      <w:r>
        <w:rPr>
          <w:iCs/>
        </w:rPr>
        <w:t xml:space="preserve">). </w:t>
      </w:r>
      <w:r>
        <w:t>The m</w:t>
      </w:r>
      <w:r w:rsidR="007173EE">
        <w:t>odifications to the text of</w:t>
      </w:r>
      <w:r w:rsidR="00B84E10">
        <w:t xml:space="preserve"> </w:t>
      </w:r>
      <w:r w:rsidR="00A94A76">
        <w:t>Regulation No. 12</w:t>
      </w:r>
      <w:r w:rsidR="00BC4F54">
        <w:t xml:space="preserve"> and </w:t>
      </w:r>
      <w:r>
        <w:t>are marked in bold for new characters</w:t>
      </w:r>
      <w:r w:rsidR="00FC13D4">
        <w:t xml:space="preserve"> or strikethrough for deleted characters</w:t>
      </w:r>
      <w:r>
        <w:t>.</w:t>
      </w:r>
    </w:p>
    <w:p w:rsidR="00FB27D2" w:rsidRDefault="004F0807" w:rsidP="00FB27D2">
      <w:pPr>
        <w:pStyle w:val="HChG"/>
        <w:rPr>
          <w:snapToGrid w:val="0"/>
          <w:lang w:eastAsia="ja-JP"/>
        </w:rPr>
      </w:pPr>
      <w:r>
        <w:rPr>
          <w:b w:val="0"/>
        </w:rPr>
        <w:br w:type="page"/>
      </w:r>
      <w:r w:rsidR="00FB27D2" w:rsidRPr="004A1237">
        <w:rPr>
          <w:snapToGrid w:val="0"/>
          <w:lang w:eastAsia="ja-JP"/>
        </w:rPr>
        <w:lastRenderedPageBreak/>
        <w:tab/>
        <w:t>I.</w:t>
      </w:r>
      <w:r w:rsidR="00FB27D2" w:rsidRPr="004A1237">
        <w:rPr>
          <w:snapToGrid w:val="0"/>
          <w:lang w:eastAsia="ja-JP"/>
        </w:rPr>
        <w:tab/>
        <w:t>Proposal</w:t>
      </w:r>
      <w:r w:rsidR="00FB27D2">
        <w:rPr>
          <w:snapToGrid w:val="0"/>
          <w:lang w:eastAsia="ja-JP"/>
        </w:rPr>
        <w:t xml:space="preserve"> </w:t>
      </w:r>
    </w:p>
    <w:p w:rsidR="00FB27D2" w:rsidRPr="00773C01" w:rsidRDefault="00FB27D2" w:rsidP="00FB27D2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Paragraph</w:t>
      </w:r>
      <w:r w:rsidR="004F0807">
        <w:rPr>
          <w:i/>
          <w:lang w:val="en-US"/>
        </w:rPr>
        <w:t>s</w:t>
      </w:r>
      <w:r>
        <w:rPr>
          <w:i/>
          <w:lang w:val="en-US"/>
        </w:rPr>
        <w:t xml:space="preserve"> 3.1.2.6. and 3.1.2.7., </w:t>
      </w:r>
      <w:r w:rsidRPr="0072767F">
        <w:rPr>
          <w:lang w:val="en-US"/>
        </w:rPr>
        <w:t>amend to read:</w:t>
      </w:r>
    </w:p>
    <w:p w:rsidR="00FB27D2" w:rsidRPr="00773C01" w:rsidRDefault="00FB27D2" w:rsidP="00FB27D2">
      <w:pPr>
        <w:pStyle w:val="SingleTxtG"/>
        <w:ind w:left="2268" w:hanging="1134"/>
      </w:pPr>
      <w:r>
        <w:t>"</w:t>
      </w:r>
      <w:r w:rsidRPr="00773C01">
        <w:t>3.1.2.6.</w:t>
      </w:r>
      <w:r>
        <w:tab/>
      </w:r>
      <w:r w:rsidR="00C93AE3">
        <w:t>E</w:t>
      </w:r>
      <w:r w:rsidRPr="00773C01">
        <w:t>vidence that the steering mechanism complies with the specifications of paragraph 5.2.2. of</w:t>
      </w:r>
      <w:r>
        <w:t xml:space="preserve"> </w:t>
      </w:r>
      <w:r w:rsidRPr="00773C01">
        <w:t xml:space="preserve">Regulation No. 94 </w:t>
      </w:r>
      <w:r w:rsidRPr="006761E7">
        <w:rPr>
          <w:b/>
        </w:rPr>
        <w:t>or with the specifications of paragraph 5.2.2.1. of Regulation No. 137</w:t>
      </w:r>
      <w:r>
        <w:t xml:space="preserve"> </w:t>
      </w:r>
      <w:r w:rsidRPr="00773C01">
        <w:t>if the application for approval is submitted by the applicant pursuant</w:t>
      </w:r>
      <w:r>
        <w:t xml:space="preserve"> </w:t>
      </w:r>
      <w:r w:rsidRPr="00773C01">
        <w:t>paragraph 5.1.2. below.</w:t>
      </w:r>
    </w:p>
    <w:p w:rsidR="00FB27D2" w:rsidRPr="00773C01" w:rsidRDefault="00FB27D2" w:rsidP="00FB27D2">
      <w:pPr>
        <w:pStyle w:val="SingleTxtG"/>
        <w:ind w:left="2268" w:hanging="1134"/>
      </w:pPr>
      <w:r w:rsidRPr="00773C01">
        <w:t xml:space="preserve">3.1.2.7. </w:t>
      </w:r>
      <w:r>
        <w:tab/>
      </w:r>
      <w:r w:rsidR="00C93AE3">
        <w:t>E</w:t>
      </w:r>
      <w:r w:rsidRPr="00773C01">
        <w:t>vidence that the steering control complies with the specifications of paragraphs 5.2.1.4. and</w:t>
      </w:r>
      <w:r>
        <w:t xml:space="preserve"> </w:t>
      </w:r>
      <w:r w:rsidRPr="00773C01">
        <w:t xml:space="preserve">5.2.1.5. of Regulation No. 94 </w:t>
      </w:r>
      <w:r w:rsidRPr="00773C01">
        <w:rPr>
          <w:b/>
        </w:rPr>
        <w:t>or with the specifications of paragraph</w:t>
      </w:r>
      <w:r w:rsidR="004F0807">
        <w:rPr>
          <w:b/>
        </w:rPr>
        <w:t>s</w:t>
      </w:r>
      <w:r w:rsidRPr="00773C01">
        <w:rPr>
          <w:rFonts w:hint="eastAsia"/>
          <w:b/>
        </w:rPr>
        <w:t xml:space="preserve"> </w:t>
      </w:r>
      <w:r w:rsidRPr="00773C01">
        <w:rPr>
          <w:b/>
        </w:rPr>
        <w:t>5.2.1.</w:t>
      </w:r>
      <w:r w:rsidRPr="00773C01">
        <w:rPr>
          <w:rFonts w:hint="eastAsia"/>
          <w:b/>
        </w:rPr>
        <w:t>1.3</w:t>
      </w:r>
      <w:r w:rsidRPr="00773C01">
        <w:rPr>
          <w:b/>
        </w:rPr>
        <w:t>. and 5.2.1.</w:t>
      </w:r>
      <w:r w:rsidRPr="00773C01">
        <w:rPr>
          <w:rFonts w:hint="eastAsia"/>
          <w:b/>
        </w:rPr>
        <w:t>1.4</w:t>
      </w:r>
      <w:r w:rsidRPr="00773C01">
        <w:rPr>
          <w:b/>
        </w:rPr>
        <w:t>.</w:t>
      </w:r>
      <w:r w:rsidR="004F0807">
        <w:rPr>
          <w:b/>
        </w:rPr>
        <w:t xml:space="preserve"> of Regulation No. </w:t>
      </w:r>
      <w:r w:rsidRPr="00773C01">
        <w:rPr>
          <w:b/>
        </w:rPr>
        <w:t>137</w:t>
      </w:r>
      <w:r>
        <w:rPr>
          <w:b/>
        </w:rPr>
        <w:t xml:space="preserve"> </w:t>
      </w:r>
      <w:r w:rsidRPr="00773C01">
        <w:t>if the application for approval is submitted by the applicant</w:t>
      </w:r>
      <w:r>
        <w:t xml:space="preserve"> </w:t>
      </w:r>
      <w:r w:rsidRPr="00773C01">
        <w:t>pursuant paragraph 5.2.1. below.</w:t>
      </w:r>
      <w:r>
        <w:t>"</w:t>
      </w:r>
    </w:p>
    <w:p w:rsidR="00FB27D2" w:rsidRPr="005B56BE" w:rsidRDefault="00FB27D2" w:rsidP="00FB27D2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Paragraph 3.2.2.3</w:t>
      </w:r>
      <w:r w:rsidR="00342933">
        <w:rPr>
          <w:i/>
          <w:lang w:val="en-US"/>
        </w:rPr>
        <w:t>.</w:t>
      </w:r>
      <w:r>
        <w:rPr>
          <w:i/>
          <w:lang w:val="en-US"/>
        </w:rPr>
        <w:t xml:space="preserve">, </w:t>
      </w:r>
      <w:r w:rsidRPr="0072767F">
        <w:rPr>
          <w:lang w:val="en-US"/>
        </w:rPr>
        <w:t>amend to read:</w:t>
      </w:r>
    </w:p>
    <w:p w:rsidR="00FB27D2" w:rsidRPr="00772F12" w:rsidRDefault="00FB27D2" w:rsidP="00FB27D2">
      <w:pPr>
        <w:pStyle w:val="SingleTxtG"/>
        <w:ind w:left="2268" w:hanging="1134"/>
      </w:pPr>
      <w:r>
        <w:t>"</w:t>
      </w:r>
      <w:r w:rsidRPr="00772F12">
        <w:t xml:space="preserve">3.2.2.3. </w:t>
      </w:r>
      <w:r>
        <w:tab/>
      </w:r>
      <w:r w:rsidR="00C93AE3">
        <w:t>E</w:t>
      </w:r>
      <w:r w:rsidRPr="00772F12">
        <w:t>vidence that the steering control complies with the specifications of paragraphs 5.2.1.4. and</w:t>
      </w:r>
      <w:r>
        <w:t xml:space="preserve"> </w:t>
      </w:r>
      <w:r w:rsidR="004F0807">
        <w:t>5.2.1.5. of Regulation No. </w:t>
      </w:r>
      <w:r w:rsidRPr="00772F12">
        <w:t>94</w:t>
      </w:r>
      <w:r>
        <w:t xml:space="preserve"> </w:t>
      </w:r>
      <w:r w:rsidRPr="00773C01">
        <w:rPr>
          <w:b/>
        </w:rPr>
        <w:t>or with the specifications of paragraph</w:t>
      </w:r>
      <w:r w:rsidR="004F0807">
        <w:rPr>
          <w:b/>
        </w:rPr>
        <w:t>s</w:t>
      </w:r>
      <w:r w:rsidRPr="00773C01">
        <w:rPr>
          <w:rFonts w:hint="eastAsia"/>
          <w:b/>
        </w:rPr>
        <w:t xml:space="preserve"> </w:t>
      </w:r>
      <w:r w:rsidRPr="00773C01">
        <w:rPr>
          <w:b/>
        </w:rPr>
        <w:t>5.2.1.</w:t>
      </w:r>
      <w:r w:rsidRPr="00773C01">
        <w:rPr>
          <w:rFonts w:hint="eastAsia"/>
          <w:b/>
        </w:rPr>
        <w:t>1.3</w:t>
      </w:r>
      <w:r w:rsidRPr="00773C01">
        <w:rPr>
          <w:b/>
        </w:rPr>
        <w:t>. and 5.2.1.</w:t>
      </w:r>
      <w:r w:rsidRPr="00773C01">
        <w:rPr>
          <w:rFonts w:hint="eastAsia"/>
          <w:b/>
        </w:rPr>
        <w:t>1.4</w:t>
      </w:r>
      <w:r w:rsidRPr="00773C01">
        <w:rPr>
          <w:b/>
        </w:rPr>
        <w:t>.</w:t>
      </w:r>
      <w:r w:rsidR="004F0807">
        <w:rPr>
          <w:b/>
        </w:rPr>
        <w:t xml:space="preserve"> of Regulation No. </w:t>
      </w:r>
      <w:r w:rsidRPr="00773C01">
        <w:rPr>
          <w:b/>
        </w:rPr>
        <w:t>137</w:t>
      </w:r>
      <w:r w:rsidRPr="00772F12">
        <w:t>, if the application for approval is submitted by the applicant</w:t>
      </w:r>
      <w:r>
        <w:t xml:space="preserve"> </w:t>
      </w:r>
      <w:r w:rsidRPr="00772F12">
        <w:t>pursuant paragraph 5.2.1. below.</w:t>
      </w:r>
      <w:r>
        <w:t>"</w:t>
      </w:r>
    </w:p>
    <w:p w:rsidR="00FB27D2" w:rsidRPr="005B56BE" w:rsidRDefault="00FB27D2" w:rsidP="00FB27D2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Paragraph 4.3.4.3</w:t>
      </w:r>
      <w:r w:rsidR="00C93AE3">
        <w:rPr>
          <w:i/>
          <w:lang w:val="en-US"/>
        </w:rPr>
        <w:t>.</w:t>
      </w:r>
      <w:r>
        <w:rPr>
          <w:i/>
          <w:lang w:val="en-US"/>
        </w:rPr>
        <w:t xml:space="preserve">, </w:t>
      </w:r>
      <w:r w:rsidRPr="0072767F">
        <w:rPr>
          <w:lang w:val="en-US"/>
        </w:rPr>
        <w:t>amend to read:</w:t>
      </w:r>
    </w:p>
    <w:p w:rsidR="00FB27D2" w:rsidRPr="00772F12" w:rsidRDefault="004F0807" w:rsidP="00FB27D2">
      <w:pPr>
        <w:pStyle w:val="SingleTxtG"/>
        <w:ind w:left="2268" w:hanging="1134"/>
      </w:pPr>
      <w:r>
        <w:t>"</w:t>
      </w:r>
      <w:r w:rsidR="00FB27D2" w:rsidRPr="00772F12">
        <w:t>4.3.4.3</w:t>
      </w:r>
      <w:r w:rsidR="00C93AE3">
        <w:t>.</w:t>
      </w:r>
      <w:r w:rsidR="00FB27D2">
        <w:tab/>
      </w:r>
      <w:r w:rsidR="00C93AE3">
        <w:t>T</w:t>
      </w:r>
      <w:r w:rsidR="00FB27D2" w:rsidRPr="00772F12">
        <w:t>he symbol R94-02</w:t>
      </w:r>
      <w:r w:rsidR="00FB27D2">
        <w:t xml:space="preserve"> </w:t>
      </w:r>
      <w:r w:rsidR="00FB27D2" w:rsidRPr="005B56BE">
        <w:rPr>
          <w:b/>
        </w:rPr>
        <w:t>or R137</w:t>
      </w:r>
      <w:r w:rsidR="00FB27D2" w:rsidRPr="00772F12">
        <w:t xml:space="preserve"> in the case of an approval pursuant paragraph 5.2.1. below.</w:t>
      </w:r>
      <w:r>
        <w:t>"</w:t>
      </w:r>
    </w:p>
    <w:p w:rsidR="00FB27D2" w:rsidRDefault="00FB27D2" w:rsidP="00FB27D2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 xml:space="preserve">Paragraph 5.1.2., </w:t>
      </w:r>
      <w:r w:rsidRPr="0072767F">
        <w:rPr>
          <w:lang w:val="en-US"/>
        </w:rPr>
        <w:t>amend to read:</w:t>
      </w:r>
    </w:p>
    <w:p w:rsidR="00FB27D2" w:rsidRPr="004F0807" w:rsidRDefault="00FB27D2" w:rsidP="00FB27D2">
      <w:pPr>
        <w:pStyle w:val="SingleTxtG"/>
        <w:ind w:left="2268" w:hanging="1134"/>
      </w:pPr>
      <w:r>
        <w:t>"5.1.2.</w:t>
      </w:r>
      <w:r w:rsidRPr="00092CB0">
        <w:tab/>
      </w:r>
      <w:r>
        <w:t xml:space="preserve">… complies with the specifications of paragraph 5.2.2. of Regulation No. 94 </w:t>
      </w:r>
      <w:r w:rsidRPr="006761E7">
        <w:rPr>
          <w:b/>
        </w:rPr>
        <w:t>or with the specifications of paragraph 5.2.2.1. of Regulation No. 137</w:t>
      </w:r>
      <w:r w:rsidR="004F0807">
        <w:t>."</w:t>
      </w:r>
    </w:p>
    <w:p w:rsidR="00FB27D2" w:rsidRPr="00773C01" w:rsidRDefault="00FB27D2" w:rsidP="00FB27D2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 xml:space="preserve">Paragraph 5.2.1., </w:t>
      </w:r>
      <w:r w:rsidRPr="0072767F">
        <w:rPr>
          <w:lang w:val="en-US"/>
        </w:rPr>
        <w:t>amend to read:</w:t>
      </w:r>
    </w:p>
    <w:p w:rsidR="00FB27D2" w:rsidRPr="00025077" w:rsidRDefault="00FB27D2" w:rsidP="00FB27D2">
      <w:pPr>
        <w:pStyle w:val="SingleTxtG"/>
        <w:ind w:left="2268" w:hanging="1134"/>
      </w:pPr>
      <w:r>
        <w:t>"</w:t>
      </w:r>
      <w:r>
        <w:rPr>
          <w:rFonts w:hint="eastAsia"/>
        </w:rPr>
        <w:t>5.2.1.</w:t>
      </w:r>
      <w:r>
        <w:t xml:space="preserve"> </w:t>
      </w:r>
      <w:r>
        <w:tab/>
      </w:r>
      <w:r>
        <w:rPr>
          <w:rFonts w:hint="eastAsia"/>
        </w:rPr>
        <w:t>If the steering control is fitted with a steering wheel airbag, specifications of paragraph</w:t>
      </w:r>
      <w:r>
        <w:t xml:space="preserve"> </w:t>
      </w:r>
      <w:r>
        <w:rPr>
          <w:rFonts w:hint="eastAsia"/>
        </w:rPr>
        <w:t>5.2. above are deemed to be met if the vehicle equipped with such a steering system</w:t>
      </w:r>
      <w:r>
        <w:t xml:space="preserve"> </w:t>
      </w:r>
      <w:r>
        <w:rPr>
          <w:rFonts w:hint="eastAsia"/>
        </w:rPr>
        <w:t>complies with the specifications of paragraphs 5.2.1.4. and 5.2.1.5. of Regulation No.</w:t>
      </w:r>
      <w:r w:rsidR="00A25B9E">
        <w:t> </w:t>
      </w:r>
      <w:r>
        <w:rPr>
          <w:rFonts w:hint="eastAsia"/>
        </w:rPr>
        <w:t>94</w:t>
      </w:r>
      <w:r>
        <w:t xml:space="preserve"> </w:t>
      </w:r>
      <w:r w:rsidRPr="00773C01">
        <w:rPr>
          <w:b/>
        </w:rPr>
        <w:t>or with the specifications of paragraph</w:t>
      </w:r>
      <w:r w:rsidR="004F0807">
        <w:rPr>
          <w:b/>
        </w:rPr>
        <w:t>s</w:t>
      </w:r>
      <w:r w:rsidR="00A25B9E">
        <w:rPr>
          <w:b/>
        </w:rPr>
        <w:t> </w:t>
      </w:r>
      <w:r w:rsidRPr="00773C01">
        <w:rPr>
          <w:b/>
        </w:rPr>
        <w:t>5.2.1.</w:t>
      </w:r>
      <w:r w:rsidRPr="00773C01">
        <w:rPr>
          <w:rFonts w:hint="eastAsia"/>
          <w:b/>
        </w:rPr>
        <w:t>1.3</w:t>
      </w:r>
      <w:r w:rsidR="00A25B9E">
        <w:rPr>
          <w:b/>
        </w:rPr>
        <w:t>. and </w:t>
      </w:r>
      <w:r w:rsidRPr="00773C01">
        <w:rPr>
          <w:b/>
        </w:rPr>
        <w:t>5.2.1.</w:t>
      </w:r>
      <w:r w:rsidRPr="00773C01">
        <w:rPr>
          <w:rFonts w:hint="eastAsia"/>
          <w:b/>
        </w:rPr>
        <w:t>1.4</w:t>
      </w:r>
      <w:r w:rsidRPr="00773C01">
        <w:rPr>
          <w:b/>
        </w:rPr>
        <w:t>.</w:t>
      </w:r>
      <w:r w:rsidR="00A25B9E">
        <w:rPr>
          <w:b/>
        </w:rPr>
        <w:t xml:space="preserve"> </w:t>
      </w:r>
      <w:r w:rsidRPr="00773C01">
        <w:rPr>
          <w:b/>
        </w:rPr>
        <w:t>of Regulation No. 137</w:t>
      </w:r>
      <w:r w:rsidRPr="00773C01">
        <w:t>.</w:t>
      </w:r>
      <w:r>
        <w:t>"</w:t>
      </w:r>
    </w:p>
    <w:p w:rsidR="00FB27D2" w:rsidRPr="00773C01" w:rsidRDefault="00FB27D2" w:rsidP="00FB27D2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 xml:space="preserve">Paragraph 5.6., </w:t>
      </w:r>
      <w:r w:rsidRPr="0072767F">
        <w:rPr>
          <w:lang w:val="en-US"/>
        </w:rPr>
        <w:t>amend to read:</w:t>
      </w:r>
    </w:p>
    <w:p w:rsidR="00FB27D2" w:rsidRPr="004F0807" w:rsidRDefault="00FB27D2" w:rsidP="00FB27D2">
      <w:pPr>
        <w:pStyle w:val="SingleTxtG"/>
        <w:ind w:left="2268" w:hanging="1134"/>
      </w:pPr>
      <w:r>
        <w:t>"</w:t>
      </w:r>
      <w:r w:rsidRPr="00CB2073">
        <w:t xml:space="preserve">5.6. </w:t>
      </w:r>
      <w:r>
        <w:tab/>
      </w:r>
      <w:r w:rsidRPr="00CB2073">
        <w:t>Specifications of paragraphs 5.5. to 5.5.3. above are deemed to be met if the vehicle equipped</w:t>
      </w:r>
      <w:r>
        <w:t xml:space="preserve"> </w:t>
      </w:r>
      <w:r w:rsidRPr="00CB2073">
        <w:t>with an electrical power train operating on high voltage complies with the specifications of</w:t>
      </w:r>
      <w:r>
        <w:t xml:space="preserve"> </w:t>
      </w:r>
      <w:r w:rsidRPr="00CB2073">
        <w:t xml:space="preserve">paragraphs 5.2.8. to 5.2.8.3. of Regulation No. 94, 02 series of amendments </w:t>
      </w:r>
      <w:r w:rsidRPr="00CB2073">
        <w:rPr>
          <w:b/>
        </w:rPr>
        <w:t xml:space="preserve">or </w:t>
      </w:r>
      <w:r>
        <w:rPr>
          <w:b/>
        </w:rPr>
        <w:t xml:space="preserve">with the specifications of paragraphs 5.2.8. to 5.2.8.3 </w:t>
      </w:r>
      <w:r w:rsidR="004F0807">
        <w:rPr>
          <w:b/>
        </w:rPr>
        <w:t>of Regulation No</w:t>
      </w:r>
      <w:r w:rsidR="00A25B9E">
        <w:rPr>
          <w:b/>
        </w:rPr>
        <w:t>. </w:t>
      </w:r>
      <w:r w:rsidRPr="00CB2073">
        <w:rPr>
          <w:b/>
        </w:rPr>
        <w:t>137</w:t>
      </w:r>
      <w:r w:rsidR="004F0807">
        <w:rPr>
          <w:b/>
        </w:rPr>
        <w:t>.</w:t>
      </w:r>
      <w:r w:rsidRPr="004F0807">
        <w:t>"</w:t>
      </w:r>
    </w:p>
    <w:p w:rsidR="00FB27D2" w:rsidRDefault="00FB27D2" w:rsidP="00FB27D2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Pr="004A1237">
        <w:rPr>
          <w:snapToGrid w:val="0"/>
          <w:lang w:eastAsia="ja-JP"/>
        </w:rPr>
        <w:t>I</w:t>
      </w:r>
      <w:r>
        <w:rPr>
          <w:snapToGrid w:val="0"/>
          <w:lang w:eastAsia="ja-JP"/>
        </w:rPr>
        <w:t>I.</w:t>
      </w:r>
      <w:r>
        <w:rPr>
          <w:snapToGrid w:val="0"/>
          <w:lang w:eastAsia="ja-JP"/>
        </w:rPr>
        <w:tab/>
        <w:t>Justification</w:t>
      </w:r>
    </w:p>
    <w:p w:rsidR="00FB27D2" w:rsidRPr="002633DE" w:rsidRDefault="004F0807" w:rsidP="00FB27D2">
      <w:pPr>
        <w:pStyle w:val="para"/>
        <w:ind w:left="1134" w:firstLine="0"/>
        <w:rPr>
          <w:lang w:eastAsia="ja-JP"/>
        </w:rPr>
      </w:pPr>
      <w:r>
        <w:rPr>
          <w:bCs/>
          <w:lang w:eastAsia="ja-JP"/>
        </w:rPr>
        <w:t>1.</w:t>
      </w:r>
      <w:r>
        <w:rPr>
          <w:bCs/>
          <w:lang w:eastAsia="ja-JP"/>
        </w:rPr>
        <w:tab/>
      </w:r>
      <w:r w:rsidR="00FB27D2" w:rsidRPr="002633DE">
        <w:rPr>
          <w:bCs/>
          <w:lang w:eastAsia="ja-JP"/>
        </w:rPr>
        <w:t>Several requirements of Regulation No.</w:t>
      </w:r>
      <w:r>
        <w:rPr>
          <w:bCs/>
          <w:lang w:eastAsia="ja-JP"/>
        </w:rPr>
        <w:t xml:space="preserve"> </w:t>
      </w:r>
      <w:r w:rsidR="006D6E10">
        <w:rPr>
          <w:bCs/>
          <w:lang w:eastAsia="ja-JP"/>
        </w:rPr>
        <w:t>12 allow</w:t>
      </w:r>
      <w:r w:rsidR="00FB27D2" w:rsidRPr="002633DE">
        <w:rPr>
          <w:bCs/>
          <w:lang w:eastAsia="ja-JP"/>
        </w:rPr>
        <w:t xml:space="preserve"> the alternative requirements of Regulation No.</w:t>
      </w:r>
      <w:r>
        <w:rPr>
          <w:bCs/>
          <w:lang w:eastAsia="ja-JP"/>
        </w:rPr>
        <w:t xml:space="preserve"> </w:t>
      </w:r>
      <w:r w:rsidR="00FB27D2" w:rsidRPr="002633DE">
        <w:rPr>
          <w:bCs/>
          <w:lang w:eastAsia="ja-JP"/>
        </w:rPr>
        <w:t>94 in order t</w:t>
      </w:r>
      <w:r>
        <w:rPr>
          <w:bCs/>
          <w:lang w:eastAsia="ja-JP"/>
        </w:rPr>
        <w:t>o avoid redundancy of testing. </w:t>
      </w:r>
      <w:r w:rsidR="00FB27D2" w:rsidRPr="002633DE">
        <w:rPr>
          <w:bCs/>
          <w:lang w:eastAsia="ja-JP"/>
        </w:rPr>
        <w:t>As an example, i</w:t>
      </w:r>
      <w:r w:rsidR="00A25B9E">
        <w:rPr>
          <w:lang w:eastAsia="ja-JP"/>
        </w:rPr>
        <w:t>n paragraph </w:t>
      </w:r>
      <w:r w:rsidR="00FB27D2" w:rsidRPr="002633DE">
        <w:rPr>
          <w:lang w:eastAsia="ja-JP"/>
        </w:rPr>
        <w:t>5.1.2. of Regulation No. 12 (frontal crash without dummies), the compliance with Regulation No. 94 for the steering wheel displacement is defined as an al</w:t>
      </w:r>
      <w:r>
        <w:rPr>
          <w:lang w:eastAsia="ja-JP"/>
        </w:rPr>
        <w:t>ternative to the requirements. </w:t>
      </w:r>
      <w:r w:rsidR="00FB27D2" w:rsidRPr="002633DE">
        <w:rPr>
          <w:lang w:eastAsia="ja-JP"/>
        </w:rPr>
        <w:t xml:space="preserve">OICA proposes to expand paragraph 5.1.2. </w:t>
      </w:r>
      <w:r w:rsidR="00FB27D2" w:rsidRPr="002633DE">
        <w:rPr>
          <w:bCs/>
          <w:lang w:eastAsia="ja-JP"/>
        </w:rPr>
        <w:t xml:space="preserve">and others </w:t>
      </w:r>
      <w:r w:rsidR="00A25B9E">
        <w:rPr>
          <w:lang w:eastAsia="ja-JP"/>
        </w:rPr>
        <w:t>of Regulation No. </w:t>
      </w:r>
      <w:r w:rsidR="00FB27D2" w:rsidRPr="002633DE">
        <w:rPr>
          <w:lang w:eastAsia="ja-JP"/>
        </w:rPr>
        <w:t>12 to the equivalent specification of Regulation No. 137 (frontal collision, 50 km/h).</w:t>
      </w:r>
    </w:p>
    <w:p w:rsidR="00FB27D2" w:rsidRDefault="004F0807" w:rsidP="00FB27D2">
      <w:pPr>
        <w:pStyle w:val="para"/>
        <w:ind w:left="1134" w:firstLine="0"/>
        <w:rPr>
          <w:bCs/>
          <w:lang w:eastAsia="ja-JP"/>
        </w:rPr>
      </w:pPr>
      <w:r>
        <w:rPr>
          <w:lang w:eastAsia="ja-JP"/>
        </w:rPr>
        <w:lastRenderedPageBreak/>
        <w:t>2.</w:t>
      </w:r>
      <w:r>
        <w:rPr>
          <w:lang w:eastAsia="ja-JP"/>
        </w:rPr>
        <w:tab/>
      </w:r>
      <w:r w:rsidR="00FB27D2" w:rsidRPr="002633DE">
        <w:rPr>
          <w:lang w:eastAsia="ja-JP"/>
        </w:rPr>
        <w:t xml:space="preserve">The </w:t>
      </w:r>
      <w:r w:rsidR="00FB27D2">
        <w:rPr>
          <w:lang w:eastAsia="ja-JP"/>
        </w:rPr>
        <w:t>"</w:t>
      </w:r>
      <w:r w:rsidR="00FB27D2" w:rsidRPr="002633DE">
        <w:rPr>
          <w:lang w:eastAsia="ja-JP"/>
        </w:rPr>
        <w:t>full width rigid barrier test</w:t>
      </w:r>
      <w:r w:rsidR="00FB27D2">
        <w:rPr>
          <w:lang w:eastAsia="ja-JP"/>
        </w:rPr>
        <w:t>"</w:t>
      </w:r>
      <w:r w:rsidR="00FB27D2" w:rsidRPr="002633DE">
        <w:rPr>
          <w:lang w:eastAsia="ja-JP"/>
        </w:rPr>
        <w:t xml:space="preserve"> of Regulation No. 137 is also a high-speed frontal crash test (50 km/h) with requirements </w:t>
      </w:r>
      <w:r w:rsidR="00FB27D2" w:rsidRPr="002633DE">
        <w:rPr>
          <w:bCs/>
          <w:lang w:eastAsia="ja-JP"/>
        </w:rPr>
        <w:t>for several items equally addressed by Regulation No.12.</w:t>
      </w:r>
    </w:p>
    <w:p w:rsidR="00FB27D2" w:rsidRDefault="004F0807" w:rsidP="00FB27D2">
      <w:pPr>
        <w:pStyle w:val="para"/>
        <w:ind w:left="1134" w:firstLine="0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 w:rsidR="00FB27D2">
        <w:rPr>
          <w:lang w:eastAsia="ja-JP"/>
        </w:rPr>
        <w:t>Consequently, Regulation No. 12 should be completed by reference</w:t>
      </w:r>
      <w:r w:rsidR="00FB27D2">
        <w:rPr>
          <w:b/>
          <w:bCs/>
          <w:lang w:eastAsia="ja-JP"/>
        </w:rPr>
        <w:t>s</w:t>
      </w:r>
      <w:r w:rsidR="00FB27D2">
        <w:rPr>
          <w:lang w:eastAsia="ja-JP"/>
        </w:rPr>
        <w:t xml:space="preserve"> to Regulation No. 137 as well.</w:t>
      </w:r>
    </w:p>
    <w:p w:rsidR="001C3B02" w:rsidRPr="0028294F" w:rsidRDefault="001C3B02" w:rsidP="001C3B02">
      <w:pPr>
        <w:spacing w:before="240"/>
        <w:ind w:left="1134" w:right="1134"/>
        <w:jc w:val="center"/>
        <w:rPr>
          <w:color w:val="000000"/>
          <w:u w:val="single"/>
          <w:lang w:eastAsia="ja-JP"/>
        </w:rPr>
      </w:pPr>
      <w:r w:rsidRPr="0028294F">
        <w:rPr>
          <w:color w:val="000000"/>
          <w:u w:val="single"/>
          <w:lang w:eastAsia="ja-JP"/>
        </w:rPr>
        <w:tab/>
      </w:r>
      <w:r w:rsidRPr="0028294F">
        <w:rPr>
          <w:color w:val="000000"/>
          <w:u w:val="single"/>
          <w:lang w:eastAsia="ja-JP"/>
        </w:rPr>
        <w:tab/>
      </w:r>
      <w:r w:rsidRPr="0028294F">
        <w:rPr>
          <w:color w:val="000000"/>
          <w:u w:val="single"/>
          <w:lang w:eastAsia="ja-JP"/>
        </w:rPr>
        <w:tab/>
      </w:r>
    </w:p>
    <w:p w:rsidR="00744A0A" w:rsidRPr="00744A0A" w:rsidRDefault="00744A0A" w:rsidP="001C3B02">
      <w:pPr>
        <w:pStyle w:val="HChG"/>
        <w:rPr>
          <w:u w:val="single"/>
          <w:lang w:eastAsia="ja-JP"/>
        </w:rPr>
      </w:pPr>
    </w:p>
    <w:sectPr w:rsidR="00744A0A" w:rsidRPr="00744A0A" w:rsidSect="00B830A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45" w:rsidRDefault="00775B45"/>
  </w:endnote>
  <w:endnote w:type="continuationSeparator" w:id="0">
    <w:p w:rsidR="00775B45" w:rsidRDefault="00775B45"/>
  </w:endnote>
  <w:endnote w:type="continuationNotice" w:id="1">
    <w:p w:rsidR="00775B45" w:rsidRDefault="00775B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832C60" w:rsidP="00B830A4">
    <w:pPr>
      <w:pStyle w:val="Footer"/>
      <w:tabs>
        <w:tab w:val="right" w:pos="9638"/>
      </w:tabs>
      <w:rPr>
        <w:sz w:val="18"/>
      </w:rPr>
    </w:pPr>
    <w:r w:rsidRPr="00B830A4">
      <w:rPr>
        <w:b/>
        <w:sz w:val="18"/>
      </w:rPr>
      <w:fldChar w:fldCharType="begin"/>
    </w:r>
    <w:r w:rsidRPr="00B830A4">
      <w:rPr>
        <w:b/>
        <w:sz w:val="18"/>
      </w:rPr>
      <w:instrText xml:space="preserve"> PAGE  \* MERGEFORMAT </w:instrText>
    </w:r>
    <w:r w:rsidRPr="00B830A4">
      <w:rPr>
        <w:b/>
        <w:sz w:val="18"/>
      </w:rPr>
      <w:fldChar w:fldCharType="separate"/>
    </w:r>
    <w:r w:rsidR="00B330FB">
      <w:rPr>
        <w:b/>
        <w:noProof/>
        <w:sz w:val="18"/>
      </w:rPr>
      <w:t>2</w:t>
    </w:r>
    <w:r w:rsidRPr="00B830A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832C60" w:rsidP="00B830A4">
    <w:pPr>
      <w:pStyle w:val="Footer"/>
      <w:tabs>
        <w:tab w:val="right" w:pos="9638"/>
      </w:tabs>
      <w:rPr>
        <w:b/>
        <w:sz w:val="18"/>
      </w:rPr>
    </w:pPr>
    <w:r>
      <w:tab/>
    </w:r>
    <w:r w:rsidRPr="00B830A4">
      <w:rPr>
        <w:b/>
        <w:sz w:val="18"/>
      </w:rPr>
      <w:fldChar w:fldCharType="begin"/>
    </w:r>
    <w:r w:rsidRPr="00B830A4">
      <w:rPr>
        <w:b/>
        <w:sz w:val="18"/>
      </w:rPr>
      <w:instrText xml:space="preserve"> PAGE  \* MERGEFORMAT </w:instrText>
    </w:r>
    <w:r w:rsidRPr="00B830A4">
      <w:rPr>
        <w:b/>
        <w:sz w:val="18"/>
      </w:rPr>
      <w:fldChar w:fldCharType="separate"/>
    </w:r>
    <w:r w:rsidR="00B330FB">
      <w:rPr>
        <w:b/>
        <w:noProof/>
        <w:sz w:val="18"/>
      </w:rPr>
      <w:t>3</w:t>
    </w:r>
    <w:r w:rsidRPr="00B830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6A" w:rsidRDefault="00CD746A" w:rsidP="00CD746A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746A" w:rsidRDefault="00CD746A" w:rsidP="00CD746A">
    <w:pPr>
      <w:pStyle w:val="Footer"/>
      <w:ind w:right="1134"/>
      <w:rPr>
        <w:sz w:val="20"/>
      </w:rPr>
    </w:pPr>
    <w:r>
      <w:rPr>
        <w:sz w:val="20"/>
      </w:rPr>
      <w:t>GE.17-02258(E)</w:t>
    </w:r>
  </w:p>
  <w:p w:rsidR="00CD746A" w:rsidRPr="00CD746A" w:rsidRDefault="00CD746A" w:rsidP="00CD746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3845" cy="633845"/>
          <wp:effectExtent l="0" t="0" r="0" b="0"/>
          <wp:wrapNone/>
          <wp:docPr id="2" name="Picture 1" descr="http://undocs.org/m2/QRCode.ashx?DS=ECE/TRANS/WP.29/GRSP/2017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45" cy="63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45" w:rsidRPr="000B175B" w:rsidRDefault="00775B4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5B45" w:rsidRPr="00FC68B7" w:rsidRDefault="00775B4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5B45" w:rsidRDefault="00775B45"/>
  </w:footnote>
  <w:footnote w:id="2">
    <w:p w:rsidR="00832C60" w:rsidRPr="00AC4130" w:rsidRDefault="00832C60" w:rsidP="00E7762C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  <w:vertAlign w:val="baseline"/>
        </w:rPr>
        <w:t>*</w:t>
      </w:r>
      <w:r w:rsidRPr="007406A7">
        <w:tab/>
      </w:r>
      <w:r w:rsidR="00B84E10" w:rsidRPr="007D016F">
        <w:rPr>
          <w:lang w:val="en-US"/>
        </w:rPr>
        <w:t xml:space="preserve">In accordance with the </w:t>
      </w:r>
      <w:proofErr w:type="spellStart"/>
      <w:r w:rsidR="00B84E10" w:rsidRPr="007D016F">
        <w:rPr>
          <w:lang w:val="en-US"/>
        </w:rPr>
        <w:t>programme</w:t>
      </w:r>
      <w:proofErr w:type="spellEnd"/>
      <w:r w:rsidR="00B84E10" w:rsidRPr="007D016F">
        <w:rPr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944646">
    <w:pPr>
      <w:pStyle w:val="Header"/>
    </w:pPr>
    <w:r>
      <w:t>ECE/TRANS/WP.29/GRSP/2017</w:t>
    </w:r>
    <w:r w:rsidR="005453D9">
      <w:t>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60" w:rsidRPr="00B830A4" w:rsidRDefault="00FC13D4" w:rsidP="00B830A4">
    <w:pPr>
      <w:pStyle w:val="Header"/>
      <w:jc w:val="right"/>
    </w:pPr>
    <w:r>
      <w:t>ECE/TRANS/WP.2</w:t>
    </w:r>
    <w:r w:rsidR="005453D9">
      <w:t>9/GRSP/2017/6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8BB12E6"/>
    <w:multiLevelType w:val="hybridMultilevel"/>
    <w:tmpl w:val="BB50A4FA"/>
    <w:lvl w:ilvl="0" w:tplc="1E8C46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532126"/>
    <w:multiLevelType w:val="multilevel"/>
    <w:tmpl w:val="E88CE8C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4">
    <w:nsid w:val="14385242"/>
    <w:multiLevelType w:val="multilevel"/>
    <w:tmpl w:val="8040BEDA"/>
    <w:lvl w:ilvl="0">
      <w:start w:val="3"/>
      <w:numFmt w:val="decimal"/>
      <w:lvlText w:val="%1."/>
      <w:lvlJc w:val="left"/>
      <w:pPr>
        <w:ind w:left="8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2" w:hanging="1440"/>
      </w:pPr>
      <w:rPr>
        <w:rFonts w:hint="default"/>
      </w:rPr>
    </w:lvl>
  </w:abstractNum>
  <w:abstractNum w:abstractNumId="15">
    <w:nsid w:val="14912A5D"/>
    <w:multiLevelType w:val="hybridMultilevel"/>
    <w:tmpl w:val="80301A7C"/>
    <w:lvl w:ilvl="0" w:tplc="0A9EBB7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A4D98"/>
    <w:multiLevelType w:val="hybridMultilevel"/>
    <w:tmpl w:val="2338A3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6C5B01"/>
    <w:multiLevelType w:val="hybridMultilevel"/>
    <w:tmpl w:val="199850FC"/>
    <w:lvl w:ilvl="0" w:tplc="B06CB4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1843694"/>
    <w:multiLevelType w:val="multilevel"/>
    <w:tmpl w:val="5240B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A46FB5"/>
    <w:multiLevelType w:val="multilevel"/>
    <w:tmpl w:val="D42EA6EE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2">
    <w:nsid w:val="4E2D5B04"/>
    <w:multiLevelType w:val="multilevel"/>
    <w:tmpl w:val="0407001F"/>
    <w:lvl w:ilvl="0">
      <w:start w:val="1"/>
      <w:numFmt w:val="decimal"/>
      <w:lvlText w:val="%1."/>
      <w:lvlJc w:val="left"/>
      <w:pPr>
        <w:ind w:left="892" w:hanging="360"/>
      </w:pPr>
    </w:lvl>
    <w:lvl w:ilvl="1">
      <w:start w:val="1"/>
      <w:numFmt w:val="decimal"/>
      <w:lvlText w:val="%1.%2."/>
      <w:lvlJc w:val="left"/>
      <w:pPr>
        <w:ind w:left="1324" w:hanging="432"/>
      </w:pPr>
    </w:lvl>
    <w:lvl w:ilvl="2">
      <w:start w:val="1"/>
      <w:numFmt w:val="decimal"/>
      <w:lvlText w:val="%1.%2.%3."/>
      <w:lvlJc w:val="left"/>
      <w:pPr>
        <w:ind w:left="1756" w:hanging="504"/>
      </w:pPr>
    </w:lvl>
    <w:lvl w:ilvl="3">
      <w:start w:val="1"/>
      <w:numFmt w:val="decimal"/>
      <w:lvlText w:val="%1.%2.%3.%4."/>
      <w:lvlJc w:val="left"/>
      <w:pPr>
        <w:ind w:left="2260" w:hanging="648"/>
      </w:pPr>
    </w:lvl>
    <w:lvl w:ilvl="4">
      <w:start w:val="1"/>
      <w:numFmt w:val="decimal"/>
      <w:lvlText w:val="%1.%2.%3.%4.%5."/>
      <w:lvlJc w:val="left"/>
      <w:pPr>
        <w:ind w:left="2764" w:hanging="792"/>
      </w:pPr>
    </w:lvl>
    <w:lvl w:ilvl="5">
      <w:start w:val="1"/>
      <w:numFmt w:val="decimal"/>
      <w:lvlText w:val="%1.%2.%3.%4.%5.%6."/>
      <w:lvlJc w:val="left"/>
      <w:pPr>
        <w:ind w:left="3268" w:hanging="936"/>
      </w:pPr>
    </w:lvl>
    <w:lvl w:ilvl="6">
      <w:start w:val="1"/>
      <w:numFmt w:val="decimal"/>
      <w:lvlText w:val="%1.%2.%3.%4.%5.%6.%7."/>
      <w:lvlJc w:val="left"/>
      <w:pPr>
        <w:ind w:left="3772" w:hanging="1080"/>
      </w:pPr>
    </w:lvl>
    <w:lvl w:ilvl="7">
      <w:start w:val="1"/>
      <w:numFmt w:val="decimal"/>
      <w:lvlText w:val="%1.%2.%3.%4.%5.%6.%7.%8."/>
      <w:lvlJc w:val="left"/>
      <w:pPr>
        <w:ind w:left="4276" w:hanging="1224"/>
      </w:pPr>
    </w:lvl>
    <w:lvl w:ilvl="8">
      <w:start w:val="1"/>
      <w:numFmt w:val="decimal"/>
      <w:lvlText w:val="%1.%2.%3.%4.%5.%6.%7.%8.%9."/>
      <w:lvlJc w:val="left"/>
      <w:pPr>
        <w:ind w:left="4852" w:hanging="1440"/>
      </w:pPr>
    </w:lvl>
  </w:abstractNum>
  <w:abstractNum w:abstractNumId="23">
    <w:nsid w:val="57936EDC"/>
    <w:multiLevelType w:val="multilevel"/>
    <w:tmpl w:val="E88CE8C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4">
    <w:nsid w:val="5C9D429C"/>
    <w:multiLevelType w:val="multilevel"/>
    <w:tmpl w:val="2A94E20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2F0E3C"/>
    <w:multiLevelType w:val="hybridMultilevel"/>
    <w:tmpl w:val="A5AE8BC8"/>
    <w:lvl w:ilvl="0" w:tplc="B8A2B722">
      <w:start w:val="2"/>
      <w:numFmt w:val="bullet"/>
      <w:lvlText w:val="・"/>
      <w:lvlJc w:val="left"/>
      <w:pPr>
        <w:ind w:left="1578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abstractNum w:abstractNumId="28">
    <w:nsid w:val="6D104FE6"/>
    <w:multiLevelType w:val="hybridMultilevel"/>
    <w:tmpl w:val="C81EB99A"/>
    <w:lvl w:ilvl="0" w:tplc="B8A2B722">
      <w:start w:val="2"/>
      <w:numFmt w:val="bullet"/>
      <w:lvlText w:val="・"/>
      <w:lvlJc w:val="left"/>
      <w:pPr>
        <w:ind w:left="552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6"/>
  </w:num>
  <w:num w:numId="13">
    <w:abstractNumId w:val="11"/>
  </w:num>
  <w:num w:numId="14">
    <w:abstractNumId w:val="26"/>
  </w:num>
  <w:num w:numId="15">
    <w:abstractNumId w:val="29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23"/>
  </w:num>
  <w:num w:numId="21">
    <w:abstractNumId w:val="22"/>
  </w:num>
  <w:num w:numId="22">
    <w:abstractNumId w:val="14"/>
  </w:num>
  <w:num w:numId="23">
    <w:abstractNumId w:val="20"/>
  </w:num>
  <w:num w:numId="24">
    <w:abstractNumId w:val="18"/>
  </w:num>
  <w:num w:numId="25">
    <w:abstractNumId w:val="12"/>
  </w:num>
  <w:num w:numId="26">
    <w:abstractNumId w:val="24"/>
  </w:num>
  <w:num w:numId="27">
    <w:abstractNumId w:val="21"/>
  </w:num>
  <w:num w:numId="28">
    <w:abstractNumId w:val="15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A4"/>
    <w:rsid w:val="00046B1F"/>
    <w:rsid w:val="00050F6B"/>
    <w:rsid w:val="00052635"/>
    <w:rsid w:val="00057E97"/>
    <w:rsid w:val="000632AA"/>
    <w:rsid w:val="000646F4"/>
    <w:rsid w:val="000712D9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379"/>
    <w:rsid w:val="000E0415"/>
    <w:rsid w:val="001103AA"/>
    <w:rsid w:val="0011666B"/>
    <w:rsid w:val="00144C57"/>
    <w:rsid w:val="00165F3A"/>
    <w:rsid w:val="00182290"/>
    <w:rsid w:val="00183417"/>
    <w:rsid w:val="001A3955"/>
    <w:rsid w:val="001A6B98"/>
    <w:rsid w:val="001A7C49"/>
    <w:rsid w:val="001B4B04"/>
    <w:rsid w:val="001C3B02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17BA1"/>
    <w:rsid w:val="002265DE"/>
    <w:rsid w:val="0024772E"/>
    <w:rsid w:val="00267F5F"/>
    <w:rsid w:val="00274A4C"/>
    <w:rsid w:val="00286B4D"/>
    <w:rsid w:val="002A2CB0"/>
    <w:rsid w:val="002D0A3C"/>
    <w:rsid w:val="002D4643"/>
    <w:rsid w:val="002D7926"/>
    <w:rsid w:val="002E46E1"/>
    <w:rsid w:val="002F175C"/>
    <w:rsid w:val="002F52AE"/>
    <w:rsid w:val="002F7DE0"/>
    <w:rsid w:val="003018B4"/>
    <w:rsid w:val="00302E18"/>
    <w:rsid w:val="00316DB7"/>
    <w:rsid w:val="003229D8"/>
    <w:rsid w:val="00336153"/>
    <w:rsid w:val="00340613"/>
    <w:rsid w:val="00342933"/>
    <w:rsid w:val="00352709"/>
    <w:rsid w:val="003619B5"/>
    <w:rsid w:val="00361AC3"/>
    <w:rsid w:val="00365763"/>
    <w:rsid w:val="00371178"/>
    <w:rsid w:val="00392E47"/>
    <w:rsid w:val="003A49CB"/>
    <w:rsid w:val="003A6810"/>
    <w:rsid w:val="003C2CC4"/>
    <w:rsid w:val="003C534D"/>
    <w:rsid w:val="003D4B23"/>
    <w:rsid w:val="003D5D92"/>
    <w:rsid w:val="003E130E"/>
    <w:rsid w:val="00410C89"/>
    <w:rsid w:val="00422E03"/>
    <w:rsid w:val="00426B9B"/>
    <w:rsid w:val="004325CB"/>
    <w:rsid w:val="00441EA2"/>
    <w:rsid w:val="00442A83"/>
    <w:rsid w:val="0045495B"/>
    <w:rsid w:val="004561E5"/>
    <w:rsid w:val="0045775F"/>
    <w:rsid w:val="0048397A"/>
    <w:rsid w:val="00485CBB"/>
    <w:rsid w:val="004866B7"/>
    <w:rsid w:val="004C2461"/>
    <w:rsid w:val="004C7462"/>
    <w:rsid w:val="004E77B2"/>
    <w:rsid w:val="004F0807"/>
    <w:rsid w:val="004F6D62"/>
    <w:rsid w:val="00500A20"/>
    <w:rsid w:val="00504B2D"/>
    <w:rsid w:val="0052136D"/>
    <w:rsid w:val="005266F0"/>
    <w:rsid w:val="0052775E"/>
    <w:rsid w:val="005420F2"/>
    <w:rsid w:val="005453D9"/>
    <w:rsid w:val="0056209A"/>
    <w:rsid w:val="005628B6"/>
    <w:rsid w:val="00580E6E"/>
    <w:rsid w:val="00582837"/>
    <w:rsid w:val="00587381"/>
    <w:rsid w:val="005941EC"/>
    <w:rsid w:val="0059724D"/>
    <w:rsid w:val="005B320C"/>
    <w:rsid w:val="005B3DB3"/>
    <w:rsid w:val="005B4E13"/>
    <w:rsid w:val="005C342F"/>
    <w:rsid w:val="005C7D1E"/>
    <w:rsid w:val="005F7B75"/>
    <w:rsid w:val="006001EE"/>
    <w:rsid w:val="00605042"/>
    <w:rsid w:val="00611FC4"/>
    <w:rsid w:val="006176FB"/>
    <w:rsid w:val="006352C2"/>
    <w:rsid w:val="00640B26"/>
    <w:rsid w:val="00651D27"/>
    <w:rsid w:val="00652D0A"/>
    <w:rsid w:val="00661251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D6E10"/>
    <w:rsid w:val="006E564B"/>
    <w:rsid w:val="006E7191"/>
    <w:rsid w:val="00703577"/>
    <w:rsid w:val="00705894"/>
    <w:rsid w:val="007173EE"/>
    <w:rsid w:val="0072632A"/>
    <w:rsid w:val="007318BF"/>
    <w:rsid w:val="007327D5"/>
    <w:rsid w:val="00744A0A"/>
    <w:rsid w:val="00753DBE"/>
    <w:rsid w:val="007629C8"/>
    <w:rsid w:val="0077047D"/>
    <w:rsid w:val="00775B45"/>
    <w:rsid w:val="0078737F"/>
    <w:rsid w:val="007B6BA5"/>
    <w:rsid w:val="007C3390"/>
    <w:rsid w:val="007C4F4B"/>
    <w:rsid w:val="007E01E9"/>
    <w:rsid w:val="007E63F3"/>
    <w:rsid w:val="007E655D"/>
    <w:rsid w:val="007F0A32"/>
    <w:rsid w:val="007F0F70"/>
    <w:rsid w:val="007F6611"/>
    <w:rsid w:val="0080676A"/>
    <w:rsid w:val="00811920"/>
    <w:rsid w:val="00815AD0"/>
    <w:rsid w:val="00815EDB"/>
    <w:rsid w:val="008242D7"/>
    <w:rsid w:val="008257B1"/>
    <w:rsid w:val="00832334"/>
    <w:rsid w:val="00832C60"/>
    <w:rsid w:val="00841F2F"/>
    <w:rsid w:val="00843191"/>
    <w:rsid w:val="00843767"/>
    <w:rsid w:val="00850EAE"/>
    <w:rsid w:val="008603AB"/>
    <w:rsid w:val="00863154"/>
    <w:rsid w:val="008679D9"/>
    <w:rsid w:val="008878DE"/>
    <w:rsid w:val="008979B1"/>
    <w:rsid w:val="008A1ED5"/>
    <w:rsid w:val="008A6B25"/>
    <w:rsid w:val="008A6C4F"/>
    <w:rsid w:val="008B2335"/>
    <w:rsid w:val="008B2E36"/>
    <w:rsid w:val="008B324C"/>
    <w:rsid w:val="008C4B53"/>
    <w:rsid w:val="008C63EB"/>
    <w:rsid w:val="008E0678"/>
    <w:rsid w:val="008F31D2"/>
    <w:rsid w:val="00915EF6"/>
    <w:rsid w:val="009223CA"/>
    <w:rsid w:val="00940F93"/>
    <w:rsid w:val="00941BF2"/>
    <w:rsid w:val="00944646"/>
    <w:rsid w:val="009448C3"/>
    <w:rsid w:val="00944ACA"/>
    <w:rsid w:val="00973929"/>
    <w:rsid w:val="009760F3"/>
    <w:rsid w:val="00976CFB"/>
    <w:rsid w:val="009A0830"/>
    <w:rsid w:val="009A0E8D"/>
    <w:rsid w:val="009B027D"/>
    <w:rsid w:val="009B26E7"/>
    <w:rsid w:val="009B64BB"/>
    <w:rsid w:val="009C5652"/>
    <w:rsid w:val="00A00697"/>
    <w:rsid w:val="00A00A3F"/>
    <w:rsid w:val="00A01489"/>
    <w:rsid w:val="00A129A8"/>
    <w:rsid w:val="00A25B9E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85036"/>
    <w:rsid w:val="00A94361"/>
    <w:rsid w:val="00A94A76"/>
    <w:rsid w:val="00AA293C"/>
    <w:rsid w:val="00B02C1B"/>
    <w:rsid w:val="00B30179"/>
    <w:rsid w:val="00B330FB"/>
    <w:rsid w:val="00B421C1"/>
    <w:rsid w:val="00B53781"/>
    <w:rsid w:val="00B53C21"/>
    <w:rsid w:val="00B55C71"/>
    <w:rsid w:val="00B56E4A"/>
    <w:rsid w:val="00B56E9C"/>
    <w:rsid w:val="00B64B1F"/>
    <w:rsid w:val="00B6553F"/>
    <w:rsid w:val="00B74A44"/>
    <w:rsid w:val="00B77D05"/>
    <w:rsid w:val="00B81206"/>
    <w:rsid w:val="00B81E12"/>
    <w:rsid w:val="00B830A4"/>
    <w:rsid w:val="00B84E10"/>
    <w:rsid w:val="00BB1181"/>
    <w:rsid w:val="00BC3FA0"/>
    <w:rsid w:val="00BC4F54"/>
    <w:rsid w:val="00BC74E9"/>
    <w:rsid w:val="00BD0D55"/>
    <w:rsid w:val="00BF17BF"/>
    <w:rsid w:val="00BF30B3"/>
    <w:rsid w:val="00BF68A8"/>
    <w:rsid w:val="00C01861"/>
    <w:rsid w:val="00C11A03"/>
    <w:rsid w:val="00C22C0C"/>
    <w:rsid w:val="00C32712"/>
    <w:rsid w:val="00C43009"/>
    <w:rsid w:val="00C44615"/>
    <w:rsid w:val="00C4527F"/>
    <w:rsid w:val="00C463DD"/>
    <w:rsid w:val="00C4724C"/>
    <w:rsid w:val="00C5171D"/>
    <w:rsid w:val="00C629A0"/>
    <w:rsid w:val="00C64629"/>
    <w:rsid w:val="00C745C3"/>
    <w:rsid w:val="00C76E95"/>
    <w:rsid w:val="00C84B87"/>
    <w:rsid w:val="00C93AE3"/>
    <w:rsid w:val="00C96DF2"/>
    <w:rsid w:val="00CB3E03"/>
    <w:rsid w:val="00CB50FB"/>
    <w:rsid w:val="00CD4AA6"/>
    <w:rsid w:val="00CD5438"/>
    <w:rsid w:val="00CD746A"/>
    <w:rsid w:val="00CE0FDA"/>
    <w:rsid w:val="00CE4A8F"/>
    <w:rsid w:val="00D2031B"/>
    <w:rsid w:val="00D248B6"/>
    <w:rsid w:val="00D25FE2"/>
    <w:rsid w:val="00D26E07"/>
    <w:rsid w:val="00D43252"/>
    <w:rsid w:val="00D47EEA"/>
    <w:rsid w:val="00D65D18"/>
    <w:rsid w:val="00D773DF"/>
    <w:rsid w:val="00D93AEB"/>
    <w:rsid w:val="00D95303"/>
    <w:rsid w:val="00D978C6"/>
    <w:rsid w:val="00DA3C1C"/>
    <w:rsid w:val="00DC6D39"/>
    <w:rsid w:val="00DF0D51"/>
    <w:rsid w:val="00E0163D"/>
    <w:rsid w:val="00E046DF"/>
    <w:rsid w:val="00E22B0C"/>
    <w:rsid w:val="00E27346"/>
    <w:rsid w:val="00E3310F"/>
    <w:rsid w:val="00E40A45"/>
    <w:rsid w:val="00E560CA"/>
    <w:rsid w:val="00E71BC8"/>
    <w:rsid w:val="00E7260F"/>
    <w:rsid w:val="00E73F5D"/>
    <w:rsid w:val="00E752C2"/>
    <w:rsid w:val="00E7762C"/>
    <w:rsid w:val="00E77E4E"/>
    <w:rsid w:val="00E96630"/>
    <w:rsid w:val="00EA2A77"/>
    <w:rsid w:val="00EB1F89"/>
    <w:rsid w:val="00EB4DA0"/>
    <w:rsid w:val="00ED7A2A"/>
    <w:rsid w:val="00EF1D7F"/>
    <w:rsid w:val="00F0274E"/>
    <w:rsid w:val="00F246EA"/>
    <w:rsid w:val="00F31E5F"/>
    <w:rsid w:val="00F6100A"/>
    <w:rsid w:val="00F726CF"/>
    <w:rsid w:val="00F93781"/>
    <w:rsid w:val="00FB07DB"/>
    <w:rsid w:val="00FB1C8F"/>
    <w:rsid w:val="00FB27D2"/>
    <w:rsid w:val="00FB613B"/>
    <w:rsid w:val="00FC13D4"/>
    <w:rsid w:val="00FC68B7"/>
    <w:rsid w:val="00FD3F98"/>
    <w:rsid w:val="00FD7FC5"/>
    <w:rsid w:val="00FE106A"/>
    <w:rsid w:val="00FE7450"/>
    <w:rsid w:val="00FF145D"/>
    <w:rsid w:val="00FF61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83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0A4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PP Char"/>
    <w:link w:val="FootnoteText"/>
    <w:locked/>
    <w:rsid w:val="001A6B98"/>
    <w:rPr>
      <w:sz w:val="18"/>
      <w:lang w:eastAsia="en-US"/>
    </w:rPr>
  </w:style>
  <w:style w:type="character" w:customStyle="1" w:styleId="HChGChar">
    <w:name w:val="_ H _Ch_G Char"/>
    <w:link w:val="HChG"/>
    <w:rsid w:val="001A6B98"/>
    <w:rPr>
      <w:b/>
      <w:sz w:val="28"/>
      <w:lang w:eastAsia="en-US"/>
    </w:rPr>
  </w:style>
  <w:style w:type="paragraph" w:customStyle="1" w:styleId="Anlage">
    <w:name w:val="Anlage"/>
    <w:basedOn w:val="Normal"/>
    <w:rsid w:val="001A6B98"/>
    <w:pPr>
      <w:suppressAutoHyphens w:val="0"/>
      <w:spacing w:before="240" w:line="240" w:lineRule="auto"/>
      <w:ind w:left="1134" w:hanging="1134"/>
    </w:pPr>
    <w:rPr>
      <w:rFonts w:eastAsia="MS Mincho"/>
      <w:sz w:val="24"/>
      <w:szCs w:val="24"/>
      <w:lang w:val="de-DE" w:eastAsia="de-DE"/>
    </w:rPr>
  </w:style>
  <w:style w:type="paragraph" w:customStyle="1" w:styleId="Default">
    <w:name w:val="Default"/>
    <w:rsid w:val="001A6B9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A6B98"/>
    <w:pPr>
      <w:spacing w:line="240" w:lineRule="auto"/>
    </w:pPr>
    <w:rPr>
      <w:rFonts w:eastAsia="MS Mincho"/>
      <w:b/>
      <w:bCs/>
    </w:rPr>
  </w:style>
  <w:style w:type="character" w:customStyle="1" w:styleId="CommentTextChar">
    <w:name w:val="Comment Text Char"/>
    <w:link w:val="CommentText"/>
    <w:uiPriority w:val="99"/>
    <w:rsid w:val="001A6B98"/>
    <w:rPr>
      <w:lang w:eastAsia="en-US"/>
    </w:rPr>
  </w:style>
  <w:style w:type="character" w:customStyle="1" w:styleId="CommentSubjectChar">
    <w:name w:val="Comment Subject Char"/>
    <w:link w:val="CommentSubject"/>
    <w:rsid w:val="001A6B98"/>
    <w:rPr>
      <w:rFonts w:eastAsia="MS Minch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6B98"/>
    <w:pPr>
      <w:ind w:left="720"/>
      <w:contextualSpacing/>
    </w:pPr>
    <w:rPr>
      <w:rFonts w:eastAsia="MS Mincho"/>
    </w:rPr>
  </w:style>
  <w:style w:type="paragraph" w:customStyle="1" w:styleId="para">
    <w:name w:val="para"/>
    <w:basedOn w:val="Normal"/>
    <w:link w:val="paraChar"/>
    <w:qFormat/>
    <w:rsid w:val="00744A0A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paraChar">
    <w:name w:val="para Char"/>
    <w:link w:val="para"/>
    <w:rsid w:val="00744A0A"/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83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0A4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TableNormal"/>
    <w:semiHidden/>
    <w:rsid w:val="001A6B98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5_G Char,PP Char"/>
    <w:link w:val="FootnoteText"/>
    <w:locked/>
    <w:rsid w:val="001A6B98"/>
    <w:rPr>
      <w:sz w:val="18"/>
      <w:lang w:eastAsia="en-US"/>
    </w:rPr>
  </w:style>
  <w:style w:type="character" w:customStyle="1" w:styleId="HChGChar">
    <w:name w:val="_ H _Ch_G Char"/>
    <w:link w:val="HChG"/>
    <w:rsid w:val="001A6B98"/>
    <w:rPr>
      <w:b/>
      <w:sz w:val="28"/>
      <w:lang w:eastAsia="en-US"/>
    </w:rPr>
  </w:style>
  <w:style w:type="paragraph" w:customStyle="1" w:styleId="Anlage">
    <w:name w:val="Anlage"/>
    <w:basedOn w:val="Normal"/>
    <w:rsid w:val="001A6B98"/>
    <w:pPr>
      <w:suppressAutoHyphens w:val="0"/>
      <w:spacing w:before="240" w:line="240" w:lineRule="auto"/>
      <w:ind w:left="1134" w:hanging="1134"/>
    </w:pPr>
    <w:rPr>
      <w:rFonts w:eastAsia="MS Mincho"/>
      <w:sz w:val="24"/>
      <w:szCs w:val="24"/>
      <w:lang w:val="de-DE" w:eastAsia="de-DE"/>
    </w:rPr>
  </w:style>
  <w:style w:type="paragraph" w:customStyle="1" w:styleId="Default">
    <w:name w:val="Default"/>
    <w:rsid w:val="001A6B98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A6B98"/>
    <w:pPr>
      <w:spacing w:line="240" w:lineRule="auto"/>
    </w:pPr>
    <w:rPr>
      <w:rFonts w:eastAsia="MS Mincho"/>
      <w:b/>
      <w:bCs/>
    </w:rPr>
  </w:style>
  <w:style w:type="character" w:customStyle="1" w:styleId="CommentTextChar">
    <w:name w:val="Comment Text Char"/>
    <w:link w:val="CommentText"/>
    <w:uiPriority w:val="99"/>
    <w:rsid w:val="001A6B98"/>
    <w:rPr>
      <w:lang w:eastAsia="en-US"/>
    </w:rPr>
  </w:style>
  <w:style w:type="character" w:customStyle="1" w:styleId="CommentSubjectChar">
    <w:name w:val="Comment Subject Char"/>
    <w:link w:val="CommentSubject"/>
    <w:rsid w:val="001A6B98"/>
    <w:rPr>
      <w:rFonts w:eastAsia="MS Mincho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A6B98"/>
    <w:pPr>
      <w:ind w:left="720"/>
      <w:contextualSpacing/>
    </w:pPr>
    <w:rPr>
      <w:rFonts w:eastAsia="MS Mincho"/>
    </w:rPr>
  </w:style>
  <w:style w:type="paragraph" w:customStyle="1" w:styleId="para">
    <w:name w:val="para"/>
    <w:basedOn w:val="Normal"/>
    <w:link w:val="paraChar"/>
    <w:qFormat/>
    <w:rsid w:val="00744A0A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paraChar">
    <w:name w:val="para Char"/>
    <w:link w:val="para"/>
    <w:rsid w:val="00744A0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nen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8304-2F44-4866-98A3-DF5AB258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609</Words>
  <Characters>3473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1702258</vt:lpstr>
      <vt:lpstr>United Nations</vt:lpstr>
    </vt:vector>
  </TitlesOfParts>
  <Company>CSD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1702258</dc:title>
  <dc:subject>ECE/TRANS/WP.29/GRSP/2017/6</dc:subject>
  <dc:creator>Salonen</dc:creator>
  <cp:lastModifiedBy>Benedicte Boudol</cp:lastModifiedBy>
  <cp:revision>2</cp:revision>
  <cp:lastPrinted>2017-02-09T15:24:00Z</cp:lastPrinted>
  <dcterms:created xsi:type="dcterms:W3CDTF">2017-03-08T15:22:00Z</dcterms:created>
  <dcterms:modified xsi:type="dcterms:W3CDTF">2017-03-08T15:22:00Z</dcterms:modified>
</cp:coreProperties>
</file>