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3F7F9F" w:rsidRPr="003F7F9F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3F7F9F" w:rsidRDefault="00F35BAF" w:rsidP="00FC4EAD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3F7F9F" w:rsidRDefault="00F35BAF" w:rsidP="00C97039">
            <w:pPr>
              <w:spacing w:after="80" w:line="300" w:lineRule="exact"/>
              <w:rPr>
                <w:sz w:val="28"/>
              </w:rPr>
            </w:pPr>
            <w:r w:rsidRPr="003F7F9F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3F7F9F" w:rsidRDefault="00FC4EAD" w:rsidP="00FC4EAD">
            <w:pPr>
              <w:jc w:val="right"/>
            </w:pPr>
            <w:r w:rsidRPr="003F7F9F">
              <w:rPr>
                <w:sz w:val="40"/>
              </w:rPr>
              <w:t>ECE</w:t>
            </w:r>
            <w:r w:rsidRPr="003F7F9F">
              <w:t>/TRANS/WP.29/GRSP/2017/6</w:t>
            </w:r>
          </w:p>
        </w:tc>
      </w:tr>
      <w:tr w:rsidR="003F7F9F" w:rsidRPr="003F7F9F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3F7F9F" w:rsidRDefault="00F35BAF" w:rsidP="00C97039">
            <w:pPr>
              <w:spacing w:before="120"/>
              <w:jc w:val="center"/>
            </w:pPr>
            <w:r w:rsidRPr="003F7F9F">
              <w:rPr>
                <w:noProof/>
                <w:lang w:val="en-GB" w:eastAsia="en-GB"/>
              </w:rPr>
              <w:drawing>
                <wp:inline distT="0" distB="0" distL="0" distR="0" wp14:anchorId="68306356" wp14:editId="235FBE0C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3F7F9F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3F7F9F">
              <w:rPr>
                <w:b/>
                <w:sz w:val="40"/>
                <w:szCs w:val="40"/>
              </w:rPr>
              <w:t>Conseil économique 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3F7F9F" w:rsidRDefault="00FC4EAD" w:rsidP="00C97039">
            <w:pPr>
              <w:spacing w:before="240"/>
            </w:pPr>
            <w:r w:rsidRPr="003F7F9F">
              <w:t>Distr. générale</w:t>
            </w:r>
          </w:p>
          <w:p w:rsidR="00FC4EAD" w:rsidRPr="003F7F9F" w:rsidRDefault="00FC4EAD" w:rsidP="00FC4EAD">
            <w:pPr>
              <w:spacing w:line="240" w:lineRule="exact"/>
            </w:pPr>
            <w:r w:rsidRPr="003F7F9F">
              <w:t>14 février 2017</w:t>
            </w:r>
          </w:p>
          <w:p w:rsidR="00FC4EAD" w:rsidRPr="003F7F9F" w:rsidRDefault="00FC4EAD" w:rsidP="00FC4EAD">
            <w:pPr>
              <w:spacing w:line="240" w:lineRule="exact"/>
            </w:pPr>
            <w:r w:rsidRPr="003F7F9F">
              <w:t>Français</w:t>
            </w:r>
          </w:p>
          <w:p w:rsidR="00FC4EAD" w:rsidRPr="003F7F9F" w:rsidRDefault="00FC4EAD" w:rsidP="00FC4EAD">
            <w:pPr>
              <w:spacing w:line="240" w:lineRule="exact"/>
            </w:pPr>
            <w:r w:rsidRPr="003F7F9F">
              <w:t>Original</w:t>
            </w:r>
            <w:r w:rsidR="003F7F9F" w:rsidRPr="003F7F9F">
              <w:t> :</w:t>
            </w:r>
            <w:r w:rsidRPr="003F7F9F">
              <w:t xml:space="preserve"> anglais</w:t>
            </w:r>
          </w:p>
        </w:tc>
      </w:tr>
    </w:tbl>
    <w:p w:rsidR="007F20FA" w:rsidRPr="003F7F9F" w:rsidRDefault="007F20FA" w:rsidP="007F20FA">
      <w:pPr>
        <w:spacing w:before="120"/>
        <w:rPr>
          <w:b/>
          <w:sz w:val="28"/>
          <w:szCs w:val="28"/>
        </w:rPr>
      </w:pPr>
      <w:r w:rsidRPr="003F7F9F">
        <w:rPr>
          <w:b/>
          <w:sz w:val="28"/>
          <w:szCs w:val="28"/>
        </w:rPr>
        <w:t>Commission économique pour l’Europe</w:t>
      </w:r>
    </w:p>
    <w:p w:rsidR="007F20FA" w:rsidRPr="003F7F9F" w:rsidRDefault="007F20FA" w:rsidP="007F20FA">
      <w:pPr>
        <w:spacing w:before="120"/>
        <w:rPr>
          <w:sz w:val="28"/>
          <w:szCs w:val="28"/>
        </w:rPr>
      </w:pPr>
      <w:r w:rsidRPr="003F7F9F">
        <w:rPr>
          <w:sz w:val="28"/>
          <w:szCs w:val="28"/>
        </w:rPr>
        <w:t>Comité des transports intérieurs</w:t>
      </w:r>
    </w:p>
    <w:p w:rsidR="00FC4EAD" w:rsidRPr="003F7F9F" w:rsidRDefault="00FC4EAD" w:rsidP="00FC4EAD">
      <w:pPr>
        <w:spacing w:before="120"/>
        <w:rPr>
          <w:b/>
          <w:bCs/>
          <w:sz w:val="24"/>
          <w:szCs w:val="24"/>
          <w:lang w:val="fr-FR"/>
        </w:rPr>
      </w:pPr>
      <w:r w:rsidRPr="003F7F9F">
        <w:rPr>
          <w:b/>
          <w:bCs/>
          <w:sz w:val="24"/>
          <w:szCs w:val="24"/>
          <w:lang w:val="fr-FR"/>
        </w:rPr>
        <w:t xml:space="preserve">Forum mondial de l’harmonisation </w:t>
      </w:r>
      <w:r w:rsidRPr="003F7F9F">
        <w:rPr>
          <w:b/>
          <w:bCs/>
          <w:sz w:val="24"/>
          <w:szCs w:val="24"/>
          <w:lang w:val="fr-FR"/>
        </w:rPr>
        <w:br/>
        <w:t>des Règlements concernant les véhicules</w:t>
      </w:r>
    </w:p>
    <w:p w:rsidR="00FC4EAD" w:rsidRPr="00C16ADA" w:rsidRDefault="00FC4EAD" w:rsidP="00FC4EAD">
      <w:pPr>
        <w:spacing w:before="120"/>
        <w:rPr>
          <w:b/>
          <w:bCs/>
          <w:sz w:val="24"/>
          <w:szCs w:val="24"/>
          <w:lang w:val="fr-FR"/>
        </w:rPr>
      </w:pPr>
      <w:r w:rsidRPr="00C16ADA">
        <w:rPr>
          <w:b/>
          <w:bCs/>
          <w:sz w:val="24"/>
          <w:szCs w:val="24"/>
          <w:lang w:val="fr-FR"/>
        </w:rPr>
        <w:t>Groupe de travail de la sécurité passive</w:t>
      </w:r>
    </w:p>
    <w:p w:rsidR="00FC4EAD" w:rsidRPr="003F7F9F" w:rsidRDefault="00FC4EAD" w:rsidP="00FC4EAD">
      <w:pPr>
        <w:spacing w:before="120"/>
        <w:rPr>
          <w:b/>
          <w:bCs/>
          <w:lang w:val="fr-FR"/>
        </w:rPr>
      </w:pPr>
      <w:r w:rsidRPr="003F7F9F">
        <w:rPr>
          <w:b/>
          <w:bCs/>
          <w:lang w:val="fr-FR"/>
        </w:rPr>
        <w:t>Soixante et unième session</w:t>
      </w:r>
    </w:p>
    <w:p w:rsidR="00FC4EAD" w:rsidRPr="003F7F9F" w:rsidRDefault="00FC4EAD" w:rsidP="00FC4EAD">
      <w:pPr>
        <w:rPr>
          <w:lang w:val="fr-FR"/>
        </w:rPr>
      </w:pPr>
      <w:r w:rsidRPr="003F7F9F">
        <w:rPr>
          <w:lang w:val="fr-FR"/>
        </w:rPr>
        <w:t>Genève, 8-12 mai 2017</w:t>
      </w:r>
    </w:p>
    <w:p w:rsidR="00FC4EAD" w:rsidRPr="003F7F9F" w:rsidRDefault="00FC4EAD" w:rsidP="00FC4EAD">
      <w:pPr>
        <w:rPr>
          <w:lang w:val="fr-FR"/>
        </w:rPr>
      </w:pPr>
      <w:r w:rsidRPr="003F7F9F">
        <w:rPr>
          <w:lang w:val="fr-FR"/>
        </w:rPr>
        <w:t>Point 7 de l’ordre du jour provisoire</w:t>
      </w:r>
    </w:p>
    <w:p w:rsidR="00FC4EAD" w:rsidRPr="003F7F9F" w:rsidRDefault="00FC4EAD" w:rsidP="00FC4EAD">
      <w:pPr>
        <w:rPr>
          <w:b/>
          <w:bCs/>
          <w:lang w:val="fr-FR"/>
        </w:rPr>
      </w:pPr>
      <w:r w:rsidRPr="003F7F9F">
        <w:rPr>
          <w:b/>
          <w:bCs/>
          <w:lang w:val="fr-FR"/>
        </w:rPr>
        <w:t xml:space="preserve">Règlement </w:t>
      </w:r>
      <w:r w:rsidRPr="003F7F9F">
        <w:rPr>
          <w:rFonts w:eastAsia="MS Mincho"/>
          <w:b/>
          <w:bCs/>
          <w:lang w:val="fr-FR"/>
        </w:rPr>
        <w:t>n</w:t>
      </w:r>
      <w:r w:rsidRPr="003F7F9F">
        <w:rPr>
          <w:rFonts w:eastAsia="MS Mincho"/>
          <w:b/>
          <w:bCs/>
          <w:vertAlign w:val="superscript"/>
          <w:lang w:val="fr-FR"/>
        </w:rPr>
        <w:t>o</w:t>
      </w:r>
      <w:r w:rsidRPr="003F7F9F">
        <w:rPr>
          <w:b/>
          <w:bCs/>
          <w:lang w:val="fr-FR"/>
        </w:rPr>
        <w:t> 12 (Dispositif de direction)</w:t>
      </w:r>
    </w:p>
    <w:p w:rsidR="00FC4EAD" w:rsidRPr="003F7F9F" w:rsidRDefault="00FC4EAD" w:rsidP="00FC4EAD">
      <w:pPr>
        <w:pStyle w:val="HChG"/>
        <w:rPr>
          <w:lang w:val="fr-FR"/>
        </w:rPr>
      </w:pPr>
      <w:r w:rsidRPr="003F7F9F">
        <w:rPr>
          <w:lang w:val="fr-FR"/>
        </w:rPr>
        <w:tab/>
      </w:r>
      <w:r w:rsidRPr="003F7F9F">
        <w:rPr>
          <w:lang w:val="fr-FR"/>
        </w:rPr>
        <w:tab/>
        <w:t xml:space="preserve">Projet de complément 5 à la série 04 d’amendements au Règlement </w:t>
      </w:r>
      <w:r w:rsidRPr="003F7F9F">
        <w:rPr>
          <w:rFonts w:eastAsia="MS Mincho"/>
          <w:lang w:val="fr-FR"/>
        </w:rPr>
        <w:t>n</w:t>
      </w:r>
      <w:r w:rsidRPr="003F7F9F">
        <w:rPr>
          <w:rFonts w:eastAsia="MS Mincho"/>
          <w:vertAlign w:val="superscript"/>
          <w:lang w:val="fr-FR"/>
        </w:rPr>
        <w:t>o</w:t>
      </w:r>
      <w:r w:rsidRPr="003F7F9F">
        <w:rPr>
          <w:lang w:val="fr-FR"/>
        </w:rPr>
        <w:t> 12 (Dispositif de direction)</w:t>
      </w:r>
    </w:p>
    <w:p w:rsidR="00FC4EAD" w:rsidRPr="003F7F9F" w:rsidRDefault="00FC4EAD" w:rsidP="00FC4EAD">
      <w:pPr>
        <w:pStyle w:val="H1G"/>
        <w:rPr>
          <w:lang w:val="fr-FR"/>
        </w:rPr>
      </w:pPr>
      <w:r w:rsidRPr="003F7F9F">
        <w:rPr>
          <w:lang w:val="fr-FR"/>
        </w:rPr>
        <w:tab/>
      </w:r>
      <w:r w:rsidRPr="003F7F9F">
        <w:rPr>
          <w:lang w:val="fr-FR"/>
        </w:rPr>
        <w:tab/>
        <w:t>Communication de l’expert de l’Organisation internationale des constructeurs d’automobiles (OICA)</w:t>
      </w:r>
      <w:r w:rsidRPr="00985723">
        <w:rPr>
          <w:b w:val="0"/>
          <w:bCs/>
          <w:sz w:val="20"/>
          <w:lang w:val="fr-FR"/>
        </w:rPr>
        <w:footnoteReference w:customMarkFollows="1" w:id="2"/>
        <w:t>*</w:t>
      </w:r>
    </w:p>
    <w:p w:rsidR="00FC4EAD" w:rsidRPr="003F7F9F" w:rsidRDefault="00FC4EAD" w:rsidP="00FC4EAD">
      <w:pPr>
        <w:pStyle w:val="SingleTxtG"/>
        <w:ind w:firstLine="567"/>
        <w:rPr>
          <w:lang w:val="fr-FR"/>
        </w:rPr>
      </w:pPr>
      <w:r w:rsidRPr="003F7F9F">
        <w:rPr>
          <w:lang w:val="fr-FR"/>
        </w:rPr>
        <w:t xml:space="preserve">Le texte ci-après, établi par l’expert de l’Organisation internationale des constructeurs d’automobiles (OICA), vise à permettre le recours à « l’essai de choc avant sur toute la largeur d’une paroi rigide » conformément au Règlement </w:t>
      </w:r>
      <w:r w:rsidRPr="003F7F9F">
        <w:rPr>
          <w:rFonts w:eastAsia="MS Mincho"/>
          <w:lang w:val="fr-FR"/>
        </w:rPr>
        <w:t>n</w:t>
      </w:r>
      <w:r w:rsidRPr="003F7F9F">
        <w:rPr>
          <w:rFonts w:eastAsia="MS Mincho"/>
          <w:vertAlign w:val="superscript"/>
          <w:lang w:val="fr-FR"/>
        </w:rPr>
        <w:t>o</w:t>
      </w:r>
      <w:r w:rsidRPr="003F7F9F">
        <w:rPr>
          <w:lang w:val="fr-FR"/>
        </w:rPr>
        <w:t> 137, à titre de variante pour éviter la redondance des essais. Il est fondé sur le document informel GRSP</w:t>
      </w:r>
      <w:r w:rsidRPr="003F7F9F">
        <w:rPr>
          <w:lang w:val="fr-FR"/>
        </w:rPr>
        <w:noBreakHyphen/>
        <w:t xml:space="preserve">60-07 qui a été distribué sans cote à la soixantième session du Groupe de travail de la sécurité passive (GRSP) (ECE/TRANS/WP.29/GRSP/60, par. 52). Les modifications qu’il est proposé d’apporter au texte du Règlement </w:t>
      </w:r>
      <w:r w:rsidRPr="003F7F9F">
        <w:rPr>
          <w:rFonts w:eastAsia="MS Mincho"/>
          <w:lang w:val="fr-FR"/>
        </w:rPr>
        <w:t>n</w:t>
      </w:r>
      <w:r w:rsidRPr="003F7F9F">
        <w:rPr>
          <w:rFonts w:eastAsia="MS Mincho"/>
          <w:vertAlign w:val="superscript"/>
          <w:lang w:val="fr-FR"/>
        </w:rPr>
        <w:t>o</w:t>
      </w:r>
      <w:r w:rsidRPr="003F7F9F">
        <w:rPr>
          <w:lang w:val="fr-FR"/>
        </w:rPr>
        <w:t> 12 sont signalées en caractères gras pour les ajouts ou en caractères biffés pour les suppressions.</w:t>
      </w:r>
    </w:p>
    <w:p w:rsidR="00FC4EAD" w:rsidRPr="003F7F9F" w:rsidRDefault="00FC4EAD" w:rsidP="004D28C5">
      <w:pPr>
        <w:pStyle w:val="HChG"/>
        <w:spacing w:before="240"/>
        <w:rPr>
          <w:snapToGrid w:val="0"/>
          <w:lang w:val="fr-FR" w:eastAsia="ja-JP"/>
        </w:rPr>
      </w:pPr>
      <w:r w:rsidRPr="003F7F9F">
        <w:rPr>
          <w:lang w:val="fr-FR"/>
        </w:rPr>
        <w:br w:type="page"/>
      </w:r>
      <w:r w:rsidRPr="003F7F9F">
        <w:rPr>
          <w:snapToGrid w:val="0"/>
          <w:lang w:val="fr-FR" w:eastAsia="ja-JP"/>
        </w:rPr>
        <w:lastRenderedPageBreak/>
        <w:tab/>
        <w:t>I.</w:t>
      </w:r>
      <w:r w:rsidRPr="003F7F9F">
        <w:rPr>
          <w:snapToGrid w:val="0"/>
          <w:lang w:val="fr-FR" w:eastAsia="ja-JP"/>
        </w:rPr>
        <w:tab/>
        <w:t xml:space="preserve">Proposition </w:t>
      </w:r>
    </w:p>
    <w:p w:rsidR="00FC4EAD" w:rsidRPr="003F7F9F" w:rsidRDefault="00FC4EAD" w:rsidP="00FC4EAD">
      <w:pPr>
        <w:pStyle w:val="SingleTxtG"/>
        <w:rPr>
          <w:lang w:val="fr-FR"/>
        </w:rPr>
      </w:pPr>
      <w:r w:rsidRPr="003F7F9F">
        <w:rPr>
          <w:i/>
          <w:iCs/>
          <w:lang w:val="fr-FR"/>
        </w:rPr>
        <w:t>Paragraphes 3.1.2.6 et 3.1.2.7</w:t>
      </w:r>
      <w:r w:rsidRPr="003F7F9F">
        <w:rPr>
          <w:lang w:val="fr-FR"/>
        </w:rPr>
        <w:t xml:space="preserve">, </w:t>
      </w:r>
      <w:proofErr w:type="gramStart"/>
      <w:r w:rsidRPr="003F7F9F">
        <w:rPr>
          <w:lang w:val="fr-FR"/>
        </w:rPr>
        <w:t>modifier</w:t>
      </w:r>
      <w:proofErr w:type="gramEnd"/>
      <w:r w:rsidRPr="003F7F9F">
        <w:rPr>
          <w:lang w:val="fr-FR"/>
        </w:rPr>
        <w:t xml:space="preserve"> comme suit</w:t>
      </w:r>
      <w:r w:rsidR="003F7F9F" w:rsidRPr="003F7F9F">
        <w:rPr>
          <w:lang w:val="fr-FR"/>
        </w:rPr>
        <w:t> :</w:t>
      </w:r>
    </w:p>
    <w:p w:rsidR="00FC4EAD" w:rsidRPr="003F7F9F" w:rsidRDefault="00FC4EAD" w:rsidP="00FC4EAD">
      <w:pPr>
        <w:pStyle w:val="SingleTxtG"/>
        <w:ind w:left="2268" w:hanging="1134"/>
        <w:rPr>
          <w:lang w:val="fr-FR"/>
        </w:rPr>
      </w:pPr>
      <w:r w:rsidRPr="003F7F9F">
        <w:rPr>
          <w:lang w:val="fr-FR"/>
        </w:rPr>
        <w:t>« 3.1.2.6</w:t>
      </w:r>
      <w:r w:rsidRPr="003F7F9F">
        <w:rPr>
          <w:lang w:val="fr-FR"/>
        </w:rPr>
        <w:tab/>
        <w:t>Éléments prouvant que le mécanisme de direction répond aux prescriptions du paragraphe 5.2.2 du Règlement n</w:t>
      </w:r>
      <w:r w:rsidRPr="003F7F9F">
        <w:rPr>
          <w:vertAlign w:val="superscript"/>
          <w:lang w:val="fr-FR"/>
        </w:rPr>
        <w:t>o</w:t>
      </w:r>
      <w:r w:rsidRPr="003F7F9F">
        <w:rPr>
          <w:lang w:val="fr-FR"/>
        </w:rPr>
        <w:t xml:space="preserve"> 94 </w:t>
      </w:r>
      <w:r w:rsidRPr="003F7F9F">
        <w:rPr>
          <w:b/>
          <w:lang w:val="fr-FR"/>
        </w:rPr>
        <w:t>ou à celles du paragraphe 5.2.2.1 du Règlement n</w:t>
      </w:r>
      <w:r w:rsidRPr="003F7F9F">
        <w:rPr>
          <w:b/>
          <w:vertAlign w:val="superscript"/>
          <w:lang w:val="fr-FR"/>
        </w:rPr>
        <w:t>o</w:t>
      </w:r>
      <w:r w:rsidRPr="003F7F9F">
        <w:rPr>
          <w:b/>
          <w:lang w:val="fr-FR"/>
        </w:rPr>
        <w:t> 137</w:t>
      </w:r>
      <w:r w:rsidRPr="003F7F9F">
        <w:rPr>
          <w:lang w:val="fr-FR"/>
        </w:rPr>
        <w:t>, si l’homologation est demandée en application du paragraphe 5.1.2 ci-après</w:t>
      </w:r>
      <w:r w:rsidR="003F7F9F" w:rsidRPr="003F7F9F">
        <w:rPr>
          <w:lang w:val="fr-FR"/>
        </w:rPr>
        <w:t> ;</w:t>
      </w:r>
    </w:p>
    <w:p w:rsidR="00FC4EAD" w:rsidRPr="003F7F9F" w:rsidRDefault="00FC4EAD" w:rsidP="00FC4EAD">
      <w:pPr>
        <w:pStyle w:val="SingleTxtG"/>
        <w:ind w:left="2268" w:hanging="1134"/>
        <w:rPr>
          <w:lang w:val="fr-FR"/>
        </w:rPr>
      </w:pPr>
      <w:r w:rsidRPr="003F7F9F">
        <w:rPr>
          <w:lang w:val="fr-FR"/>
        </w:rPr>
        <w:t>3.1.2.7</w:t>
      </w:r>
      <w:r w:rsidRPr="003F7F9F">
        <w:rPr>
          <w:lang w:val="fr-FR"/>
        </w:rPr>
        <w:tab/>
        <w:t>Éléments prouvant que la commande de direction répond aux prescriptions des paragraphes 5.2.1.4 et 5.2.1.5 du Règlement n</w:t>
      </w:r>
      <w:r w:rsidRPr="003F7F9F">
        <w:rPr>
          <w:vertAlign w:val="superscript"/>
          <w:lang w:val="fr-FR"/>
        </w:rPr>
        <w:t>o</w:t>
      </w:r>
      <w:r w:rsidRPr="003F7F9F">
        <w:rPr>
          <w:lang w:val="fr-FR"/>
        </w:rPr>
        <w:t xml:space="preserve"> 94 </w:t>
      </w:r>
      <w:r w:rsidRPr="003F7F9F">
        <w:rPr>
          <w:b/>
          <w:lang w:val="fr-FR"/>
        </w:rPr>
        <w:t xml:space="preserve">ou à celles des paragraphes 5.2.1.1.3 et 5.2.1.1.4 du Règlement </w:t>
      </w:r>
      <w:r w:rsidRPr="003F7F9F">
        <w:rPr>
          <w:rFonts w:eastAsia="MS Mincho"/>
          <w:b/>
          <w:lang w:val="fr-FR"/>
        </w:rPr>
        <w:t>n</w:t>
      </w:r>
      <w:r w:rsidRPr="003F7F9F">
        <w:rPr>
          <w:rFonts w:eastAsia="MS Mincho"/>
          <w:b/>
          <w:vertAlign w:val="superscript"/>
          <w:lang w:val="fr-FR"/>
        </w:rPr>
        <w:t>o</w:t>
      </w:r>
      <w:r w:rsidRPr="003F7F9F">
        <w:rPr>
          <w:b/>
          <w:lang w:val="fr-FR"/>
        </w:rPr>
        <w:t> 137</w:t>
      </w:r>
      <w:r w:rsidRPr="003F7F9F">
        <w:rPr>
          <w:lang w:val="fr-FR"/>
        </w:rPr>
        <w:t>, si l’homologation est demandée en application du paragraphe 5.2.1 ci-après</w:t>
      </w:r>
      <w:r w:rsidR="003F7F9F" w:rsidRPr="003F7F9F">
        <w:rPr>
          <w:lang w:val="fr-FR"/>
        </w:rPr>
        <w:t> ;</w:t>
      </w:r>
      <w:r w:rsidRPr="003F7F9F">
        <w:rPr>
          <w:lang w:val="fr-FR"/>
        </w:rPr>
        <w:t> ».</w:t>
      </w:r>
    </w:p>
    <w:p w:rsidR="00FC4EAD" w:rsidRPr="003F7F9F" w:rsidRDefault="00FC4EAD" w:rsidP="00FC4EAD">
      <w:pPr>
        <w:pStyle w:val="SingleTxtG"/>
        <w:rPr>
          <w:lang w:val="fr-FR"/>
        </w:rPr>
      </w:pPr>
      <w:r w:rsidRPr="003F7F9F">
        <w:rPr>
          <w:i/>
          <w:lang w:val="fr-FR"/>
        </w:rPr>
        <w:t>Paragraphe 3.2.2.3</w:t>
      </w:r>
      <w:r w:rsidRPr="003F7F9F">
        <w:rPr>
          <w:iCs/>
          <w:lang w:val="fr-FR"/>
        </w:rPr>
        <w:t xml:space="preserve">, </w:t>
      </w:r>
      <w:proofErr w:type="gramStart"/>
      <w:r w:rsidRPr="003F7F9F">
        <w:rPr>
          <w:lang w:val="fr-FR"/>
        </w:rPr>
        <w:t>modifier</w:t>
      </w:r>
      <w:proofErr w:type="gramEnd"/>
      <w:r w:rsidRPr="003F7F9F">
        <w:rPr>
          <w:lang w:val="fr-FR"/>
        </w:rPr>
        <w:t xml:space="preserve"> comme suit</w:t>
      </w:r>
      <w:r w:rsidR="003F7F9F" w:rsidRPr="003F7F9F">
        <w:rPr>
          <w:lang w:val="fr-FR"/>
        </w:rPr>
        <w:t> :</w:t>
      </w:r>
    </w:p>
    <w:p w:rsidR="00FC4EAD" w:rsidRPr="003F7F9F" w:rsidRDefault="00FC4EAD" w:rsidP="00FC4EAD">
      <w:pPr>
        <w:pStyle w:val="SingleTxtG"/>
        <w:ind w:left="2268" w:hanging="1134"/>
        <w:rPr>
          <w:lang w:val="fr-FR"/>
        </w:rPr>
      </w:pPr>
      <w:r w:rsidRPr="003F7F9F">
        <w:rPr>
          <w:lang w:val="fr-FR"/>
        </w:rPr>
        <w:t>« 3.2.2.3</w:t>
      </w:r>
      <w:r w:rsidRPr="003F7F9F">
        <w:rPr>
          <w:lang w:val="fr-FR"/>
        </w:rPr>
        <w:tab/>
        <w:t xml:space="preserve">Éléments </w:t>
      </w:r>
      <w:r w:rsidRPr="003F7F9F">
        <w:rPr>
          <w:bCs/>
          <w:lang w:val="fr-FR"/>
        </w:rPr>
        <w:t>prouvant que la commande de direction répond aux prescriptions des paragraphes 5.2.1.4 et 5.2.1.5 du Règlement n</w:t>
      </w:r>
      <w:r w:rsidRPr="003F7F9F">
        <w:rPr>
          <w:bCs/>
          <w:vertAlign w:val="superscript"/>
          <w:lang w:val="fr-FR"/>
        </w:rPr>
        <w:t>o</w:t>
      </w:r>
      <w:r w:rsidRPr="003F7F9F">
        <w:rPr>
          <w:bCs/>
          <w:lang w:val="fr-FR"/>
        </w:rPr>
        <w:t xml:space="preserve"> 94 </w:t>
      </w:r>
      <w:r w:rsidRPr="003F7F9F">
        <w:rPr>
          <w:b/>
          <w:bCs/>
          <w:lang w:val="fr-FR"/>
        </w:rPr>
        <w:t xml:space="preserve">ou à celles des paragraphes 5.2.1.1.3 et 5.2.1.1.4 du Règlement </w:t>
      </w:r>
      <w:r w:rsidRPr="003F7F9F">
        <w:rPr>
          <w:rFonts w:eastAsia="MS Mincho"/>
          <w:b/>
          <w:bCs/>
          <w:lang w:val="fr-FR"/>
        </w:rPr>
        <w:t>n</w:t>
      </w:r>
      <w:r w:rsidRPr="003F7F9F">
        <w:rPr>
          <w:rFonts w:eastAsia="MS Mincho"/>
          <w:b/>
          <w:bCs/>
          <w:vertAlign w:val="superscript"/>
          <w:lang w:val="fr-FR"/>
        </w:rPr>
        <w:t>o</w:t>
      </w:r>
      <w:r w:rsidRPr="003F7F9F">
        <w:rPr>
          <w:b/>
          <w:bCs/>
          <w:lang w:val="fr-FR"/>
        </w:rPr>
        <w:t> 137</w:t>
      </w:r>
      <w:r w:rsidRPr="003F7F9F">
        <w:rPr>
          <w:bCs/>
          <w:lang w:val="fr-FR"/>
        </w:rPr>
        <w:t>, si l’homologation est demandée en application du paragraphe 5.2.1 ci-après</w:t>
      </w:r>
      <w:r w:rsidR="003F7F9F" w:rsidRPr="003F7F9F">
        <w:rPr>
          <w:bCs/>
          <w:lang w:val="fr-FR"/>
        </w:rPr>
        <w:t> ;</w:t>
      </w:r>
      <w:r w:rsidRPr="003F7F9F">
        <w:rPr>
          <w:lang w:val="fr-FR"/>
        </w:rPr>
        <w:t> ».</w:t>
      </w:r>
    </w:p>
    <w:p w:rsidR="00FC4EAD" w:rsidRPr="003F7F9F" w:rsidRDefault="00FC4EAD" w:rsidP="00FC4EAD">
      <w:pPr>
        <w:pStyle w:val="SingleTxtG"/>
        <w:rPr>
          <w:lang w:val="fr-FR"/>
        </w:rPr>
      </w:pPr>
      <w:r w:rsidRPr="003F7F9F">
        <w:rPr>
          <w:i/>
          <w:lang w:val="fr-FR"/>
        </w:rPr>
        <w:t>Paragraphe 4.3.4.3</w:t>
      </w:r>
      <w:r w:rsidRPr="003F7F9F">
        <w:rPr>
          <w:iCs/>
          <w:lang w:val="fr-FR"/>
        </w:rPr>
        <w:t xml:space="preserve">, </w:t>
      </w:r>
      <w:proofErr w:type="gramStart"/>
      <w:r w:rsidRPr="003F7F9F">
        <w:rPr>
          <w:lang w:val="fr-FR"/>
        </w:rPr>
        <w:t>modifier</w:t>
      </w:r>
      <w:proofErr w:type="gramEnd"/>
      <w:r w:rsidRPr="003F7F9F">
        <w:rPr>
          <w:lang w:val="fr-FR"/>
        </w:rPr>
        <w:t xml:space="preserve"> comme suit</w:t>
      </w:r>
      <w:r w:rsidR="003F7F9F" w:rsidRPr="003F7F9F">
        <w:rPr>
          <w:lang w:val="fr-FR"/>
        </w:rPr>
        <w:t> :</w:t>
      </w:r>
    </w:p>
    <w:p w:rsidR="00FC4EAD" w:rsidRPr="003F7F9F" w:rsidRDefault="00FC4EAD" w:rsidP="00FC4EAD">
      <w:pPr>
        <w:pStyle w:val="SingleTxtG"/>
        <w:ind w:left="2268" w:hanging="1134"/>
        <w:rPr>
          <w:lang w:val="fr-FR"/>
        </w:rPr>
      </w:pPr>
      <w:r w:rsidRPr="003F7F9F">
        <w:rPr>
          <w:lang w:val="fr-FR"/>
        </w:rPr>
        <w:t>« 4.3.4.3</w:t>
      </w:r>
      <w:r w:rsidRPr="003F7F9F">
        <w:rPr>
          <w:lang w:val="fr-FR"/>
        </w:rPr>
        <w:tab/>
        <w:t xml:space="preserve">Du symbole R94-02 </w:t>
      </w:r>
      <w:r w:rsidRPr="003F7F9F">
        <w:rPr>
          <w:b/>
          <w:lang w:val="fr-FR"/>
        </w:rPr>
        <w:t>ou R137</w:t>
      </w:r>
      <w:r w:rsidRPr="003F7F9F">
        <w:rPr>
          <w:lang w:val="fr-FR"/>
        </w:rPr>
        <w:t xml:space="preserve"> dans le cas d’une homologation conforme au paragraphe 5.2.1 ci-après</w:t>
      </w:r>
      <w:r w:rsidR="003F7F9F" w:rsidRPr="003F7F9F">
        <w:rPr>
          <w:lang w:val="fr-FR"/>
        </w:rPr>
        <w:t> ;</w:t>
      </w:r>
      <w:r w:rsidRPr="003F7F9F">
        <w:rPr>
          <w:lang w:val="fr-FR"/>
        </w:rPr>
        <w:t> ».</w:t>
      </w:r>
    </w:p>
    <w:p w:rsidR="00FC4EAD" w:rsidRPr="003F7F9F" w:rsidRDefault="00FC4EAD" w:rsidP="00FC4EAD">
      <w:pPr>
        <w:pStyle w:val="SingleTxtG"/>
        <w:rPr>
          <w:lang w:val="fr-FR"/>
        </w:rPr>
      </w:pPr>
      <w:r w:rsidRPr="003F7F9F">
        <w:rPr>
          <w:i/>
          <w:lang w:val="fr-FR"/>
        </w:rPr>
        <w:t>Paragraphe 5.1.2</w:t>
      </w:r>
      <w:r w:rsidRPr="003F7F9F">
        <w:rPr>
          <w:iCs/>
          <w:lang w:val="fr-FR"/>
        </w:rPr>
        <w:t xml:space="preserve">, </w:t>
      </w:r>
      <w:proofErr w:type="gramStart"/>
      <w:r w:rsidRPr="003F7F9F">
        <w:rPr>
          <w:lang w:val="fr-FR"/>
        </w:rPr>
        <w:t>modifier</w:t>
      </w:r>
      <w:proofErr w:type="gramEnd"/>
      <w:r w:rsidRPr="003F7F9F">
        <w:rPr>
          <w:lang w:val="fr-FR"/>
        </w:rPr>
        <w:t xml:space="preserve"> comme suit</w:t>
      </w:r>
      <w:r w:rsidR="003F7F9F" w:rsidRPr="003F7F9F">
        <w:rPr>
          <w:lang w:val="fr-FR"/>
        </w:rPr>
        <w:t> :</w:t>
      </w:r>
    </w:p>
    <w:p w:rsidR="00FC4EAD" w:rsidRPr="003F7F9F" w:rsidRDefault="00FC4EAD" w:rsidP="00FC4EAD">
      <w:pPr>
        <w:pStyle w:val="SingleTxtG"/>
        <w:ind w:left="2268" w:hanging="1134"/>
        <w:rPr>
          <w:lang w:val="fr-FR"/>
        </w:rPr>
      </w:pPr>
      <w:r w:rsidRPr="003F7F9F">
        <w:rPr>
          <w:lang w:val="fr-FR"/>
        </w:rPr>
        <w:t>« 5.1.2</w:t>
      </w:r>
      <w:r w:rsidRPr="003F7F9F">
        <w:rPr>
          <w:lang w:val="fr-FR"/>
        </w:rPr>
        <w:tab/>
        <w:t xml:space="preserve">… </w:t>
      </w:r>
      <w:r w:rsidRPr="003F7F9F">
        <w:rPr>
          <w:bCs/>
          <w:lang w:val="fr-FR"/>
        </w:rPr>
        <w:t xml:space="preserve">est </w:t>
      </w:r>
      <w:r w:rsidRPr="003F7F9F">
        <w:rPr>
          <w:lang w:val="fr-FR"/>
        </w:rPr>
        <w:t>conforme</w:t>
      </w:r>
      <w:r w:rsidRPr="003F7F9F">
        <w:rPr>
          <w:bCs/>
          <w:lang w:val="fr-FR"/>
        </w:rPr>
        <w:t xml:space="preserve"> aux prescriptions du paragraphe 5.2.2 du Règlement n</w:t>
      </w:r>
      <w:r w:rsidRPr="003F7F9F">
        <w:rPr>
          <w:bCs/>
          <w:vertAlign w:val="superscript"/>
          <w:lang w:val="fr-FR"/>
        </w:rPr>
        <w:t>o</w:t>
      </w:r>
      <w:r w:rsidRPr="003F7F9F">
        <w:rPr>
          <w:bCs/>
          <w:lang w:val="fr-FR"/>
        </w:rPr>
        <w:t xml:space="preserve"> 94 </w:t>
      </w:r>
      <w:r w:rsidRPr="003F7F9F">
        <w:rPr>
          <w:b/>
          <w:lang w:val="fr-FR"/>
        </w:rPr>
        <w:t xml:space="preserve">ou à celles du paragraphe 5.2.2.1 du Règlement </w:t>
      </w:r>
      <w:r w:rsidRPr="003F7F9F">
        <w:rPr>
          <w:rFonts w:eastAsia="MS Mincho"/>
          <w:b/>
          <w:lang w:val="fr-FR"/>
        </w:rPr>
        <w:t>n</w:t>
      </w:r>
      <w:r w:rsidRPr="003F7F9F">
        <w:rPr>
          <w:rFonts w:eastAsia="MS Mincho"/>
          <w:b/>
          <w:vertAlign w:val="superscript"/>
          <w:lang w:val="fr-FR"/>
        </w:rPr>
        <w:t>o</w:t>
      </w:r>
      <w:r w:rsidRPr="003F7F9F">
        <w:rPr>
          <w:b/>
          <w:lang w:val="fr-FR"/>
        </w:rPr>
        <w:t> 137</w:t>
      </w:r>
      <w:r w:rsidR="003F7F9F" w:rsidRPr="003F7F9F">
        <w:rPr>
          <w:lang w:val="fr-FR"/>
        </w:rPr>
        <w:t> ;</w:t>
      </w:r>
      <w:r w:rsidRPr="003F7F9F">
        <w:rPr>
          <w:lang w:val="fr-FR"/>
        </w:rPr>
        <w:t> ».</w:t>
      </w:r>
    </w:p>
    <w:p w:rsidR="00FC4EAD" w:rsidRPr="003F7F9F" w:rsidRDefault="00FC4EAD" w:rsidP="00FC4EAD">
      <w:pPr>
        <w:pStyle w:val="SingleTxtG"/>
        <w:rPr>
          <w:lang w:val="fr-FR"/>
        </w:rPr>
      </w:pPr>
      <w:r w:rsidRPr="003F7F9F">
        <w:rPr>
          <w:i/>
          <w:lang w:val="fr-FR"/>
        </w:rPr>
        <w:t>Paragraphe 5.2.1</w:t>
      </w:r>
      <w:r w:rsidRPr="003F7F9F">
        <w:rPr>
          <w:iCs/>
          <w:lang w:val="fr-FR"/>
        </w:rPr>
        <w:t xml:space="preserve">, </w:t>
      </w:r>
      <w:proofErr w:type="gramStart"/>
      <w:r w:rsidRPr="003F7F9F">
        <w:rPr>
          <w:lang w:val="fr-FR"/>
        </w:rPr>
        <w:t>modifier</w:t>
      </w:r>
      <w:proofErr w:type="gramEnd"/>
      <w:r w:rsidRPr="003F7F9F">
        <w:rPr>
          <w:lang w:val="fr-FR"/>
        </w:rPr>
        <w:t xml:space="preserve"> comme suit</w:t>
      </w:r>
      <w:r w:rsidR="003F7F9F" w:rsidRPr="003F7F9F">
        <w:rPr>
          <w:lang w:val="fr-FR"/>
        </w:rPr>
        <w:t> :</w:t>
      </w:r>
    </w:p>
    <w:p w:rsidR="00FC4EAD" w:rsidRPr="003F7F9F" w:rsidRDefault="00FC4EAD" w:rsidP="00FC4EAD">
      <w:pPr>
        <w:pStyle w:val="SingleTxtG"/>
        <w:ind w:left="2268" w:hanging="1134"/>
        <w:rPr>
          <w:lang w:val="fr-FR"/>
        </w:rPr>
      </w:pPr>
      <w:r w:rsidRPr="003F7F9F">
        <w:rPr>
          <w:lang w:val="fr-FR"/>
        </w:rPr>
        <w:t>« 5.2.1</w:t>
      </w:r>
      <w:r w:rsidRPr="003F7F9F">
        <w:rPr>
          <w:lang w:val="fr-FR"/>
        </w:rPr>
        <w:tab/>
      </w:r>
      <w:r w:rsidRPr="003F7F9F">
        <w:rPr>
          <w:bCs/>
          <w:lang w:val="fr-FR"/>
        </w:rPr>
        <w:t>Si la commande de direction est munie d’un coussin gonflable, les prescriptions du paragraphe 5.2 ci-dessus sont considérées comme respectées si le véhicule équipé de ce système de direction est conforme aux prescriptions des paragraphes 5.2.1.4 et 5.2.1.5 du Règlement n</w:t>
      </w:r>
      <w:r w:rsidRPr="003F7F9F">
        <w:rPr>
          <w:bCs/>
          <w:vertAlign w:val="superscript"/>
          <w:lang w:val="fr-FR"/>
        </w:rPr>
        <w:t>o</w:t>
      </w:r>
      <w:r w:rsidRPr="003F7F9F">
        <w:rPr>
          <w:bCs/>
          <w:lang w:val="fr-FR"/>
        </w:rPr>
        <w:t> 94</w:t>
      </w:r>
      <w:r w:rsidRPr="003F7F9F">
        <w:rPr>
          <w:lang w:val="fr-FR"/>
        </w:rPr>
        <w:t xml:space="preserve"> </w:t>
      </w:r>
      <w:r w:rsidRPr="003F7F9F">
        <w:rPr>
          <w:b/>
          <w:lang w:val="fr-FR"/>
        </w:rPr>
        <w:t xml:space="preserve">ou à celles des paragraphes 5.2.1.1.3 et 5.2.1.1.4 du Règlement </w:t>
      </w:r>
      <w:r w:rsidRPr="003F7F9F">
        <w:rPr>
          <w:rFonts w:eastAsia="MS Mincho"/>
          <w:b/>
          <w:lang w:val="fr-FR"/>
        </w:rPr>
        <w:t>n</w:t>
      </w:r>
      <w:r w:rsidRPr="003F7F9F">
        <w:rPr>
          <w:rFonts w:eastAsia="MS Mincho"/>
          <w:b/>
          <w:vertAlign w:val="superscript"/>
          <w:lang w:val="fr-FR"/>
        </w:rPr>
        <w:t>o</w:t>
      </w:r>
      <w:r w:rsidRPr="003F7F9F">
        <w:rPr>
          <w:b/>
          <w:lang w:val="fr-FR"/>
        </w:rPr>
        <w:t> 137</w:t>
      </w:r>
      <w:r w:rsidR="003F7F9F" w:rsidRPr="003F7F9F">
        <w:rPr>
          <w:lang w:val="fr-FR"/>
        </w:rPr>
        <w:t> ;</w:t>
      </w:r>
      <w:r w:rsidRPr="003F7F9F">
        <w:rPr>
          <w:lang w:val="fr-FR"/>
        </w:rPr>
        <w:t> ».</w:t>
      </w:r>
    </w:p>
    <w:p w:rsidR="00FC4EAD" w:rsidRPr="003F7F9F" w:rsidRDefault="00FC4EAD" w:rsidP="00FC4EAD">
      <w:pPr>
        <w:pStyle w:val="SingleTxtG"/>
        <w:rPr>
          <w:lang w:val="fr-FR"/>
        </w:rPr>
      </w:pPr>
      <w:r w:rsidRPr="003F7F9F">
        <w:rPr>
          <w:i/>
          <w:lang w:val="fr-FR"/>
        </w:rPr>
        <w:t>Paragraphe 5.6</w:t>
      </w:r>
      <w:r w:rsidRPr="003F7F9F">
        <w:rPr>
          <w:iCs/>
          <w:lang w:val="fr-FR"/>
        </w:rPr>
        <w:t xml:space="preserve">, </w:t>
      </w:r>
      <w:proofErr w:type="gramStart"/>
      <w:r w:rsidRPr="003F7F9F">
        <w:rPr>
          <w:lang w:val="fr-FR"/>
        </w:rPr>
        <w:t>modifier</w:t>
      </w:r>
      <w:proofErr w:type="gramEnd"/>
      <w:r w:rsidRPr="003F7F9F">
        <w:rPr>
          <w:lang w:val="fr-FR"/>
        </w:rPr>
        <w:t xml:space="preserve"> comme suit</w:t>
      </w:r>
      <w:r w:rsidR="003F7F9F" w:rsidRPr="003F7F9F">
        <w:rPr>
          <w:lang w:val="fr-FR"/>
        </w:rPr>
        <w:t> :</w:t>
      </w:r>
    </w:p>
    <w:p w:rsidR="00FC4EAD" w:rsidRPr="003F7F9F" w:rsidRDefault="00FC4EAD" w:rsidP="00FC4EAD">
      <w:pPr>
        <w:pStyle w:val="SingleTxtG"/>
        <w:ind w:left="2268" w:hanging="1134"/>
        <w:rPr>
          <w:lang w:val="fr-FR"/>
        </w:rPr>
      </w:pPr>
      <w:r w:rsidRPr="003F7F9F">
        <w:rPr>
          <w:lang w:val="fr-FR"/>
        </w:rPr>
        <w:t xml:space="preserve">« 5.6 </w:t>
      </w:r>
      <w:r w:rsidRPr="003F7F9F">
        <w:rPr>
          <w:lang w:val="fr-FR"/>
        </w:rPr>
        <w:tab/>
      </w:r>
      <w:r w:rsidRPr="003F7F9F">
        <w:rPr>
          <w:bCs/>
          <w:lang w:val="fr-FR"/>
        </w:rPr>
        <w:t xml:space="preserve">Les </w:t>
      </w:r>
      <w:r w:rsidRPr="003F7F9F">
        <w:rPr>
          <w:lang w:val="fr-FR"/>
        </w:rPr>
        <w:t>prescriptions</w:t>
      </w:r>
      <w:r w:rsidRPr="003F7F9F">
        <w:rPr>
          <w:bCs/>
          <w:lang w:val="fr-FR"/>
        </w:rPr>
        <w:t xml:space="preserve"> des paragraphes 5.5 à 5.5.3 ci-dessus sont considérées comme remplies si le véhicule équipé d’une chaîne de traction électrique à haute tension satisfait aux prescriptions des paragraphes 5.2.8 à 5.2.8.3 du Règlement n</w:t>
      </w:r>
      <w:r w:rsidRPr="003F7F9F">
        <w:rPr>
          <w:bCs/>
          <w:vertAlign w:val="superscript"/>
          <w:lang w:val="fr-FR"/>
        </w:rPr>
        <w:t>o</w:t>
      </w:r>
      <w:r w:rsidRPr="003F7F9F">
        <w:rPr>
          <w:bCs/>
          <w:lang w:val="fr-FR"/>
        </w:rPr>
        <w:t> 94, série 02 d’amendements,</w:t>
      </w:r>
      <w:r w:rsidRPr="003F7F9F">
        <w:rPr>
          <w:lang w:val="fr-FR"/>
        </w:rPr>
        <w:t xml:space="preserve"> </w:t>
      </w:r>
      <w:r w:rsidRPr="003F7F9F">
        <w:rPr>
          <w:b/>
          <w:lang w:val="fr-FR"/>
        </w:rPr>
        <w:t xml:space="preserve">ou à celles des paragraphes 5.2.8 à 5.2.8.3 du Règlement </w:t>
      </w:r>
      <w:r w:rsidRPr="003F7F9F">
        <w:rPr>
          <w:rFonts w:eastAsia="MS Mincho"/>
          <w:b/>
          <w:lang w:val="fr-FR"/>
        </w:rPr>
        <w:t>n</w:t>
      </w:r>
      <w:r w:rsidRPr="003F7F9F">
        <w:rPr>
          <w:rFonts w:eastAsia="MS Mincho"/>
          <w:b/>
          <w:vertAlign w:val="superscript"/>
          <w:lang w:val="fr-FR"/>
        </w:rPr>
        <w:t>o</w:t>
      </w:r>
      <w:r w:rsidRPr="003F7F9F">
        <w:rPr>
          <w:b/>
          <w:lang w:val="fr-FR"/>
        </w:rPr>
        <w:t> 137</w:t>
      </w:r>
      <w:r w:rsidR="003F7F9F" w:rsidRPr="003F7F9F">
        <w:rPr>
          <w:lang w:val="fr-FR"/>
        </w:rPr>
        <w:t> ;</w:t>
      </w:r>
      <w:r w:rsidRPr="003F7F9F">
        <w:rPr>
          <w:lang w:val="fr-FR"/>
        </w:rPr>
        <w:t> ».</w:t>
      </w:r>
    </w:p>
    <w:p w:rsidR="00FC4EAD" w:rsidRPr="003F7F9F" w:rsidRDefault="00FC4EAD" w:rsidP="004D28C5">
      <w:pPr>
        <w:pStyle w:val="HChG"/>
        <w:spacing w:before="240"/>
        <w:rPr>
          <w:snapToGrid w:val="0"/>
          <w:lang w:val="fr-FR" w:eastAsia="ja-JP"/>
        </w:rPr>
      </w:pPr>
      <w:r w:rsidRPr="003F7F9F">
        <w:rPr>
          <w:snapToGrid w:val="0"/>
          <w:lang w:val="fr-FR" w:eastAsia="ja-JP"/>
        </w:rPr>
        <w:tab/>
        <w:t>II.</w:t>
      </w:r>
      <w:r w:rsidRPr="003F7F9F">
        <w:rPr>
          <w:snapToGrid w:val="0"/>
          <w:lang w:val="fr-FR" w:eastAsia="ja-JP"/>
        </w:rPr>
        <w:tab/>
        <w:t>Justification</w:t>
      </w:r>
    </w:p>
    <w:p w:rsidR="00FC4EAD" w:rsidRPr="003F7F9F" w:rsidRDefault="00FC4EAD" w:rsidP="00FC4EAD">
      <w:pPr>
        <w:pStyle w:val="ParNoG"/>
        <w:rPr>
          <w:lang w:val="fr-FR" w:eastAsia="ja-JP"/>
        </w:rPr>
      </w:pPr>
      <w:r w:rsidRPr="003F7F9F">
        <w:rPr>
          <w:lang w:val="fr-FR" w:eastAsia="ja-JP"/>
        </w:rPr>
        <w:t xml:space="preserve">Plusieurs dispositions du Règlement </w:t>
      </w:r>
      <w:r w:rsidRPr="003F7F9F">
        <w:rPr>
          <w:rFonts w:eastAsia="MS Mincho"/>
          <w:lang w:val="fr-FR" w:eastAsia="ja-JP"/>
        </w:rPr>
        <w:t>n</w:t>
      </w:r>
      <w:r w:rsidRPr="003F7F9F">
        <w:rPr>
          <w:rFonts w:eastAsia="MS Mincho"/>
          <w:vertAlign w:val="superscript"/>
          <w:lang w:val="fr-FR" w:eastAsia="ja-JP"/>
        </w:rPr>
        <w:t>o</w:t>
      </w:r>
      <w:r w:rsidRPr="003F7F9F">
        <w:rPr>
          <w:lang w:val="fr-FR" w:eastAsia="ja-JP"/>
        </w:rPr>
        <w:t xml:space="preserve"> 12 autorisent à appliquer des prescriptions du Règlement </w:t>
      </w:r>
      <w:r w:rsidRPr="003F7F9F">
        <w:rPr>
          <w:rFonts w:eastAsia="MS Mincho"/>
          <w:lang w:val="fr-FR" w:eastAsia="ja-JP"/>
        </w:rPr>
        <w:t>n</w:t>
      </w:r>
      <w:r w:rsidRPr="003F7F9F">
        <w:rPr>
          <w:rFonts w:eastAsia="MS Mincho"/>
          <w:vertAlign w:val="superscript"/>
          <w:lang w:val="fr-FR" w:eastAsia="ja-JP"/>
        </w:rPr>
        <w:t>o</w:t>
      </w:r>
      <w:r w:rsidRPr="003F7F9F">
        <w:rPr>
          <w:lang w:val="fr-FR" w:eastAsia="ja-JP"/>
        </w:rPr>
        <w:t xml:space="preserve"> 94 afin d’éviter la redondance des essais. Par exemple, au paragraphe 5.1.2 du Règlement </w:t>
      </w:r>
      <w:r w:rsidRPr="003F7F9F">
        <w:rPr>
          <w:rFonts w:eastAsia="MS Mincho"/>
          <w:lang w:val="fr-FR" w:eastAsia="ja-JP"/>
        </w:rPr>
        <w:t>n</w:t>
      </w:r>
      <w:r w:rsidRPr="003F7F9F">
        <w:rPr>
          <w:rFonts w:eastAsia="MS Mincho"/>
          <w:vertAlign w:val="superscript"/>
          <w:lang w:val="fr-FR" w:eastAsia="ja-JP"/>
        </w:rPr>
        <w:t>o</w:t>
      </w:r>
      <w:r w:rsidRPr="003F7F9F">
        <w:rPr>
          <w:lang w:val="fr-FR" w:eastAsia="ja-JP"/>
        </w:rPr>
        <w:t> 12 (choc avant sans mannequin), l’application des prescriptions du Règlement n</w:t>
      </w:r>
      <w:r w:rsidRPr="003F7F9F">
        <w:rPr>
          <w:vertAlign w:val="superscript"/>
          <w:lang w:val="fr-FR" w:eastAsia="ja-JP"/>
        </w:rPr>
        <w:t>o</w:t>
      </w:r>
      <w:r w:rsidRPr="003F7F9F">
        <w:rPr>
          <w:lang w:val="fr-FR" w:eastAsia="ja-JP"/>
        </w:rPr>
        <w:t xml:space="preserve"> 94 relatives au déplacement du volant est présentée comme une </w:t>
      </w:r>
      <w:r w:rsidRPr="003F7F9F">
        <w:rPr>
          <w:lang w:eastAsia="ja-JP"/>
        </w:rPr>
        <w:t xml:space="preserve">option de remplacement à </w:t>
      </w:r>
      <w:r w:rsidRPr="003F7F9F">
        <w:rPr>
          <w:lang w:val="fr-FR" w:eastAsia="ja-JP"/>
        </w:rPr>
        <w:t xml:space="preserve">l’application des prescriptions du Règlement </w:t>
      </w:r>
      <w:r w:rsidRPr="003F7F9F">
        <w:rPr>
          <w:rFonts w:eastAsia="MS Mincho"/>
          <w:lang w:val="fr-FR" w:eastAsia="ja-JP"/>
        </w:rPr>
        <w:t>n</w:t>
      </w:r>
      <w:r w:rsidRPr="003F7F9F">
        <w:rPr>
          <w:rFonts w:eastAsia="MS Mincho"/>
          <w:vertAlign w:val="superscript"/>
          <w:lang w:val="fr-FR" w:eastAsia="ja-JP"/>
        </w:rPr>
        <w:t>o</w:t>
      </w:r>
      <w:r w:rsidRPr="003F7F9F">
        <w:rPr>
          <w:lang w:val="fr-FR" w:eastAsia="ja-JP"/>
        </w:rPr>
        <w:t xml:space="preserve"> 12. L’OICA propose que les prescriptions énoncées au paragraphe 5.1.2 et dans d’autres paragraphes du Règlement </w:t>
      </w:r>
      <w:r w:rsidRPr="003F7F9F">
        <w:rPr>
          <w:rFonts w:eastAsia="MS Mincho"/>
          <w:lang w:val="fr-FR" w:eastAsia="ja-JP"/>
        </w:rPr>
        <w:t>n</w:t>
      </w:r>
      <w:r w:rsidRPr="003F7F9F">
        <w:rPr>
          <w:rFonts w:eastAsia="MS Mincho"/>
          <w:vertAlign w:val="superscript"/>
          <w:lang w:val="fr-FR" w:eastAsia="ja-JP"/>
        </w:rPr>
        <w:t>o</w:t>
      </w:r>
      <w:r w:rsidRPr="003F7F9F">
        <w:rPr>
          <w:lang w:val="fr-FR" w:eastAsia="ja-JP"/>
        </w:rPr>
        <w:t xml:space="preserve"> 12 soient élargies de manière à inclure les prescriptions équivalentes du Règlement </w:t>
      </w:r>
      <w:r w:rsidRPr="003F7F9F">
        <w:rPr>
          <w:rFonts w:eastAsia="MS Mincho"/>
          <w:lang w:val="fr-FR" w:eastAsia="ja-JP"/>
        </w:rPr>
        <w:t>n</w:t>
      </w:r>
      <w:r w:rsidRPr="003F7F9F">
        <w:rPr>
          <w:rFonts w:eastAsia="MS Mincho"/>
          <w:vertAlign w:val="superscript"/>
          <w:lang w:val="fr-FR" w:eastAsia="ja-JP"/>
        </w:rPr>
        <w:t>o</w:t>
      </w:r>
      <w:r w:rsidRPr="003F7F9F">
        <w:rPr>
          <w:lang w:val="fr-FR" w:eastAsia="ja-JP"/>
        </w:rPr>
        <w:t> 137 (Choc frontal, 50 km/h).</w:t>
      </w:r>
    </w:p>
    <w:p w:rsidR="00FC4EAD" w:rsidRPr="003F7F9F" w:rsidRDefault="00FC4EAD" w:rsidP="00FC4EAD">
      <w:pPr>
        <w:pStyle w:val="ParNoG"/>
        <w:rPr>
          <w:lang w:val="fr-FR" w:eastAsia="ja-JP"/>
        </w:rPr>
      </w:pPr>
      <w:r w:rsidRPr="003F7F9F">
        <w:rPr>
          <w:lang w:val="fr-FR" w:eastAsia="ja-JP"/>
        </w:rPr>
        <w:t xml:space="preserve">« L’essai de choc avant sur toute la largeur d’une paroi rigide » du Règlement </w:t>
      </w:r>
      <w:r w:rsidRPr="003F7F9F">
        <w:rPr>
          <w:rFonts w:eastAsia="MS Mincho"/>
          <w:lang w:val="fr-FR" w:eastAsia="ja-JP"/>
        </w:rPr>
        <w:t>n</w:t>
      </w:r>
      <w:r w:rsidRPr="003F7F9F">
        <w:rPr>
          <w:rFonts w:eastAsia="MS Mincho"/>
          <w:vertAlign w:val="superscript"/>
          <w:lang w:val="fr-FR" w:eastAsia="ja-JP"/>
        </w:rPr>
        <w:t>o</w:t>
      </w:r>
      <w:r w:rsidRPr="003F7F9F">
        <w:rPr>
          <w:lang w:val="fr-FR" w:eastAsia="ja-JP"/>
        </w:rPr>
        <w:t xml:space="preserve"> 137 est aussi un essai de choc avant à grande vitesse (50 km/h) pour lequel les prescriptions relatives à plusieurs éléments sont définies de manière équivalente dans le Règlement </w:t>
      </w:r>
      <w:r w:rsidRPr="003F7F9F">
        <w:rPr>
          <w:rFonts w:eastAsia="MS Mincho"/>
          <w:lang w:val="fr-FR" w:eastAsia="ja-JP"/>
        </w:rPr>
        <w:t>n</w:t>
      </w:r>
      <w:r w:rsidRPr="003F7F9F">
        <w:rPr>
          <w:rFonts w:eastAsia="MS Mincho"/>
          <w:vertAlign w:val="superscript"/>
          <w:lang w:val="fr-FR" w:eastAsia="ja-JP"/>
        </w:rPr>
        <w:t>o</w:t>
      </w:r>
      <w:r w:rsidRPr="003F7F9F">
        <w:rPr>
          <w:lang w:val="fr-FR" w:eastAsia="ja-JP"/>
        </w:rPr>
        <w:t> 12.</w:t>
      </w:r>
    </w:p>
    <w:p w:rsidR="00F9573C" w:rsidRPr="003F7F9F" w:rsidRDefault="00FC4EAD" w:rsidP="004D28C5">
      <w:pPr>
        <w:pStyle w:val="ParNoG"/>
      </w:pPr>
      <w:r w:rsidRPr="003F7F9F">
        <w:rPr>
          <w:lang w:val="fr-FR" w:eastAsia="ja-JP"/>
        </w:rPr>
        <w:t xml:space="preserve">En conséquence, le Règlement </w:t>
      </w:r>
      <w:r w:rsidR="004D28C5" w:rsidRPr="003F7F9F">
        <w:rPr>
          <w:rFonts w:eastAsia="MS Mincho"/>
          <w:lang w:val="fr-FR" w:eastAsia="ja-JP"/>
        </w:rPr>
        <w:t>n</w:t>
      </w:r>
      <w:r w:rsidR="004D28C5" w:rsidRPr="003F7F9F">
        <w:rPr>
          <w:rFonts w:eastAsia="MS Mincho"/>
          <w:vertAlign w:val="superscript"/>
          <w:lang w:val="fr-FR" w:eastAsia="ja-JP"/>
        </w:rPr>
        <w:t>o</w:t>
      </w:r>
      <w:r w:rsidR="004D28C5" w:rsidRPr="003F7F9F">
        <w:rPr>
          <w:lang w:val="fr-FR" w:eastAsia="ja-JP"/>
        </w:rPr>
        <w:t> </w:t>
      </w:r>
      <w:r w:rsidRPr="003F7F9F">
        <w:rPr>
          <w:lang w:val="fr-FR" w:eastAsia="ja-JP"/>
        </w:rPr>
        <w:t xml:space="preserve">12 devrait être aussi complété par des références au Règlement </w:t>
      </w:r>
      <w:r w:rsidR="004D28C5" w:rsidRPr="003F7F9F">
        <w:rPr>
          <w:rFonts w:eastAsia="MS Mincho"/>
          <w:lang w:val="fr-FR" w:eastAsia="ja-JP"/>
        </w:rPr>
        <w:t>n</w:t>
      </w:r>
      <w:r w:rsidR="004D28C5" w:rsidRPr="003F7F9F">
        <w:rPr>
          <w:rFonts w:eastAsia="MS Mincho"/>
          <w:vertAlign w:val="superscript"/>
          <w:lang w:val="fr-FR" w:eastAsia="ja-JP"/>
        </w:rPr>
        <w:t>o</w:t>
      </w:r>
      <w:r w:rsidR="004D28C5" w:rsidRPr="003F7F9F">
        <w:rPr>
          <w:lang w:val="fr-FR" w:eastAsia="ja-JP"/>
        </w:rPr>
        <w:t> </w:t>
      </w:r>
      <w:r w:rsidRPr="003F7F9F">
        <w:rPr>
          <w:lang w:val="fr-FR" w:eastAsia="ja-JP"/>
        </w:rPr>
        <w:t>137.</w:t>
      </w:r>
    </w:p>
    <w:p w:rsidR="00FC4EAD" w:rsidRPr="003F7F9F" w:rsidRDefault="00FC4EAD" w:rsidP="004D28C5">
      <w:pPr>
        <w:pStyle w:val="SingleTxtG"/>
        <w:spacing w:after="0"/>
        <w:jc w:val="center"/>
        <w:rPr>
          <w:u w:val="single"/>
        </w:rPr>
      </w:pPr>
      <w:r w:rsidRPr="003F7F9F">
        <w:rPr>
          <w:u w:val="single"/>
        </w:rPr>
        <w:tab/>
      </w:r>
      <w:r w:rsidRPr="003F7F9F">
        <w:rPr>
          <w:u w:val="single"/>
        </w:rPr>
        <w:tab/>
      </w:r>
      <w:r w:rsidRPr="003F7F9F">
        <w:rPr>
          <w:u w:val="single"/>
        </w:rPr>
        <w:tab/>
      </w:r>
    </w:p>
    <w:sectPr w:rsidR="00FC4EAD" w:rsidRPr="003F7F9F" w:rsidSect="00FC4EAD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0B8" w:rsidRDefault="009550B8" w:rsidP="00F95C08">
      <w:pPr>
        <w:spacing w:line="240" w:lineRule="auto"/>
      </w:pPr>
    </w:p>
  </w:endnote>
  <w:endnote w:type="continuationSeparator" w:id="0">
    <w:p w:rsidR="009550B8" w:rsidRPr="00AC3823" w:rsidRDefault="009550B8" w:rsidP="00AC3823">
      <w:pPr>
        <w:pStyle w:val="Footer"/>
      </w:pPr>
    </w:p>
  </w:endnote>
  <w:endnote w:type="continuationNotice" w:id="1">
    <w:p w:rsidR="009550B8" w:rsidRDefault="009550B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EAD" w:rsidRPr="00FC4EAD" w:rsidRDefault="00FC4EAD" w:rsidP="00FC4EAD">
    <w:pPr>
      <w:pStyle w:val="Footer"/>
      <w:tabs>
        <w:tab w:val="right" w:pos="9638"/>
      </w:tabs>
    </w:pPr>
    <w:r w:rsidRPr="00FC4EAD">
      <w:rPr>
        <w:b/>
        <w:sz w:val="18"/>
      </w:rPr>
      <w:fldChar w:fldCharType="begin"/>
    </w:r>
    <w:r w:rsidRPr="00FC4EAD">
      <w:rPr>
        <w:b/>
        <w:sz w:val="18"/>
      </w:rPr>
      <w:instrText xml:space="preserve"> PAGE  \* MERGEFORMAT </w:instrText>
    </w:r>
    <w:r w:rsidRPr="00FC4EAD">
      <w:rPr>
        <w:b/>
        <w:sz w:val="18"/>
      </w:rPr>
      <w:fldChar w:fldCharType="separate"/>
    </w:r>
    <w:r w:rsidR="009A3F75">
      <w:rPr>
        <w:b/>
        <w:noProof/>
        <w:sz w:val="18"/>
      </w:rPr>
      <w:t>2</w:t>
    </w:r>
    <w:r w:rsidRPr="00FC4EAD">
      <w:rPr>
        <w:b/>
        <w:sz w:val="18"/>
      </w:rPr>
      <w:fldChar w:fldCharType="end"/>
    </w:r>
    <w:r>
      <w:rPr>
        <w:b/>
        <w:sz w:val="18"/>
      </w:rPr>
      <w:tab/>
    </w:r>
    <w:r>
      <w:t>GE.17-02258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EAD" w:rsidRPr="00FC4EAD" w:rsidRDefault="00FC4EAD" w:rsidP="00FC4EAD">
    <w:pPr>
      <w:pStyle w:val="Footer"/>
      <w:tabs>
        <w:tab w:val="right" w:pos="9638"/>
      </w:tabs>
      <w:rPr>
        <w:b/>
        <w:sz w:val="18"/>
      </w:rPr>
    </w:pPr>
    <w:r>
      <w:t>GE.17-02258</w:t>
    </w:r>
    <w:r>
      <w:tab/>
    </w:r>
    <w:r w:rsidRPr="00FC4EAD">
      <w:rPr>
        <w:b/>
        <w:sz w:val="18"/>
      </w:rPr>
      <w:fldChar w:fldCharType="begin"/>
    </w:r>
    <w:r w:rsidRPr="00FC4EAD">
      <w:rPr>
        <w:b/>
        <w:sz w:val="18"/>
      </w:rPr>
      <w:instrText xml:space="preserve"> PAGE  \* MERGEFORMAT </w:instrText>
    </w:r>
    <w:r w:rsidRPr="00FC4EAD">
      <w:rPr>
        <w:b/>
        <w:sz w:val="18"/>
      </w:rPr>
      <w:fldChar w:fldCharType="separate"/>
    </w:r>
    <w:r w:rsidR="004D28C5">
      <w:rPr>
        <w:b/>
        <w:noProof/>
        <w:sz w:val="18"/>
      </w:rPr>
      <w:t>3</w:t>
    </w:r>
    <w:r w:rsidRPr="00FC4EAD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0FA" w:rsidRPr="00FC4EAD" w:rsidRDefault="00FC4EAD" w:rsidP="00FC4EAD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0" wp14:anchorId="7184CA65" wp14:editId="0E5575FD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17-02258  (F)    201217    080317</w:t>
    </w:r>
    <w:r>
      <w:rPr>
        <w:sz w:val="20"/>
      </w:rPr>
      <w:br/>
    </w:r>
    <w:r w:rsidRPr="00FC4EAD">
      <w:rPr>
        <w:rFonts w:ascii="C39T30Lfz" w:hAnsi="C39T30Lfz"/>
        <w:sz w:val="56"/>
      </w:rPr>
      <w:t></w:t>
    </w:r>
    <w:r w:rsidRPr="00FC4EAD">
      <w:rPr>
        <w:rFonts w:ascii="C39T30Lfz" w:hAnsi="C39T30Lfz"/>
        <w:sz w:val="56"/>
      </w:rPr>
      <w:t></w:t>
    </w:r>
    <w:r w:rsidRPr="00FC4EAD">
      <w:rPr>
        <w:rFonts w:ascii="C39T30Lfz" w:hAnsi="C39T30Lfz"/>
        <w:sz w:val="56"/>
      </w:rPr>
      <w:t></w:t>
    </w:r>
    <w:r w:rsidRPr="00FC4EAD">
      <w:rPr>
        <w:rFonts w:ascii="C39T30Lfz" w:hAnsi="C39T30Lfz"/>
        <w:sz w:val="56"/>
      </w:rPr>
      <w:t></w:t>
    </w:r>
    <w:r w:rsidRPr="00FC4EAD">
      <w:rPr>
        <w:rFonts w:ascii="C39T30Lfz" w:hAnsi="C39T30Lfz"/>
        <w:sz w:val="56"/>
      </w:rPr>
      <w:t></w:t>
    </w:r>
    <w:r w:rsidRPr="00FC4EAD">
      <w:rPr>
        <w:rFonts w:ascii="C39T30Lfz" w:hAnsi="C39T30Lfz"/>
        <w:sz w:val="56"/>
      </w:rPr>
      <w:t></w:t>
    </w:r>
    <w:r w:rsidRPr="00FC4EAD">
      <w:rPr>
        <w:rFonts w:ascii="C39T30Lfz" w:hAnsi="C39T30Lfz"/>
        <w:sz w:val="56"/>
      </w:rPr>
      <w:t></w:t>
    </w:r>
    <w:r w:rsidRPr="00FC4EAD">
      <w:rPr>
        <w:rFonts w:ascii="C39T30Lfz" w:hAnsi="C39T30Lfz"/>
        <w:sz w:val="56"/>
      </w:rPr>
      <w:t></w:t>
    </w:r>
    <w:r w:rsidRPr="00FC4EAD">
      <w:rPr>
        <w:rFonts w:ascii="C39T30Lfz" w:hAnsi="C39T30Lfz"/>
        <w:sz w:val="56"/>
      </w:rPr>
      <w:t></w:t>
    </w:r>
    <w:r>
      <w:rPr>
        <w:noProof/>
        <w:sz w:val="20"/>
        <w:lang w:val="en-GB"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://undocs.org/m2/QRCode.ashx?DS=ECE/TRANS/WP.29/GRSP/2017/6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.ashx?DS=ECE/TRANS/WP.29/GRSP/2017/6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0B8" w:rsidRPr="00AC3823" w:rsidRDefault="009550B8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9550B8" w:rsidRPr="00AC3823" w:rsidRDefault="009550B8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9550B8" w:rsidRPr="00AC3823" w:rsidRDefault="009550B8">
      <w:pPr>
        <w:spacing w:line="240" w:lineRule="auto"/>
        <w:rPr>
          <w:sz w:val="2"/>
          <w:szCs w:val="2"/>
        </w:rPr>
      </w:pPr>
    </w:p>
  </w:footnote>
  <w:footnote w:id="2">
    <w:p w:rsidR="00FC4EAD" w:rsidRPr="00FC4EAD" w:rsidRDefault="00FC4EAD" w:rsidP="00FC4EAD">
      <w:pPr>
        <w:pStyle w:val="FootnoteText"/>
        <w:rPr>
          <w:spacing w:val="-2"/>
          <w:lang w:val="fr-FR"/>
        </w:rPr>
      </w:pPr>
      <w:r>
        <w:tab/>
      </w:r>
      <w:r w:rsidRPr="007406A7">
        <w:t>*</w:t>
      </w:r>
      <w:r w:rsidRPr="007406A7">
        <w:tab/>
      </w:r>
      <w:r w:rsidRPr="00FC4EAD">
        <w:rPr>
          <w:spacing w:val="-2"/>
        </w:rPr>
        <w:t>Conformément au programme de travail du Comité des transports intérieurs pour la période</w:t>
      </w:r>
      <w:r>
        <w:rPr>
          <w:spacing w:val="-2"/>
        </w:rPr>
        <w:t xml:space="preserve"> 2016-2017 (ECE/TRANS/254, par. </w:t>
      </w:r>
      <w:r w:rsidRPr="00FC4EAD">
        <w:rPr>
          <w:spacing w:val="-2"/>
        </w:rPr>
        <w:t>159, et ECE/TRANS/2016/28/Add.1, module 3.1), le Forum mondial a pour mission d’élaborer, d’harmoniser et de mettre à jour les Règlements en vue d’améliorer les caractéristiques fonctionnelles des véhicules. Le présent document est soumis en vertu de ce mandat</w:t>
      </w:r>
      <w:r w:rsidRPr="00FC4EAD">
        <w:rPr>
          <w:spacing w:val="-2"/>
          <w:lang w:val="fr-FR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EAD" w:rsidRPr="00FC4EAD" w:rsidRDefault="009A3F75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C16ADA">
      <w:t>ECE/TRANS/WP.29/GRSP/2017/6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EAD" w:rsidRPr="00FC4EAD" w:rsidRDefault="009A3F75" w:rsidP="00FC4EAD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C16ADA">
      <w:t>ECE/TRANS/WP.29/GRSP/2017/6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revisionView w:inkAnnotations="0"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0B8"/>
    <w:rsid w:val="00017F94"/>
    <w:rsid w:val="00023842"/>
    <w:rsid w:val="000334F9"/>
    <w:rsid w:val="00045FEB"/>
    <w:rsid w:val="0007796D"/>
    <w:rsid w:val="000B7790"/>
    <w:rsid w:val="00111F2F"/>
    <w:rsid w:val="0014365E"/>
    <w:rsid w:val="00143C66"/>
    <w:rsid w:val="00176178"/>
    <w:rsid w:val="001F525A"/>
    <w:rsid w:val="00223272"/>
    <w:rsid w:val="0024779E"/>
    <w:rsid w:val="00257168"/>
    <w:rsid w:val="002744B8"/>
    <w:rsid w:val="002832AC"/>
    <w:rsid w:val="002D7C93"/>
    <w:rsid w:val="00305801"/>
    <w:rsid w:val="003916DE"/>
    <w:rsid w:val="003D051D"/>
    <w:rsid w:val="003F7F9F"/>
    <w:rsid w:val="00441C3B"/>
    <w:rsid w:val="00446FE5"/>
    <w:rsid w:val="00452396"/>
    <w:rsid w:val="004837D8"/>
    <w:rsid w:val="004D28C5"/>
    <w:rsid w:val="004E468C"/>
    <w:rsid w:val="005505B7"/>
    <w:rsid w:val="00573BE5"/>
    <w:rsid w:val="00586ED3"/>
    <w:rsid w:val="00596AA9"/>
    <w:rsid w:val="0071601D"/>
    <w:rsid w:val="007A62E6"/>
    <w:rsid w:val="007F20FA"/>
    <w:rsid w:val="0080684C"/>
    <w:rsid w:val="00871C75"/>
    <w:rsid w:val="008776DC"/>
    <w:rsid w:val="009446C0"/>
    <w:rsid w:val="009550B8"/>
    <w:rsid w:val="009705C8"/>
    <w:rsid w:val="00985723"/>
    <w:rsid w:val="009A3F75"/>
    <w:rsid w:val="009C1CF4"/>
    <w:rsid w:val="009F6B74"/>
    <w:rsid w:val="00A30353"/>
    <w:rsid w:val="00AC3823"/>
    <w:rsid w:val="00AE323C"/>
    <w:rsid w:val="00AF0CB5"/>
    <w:rsid w:val="00B00181"/>
    <w:rsid w:val="00B00B0D"/>
    <w:rsid w:val="00B765F7"/>
    <w:rsid w:val="00BA0CA9"/>
    <w:rsid w:val="00C02897"/>
    <w:rsid w:val="00C16ADA"/>
    <w:rsid w:val="00C97039"/>
    <w:rsid w:val="00D3439C"/>
    <w:rsid w:val="00DB1831"/>
    <w:rsid w:val="00DD3BFD"/>
    <w:rsid w:val="00DF6678"/>
    <w:rsid w:val="00E85C74"/>
    <w:rsid w:val="00EA6547"/>
    <w:rsid w:val="00EF2E22"/>
    <w:rsid w:val="00F35BAF"/>
    <w:rsid w:val="00F660DF"/>
    <w:rsid w:val="00F94664"/>
    <w:rsid w:val="00F9573C"/>
    <w:rsid w:val="00F95C08"/>
    <w:rsid w:val="00FC4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uiPriority="10" w:unhideWhenUsed="0" w:qFormat="1"/>
    <w:lsdException w:name="Default Paragraph Font" w:uiPriority="0"/>
    <w:lsdException w:name="Subtitle" w:uiPriority="11" w:unhideWhenUsed="0" w:qFormat="1"/>
    <w:lsdException w:name="Hyperlink" w:uiPriority="0"/>
    <w:lsdException w:name="FollowedHyperlink" w:uiPriority="0"/>
    <w:lsdException w:name="Strong" w:uiPriority="22" w:unhideWhenUsed="0" w:qFormat="1"/>
    <w:lsdException w:name="Emphasis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2AC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8068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80684C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80684C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DF6678"/>
    <w:pPr>
      <w:numPr>
        <w:numId w:val="3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023842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4837D8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4837D8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80684C"/>
  </w:style>
  <w:style w:type="character" w:customStyle="1" w:styleId="EndnoteTextChar">
    <w:name w:val="Endnote Text Char"/>
    <w:aliases w:val="2_G Char"/>
    <w:basedOn w:val="DefaultParagraphFont"/>
    <w:link w:val="End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uiPriority="10" w:unhideWhenUsed="0" w:qFormat="1"/>
    <w:lsdException w:name="Default Paragraph Font" w:uiPriority="0"/>
    <w:lsdException w:name="Subtitle" w:uiPriority="11" w:unhideWhenUsed="0" w:qFormat="1"/>
    <w:lsdException w:name="Hyperlink" w:uiPriority="0"/>
    <w:lsdException w:name="FollowedHyperlink" w:uiPriority="0"/>
    <w:lsdException w:name="Strong" w:uiPriority="22" w:unhideWhenUsed="0" w:qFormat="1"/>
    <w:lsdException w:name="Emphasis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2AC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8068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80684C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80684C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DF6678"/>
    <w:pPr>
      <w:numPr>
        <w:numId w:val="3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023842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4837D8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4837D8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80684C"/>
  </w:style>
  <w:style w:type="character" w:customStyle="1" w:styleId="EndnoteTextChar">
    <w:name w:val="Endnote Text Char"/>
    <w:aliases w:val="2_G Char"/>
    <w:basedOn w:val="DefaultParagraphFont"/>
    <w:link w:val="End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656</Words>
  <Characters>3740</Characters>
  <Application>Microsoft Office Word</Application>
  <DocSecurity>4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ECE/TRANS/WP.29/GRSP/2017/6</vt:lpstr>
      <vt:lpstr>ECE/TRANS/WP.29/GRSP/2017/6</vt:lpstr>
    </vt:vector>
  </TitlesOfParts>
  <Company>DCM</Company>
  <LinksUpToDate>false</LinksUpToDate>
  <CharactersWithSpaces>4388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ECE/TRANS/WP.29/GRSP/2017/6</dc:title>
  <dc:creator>Morin</dc:creator>
  <cp:lastModifiedBy>Benedicte Boudol</cp:lastModifiedBy>
  <cp:revision>2</cp:revision>
  <cp:lastPrinted>2017-03-08T14:30:00Z</cp:lastPrinted>
  <dcterms:created xsi:type="dcterms:W3CDTF">2017-03-08T15:23:00Z</dcterms:created>
  <dcterms:modified xsi:type="dcterms:W3CDTF">2017-03-08T15:23:00Z</dcterms:modified>
</cp:coreProperties>
</file>