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4097E" w:rsidTr="00C97039">
        <w:trPr>
          <w:trHeight w:hRule="exact" w:val="851"/>
        </w:trPr>
        <w:tc>
          <w:tcPr>
            <w:tcW w:w="1276" w:type="dxa"/>
            <w:tcBorders>
              <w:bottom w:val="single" w:sz="4" w:space="0" w:color="auto"/>
            </w:tcBorders>
          </w:tcPr>
          <w:p w:rsidR="00F35BAF" w:rsidRPr="0034097E" w:rsidRDefault="00F35BAF" w:rsidP="00866727">
            <w:bookmarkStart w:id="0" w:name="_GoBack"/>
            <w:bookmarkEnd w:id="0"/>
          </w:p>
        </w:tc>
        <w:tc>
          <w:tcPr>
            <w:tcW w:w="2268" w:type="dxa"/>
            <w:tcBorders>
              <w:bottom w:val="single" w:sz="4" w:space="0" w:color="auto"/>
            </w:tcBorders>
            <w:vAlign w:val="bottom"/>
          </w:tcPr>
          <w:p w:rsidR="00F35BAF" w:rsidRPr="0034097E" w:rsidRDefault="00F35BAF" w:rsidP="00C97039">
            <w:pPr>
              <w:spacing w:after="80" w:line="300" w:lineRule="exact"/>
              <w:rPr>
                <w:sz w:val="28"/>
              </w:rPr>
            </w:pPr>
            <w:r w:rsidRPr="0034097E">
              <w:rPr>
                <w:sz w:val="28"/>
              </w:rPr>
              <w:t>Nations Unies</w:t>
            </w:r>
          </w:p>
        </w:tc>
        <w:tc>
          <w:tcPr>
            <w:tcW w:w="6095" w:type="dxa"/>
            <w:gridSpan w:val="2"/>
            <w:tcBorders>
              <w:bottom w:val="single" w:sz="4" w:space="0" w:color="auto"/>
            </w:tcBorders>
            <w:vAlign w:val="bottom"/>
          </w:tcPr>
          <w:p w:rsidR="00F35BAF" w:rsidRPr="0034097E" w:rsidRDefault="00866727" w:rsidP="00866727">
            <w:pPr>
              <w:jc w:val="right"/>
            </w:pPr>
            <w:r w:rsidRPr="0034097E">
              <w:rPr>
                <w:sz w:val="40"/>
              </w:rPr>
              <w:t>ECE</w:t>
            </w:r>
            <w:r w:rsidRPr="0034097E">
              <w:t>/TRANS/WP.29/GRSP/2017/11</w:t>
            </w:r>
          </w:p>
        </w:tc>
      </w:tr>
      <w:tr w:rsidR="00F35BAF" w:rsidRPr="0034097E" w:rsidTr="00C97039">
        <w:trPr>
          <w:trHeight w:hRule="exact" w:val="2835"/>
        </w:trPr>
        <w:tc>
          <w:tcPr>
            <w:tcW w:w="1276" w:type="dxa"/>
            <w:tcBorders>
              <w:top w:val="single" w:sz="4" w:space="0" w:color="auto"/>
              <w:bottom w:val="single" w:sz="12" w:space="0" w:color="auto"/>
            </w:tcBorders>
          </w:tcPr>
          <w:p w:rsidR="00F35BAF" w:rsidRPr="0034097E" w:rsidRDefault="00F35BAF" w:rsidP="00C97039">
            <w:pPr>
              <w:spacing w:before="120"/>
              <w:jc w:val="center"/>
            </w:pPr>
            <w:r w:rsidRPr="0034097E">
              <w:rPr>
                <w:noProof/>
                <w:lang w:val="en-GB" w:eastAsia="en-GB"/>
              </w:rPr>
              <w:drawing>
                <wp:inline distT="0" distB="0" distL="0" distR="0" wp14:anchorId="4C0D0006" wp14:editId="29C6C5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4097E" w:rsidRDefault="00F35BAF" w:rsidP="00C97039">
            <w:pPr>
              <w:spacing w:before="120" w:line="420" w:lineRule="exact"/>
              <w:rPr>
                <w:b/>
                <w:sz w:val="40"/>
                <w:szCs w:val="40"/>
              </w:rPr>
            </w:pPr>
            <w:r w:rsidRPr="0034097E">
              <w:rPr>
                <w:b/>
                <w:sz w:val="40"/>
                <w:szCs w:val="40"/>
              </w:rPr>
              <w:t>Conseil économique et social</w:t>
            </w:r>
          </w:p>
        </w:tc>
        <w:tc>
          <w:tcPr>
            <w:tcW w:w="2835" w:type="dxa"/>
            <w:tcBorders>
              <w:top w:val="single" w:sz="4" w:space="0" w:color="auto"/>
              <w:bottom w:val="single" w:sz="12" w:space="0" w:color="auto"/>
            </w:tcBorders>
          </w:tcPr>
          <w:p w:rsidR="00F35BAF" w:rsidRPr="0034097E" w:rsidRDefault="00866727" w:rsidP="00C97039">
            <w:pPr>
              <w:spacing w:before="240"/>
            </w:pPr>
            <w:r w:rsidRPr="0034097E">
              <w:t>Distr. générale</w:t>
            </w:r>
          </w:p>
          <w:p w:rsidR="00866727" w:rsidRPr="0034097E" w:rsidRDefault="00866727" w:rsidP="00866727">
            <w:pPr>
              <w:spacing w:line="240" w:lineRule="exact"/>
            </w:pPr>
            <w:r w:rsidRPr="0034097E">
              <w:t>1</w:t>
            </w:r>
            <w:r w:rsidR="006F13D8">
              <w:t>7</w:t>
            </w:r>
            <w:r w:rsidRPr="0034097E">
              <w:t xml:space="preserve"> février 2017</w:t>
            </w:r>
          </w:p>
          <w:p w:rsidR="00866727" w:rsidRPr="0034097E" w:rsidRDefault="00866727" w:rsidP="00866727">
            <w:pPr>
              <w:spacing w:line="240" w:lineRule="exact"/>
            </w:pPr>
            <w:r w:rsidRPr="0034097E">
              <w:t>Français</w:t>
            </w:r>
          </w:p>
          <w:p w:rsidR="00866727" w:rsidRPr="0034097E" w:rsidRDefault="00866727" w:rsidP="00866727">
            <w:pPr>
              <w:spacing w:line="240" w:lineRule="exact"/>
            </w:pPr>
            <w:r w:rsidRPr="0034097E">
              <w:t>Original : anglais</w:t>
            </w:r>
          </w:p>
        </w:tc>
      </w:tr>
    </w:tbl>
    <w:p w:rsidR="007F20FA" w:rsidRPr="0034097E" w:rsidRDefault="007F20FA" w:rsidP="007F20FA">
      <w:pPr>
        <w:spacing w:before="120"/>
        <w:rPr>
          <w:b/>
          <w:sz w:val="28"/>
          <w:szCs w:val="28"/>
        </w:rPr>
      </w:pPr>
      <w:r w:rsidRPr="0034097E">
        <w:rPr>
          <w:b/>
          <w:sz w:val="28"/>
          <w:szCs w:val="28"/>
        </w:rPr>
        <w:t>Commission économique pour l</w:t>
      </w:r>
      <w:r w:rsidR="006732D6" w:rsidRPr="0034097E">
        <w:rPr>
          <w:b/>
          <w:sz w:val="28"/>
          <w:szCs w:val="28"/>
        </w:rPr>
        <w:t>’</w:t>
      </w:r>
      <w:r w:rsidRPr="0034097E">
        <w:rPr>
          <w:b/>
          <w:sz w:val="28"/>
          <w:szCs w:val="28"/>
        </w:rPr>
        <w:t>Europe</w:t>
      </w:r>
    </w:p>
    <w:p w:rsidR="007F20FA" w:rsidRPr="0034097E" w:rsidRDefault="007F20FA" w:rsidP="007F20FA">
      <w:pPr>
        <w:spacing w:before="120"/>
        <w:rPr>
          <w:sz w:val="28"/>
          <w:szCs w:val="28"/>
        </w:rPr>
      </w:pPr>
      <w:r w:rsidRPr="0034097E">
        <w:rPr>
          <w:sz w:val="28"/>
          <w:szCs w:val="28"/>
        </w:rPr>
        <w:t>Comité des transports intérieurs</w:t>
      </w:r>
    </w:p>
    <w:p w:rsidR="00866727" w:rsidRPr="0034097E" w:rsidRDefault="00866727" w:rsidP="00AF0CB5">
      <w:pPr>
        <w:spacing w:before="120"/>
        <w:rPr>
          <w:b/>
          <w:sz w:val="24"/>
          <w:szCs w:val="24"/>
        </w:rPr>
      </w:pPr>
      <w:r w:rsidRPr="0034097E">
        <w:rPr>
          <w:b/>
          <w:sz w:val="24"/>
          <w:szCs w:val="24"/>
        </w:rPr>
        <w:t>Forum mondial de l</w:t>
      </w:r>
      <w:r w:rsidR="006732D6" w:rsidRPr="0034097E">
        <w:rPr>
          <w:b/>
          <w:sz w:val="24"/>
          <w:szCs w:val="24"/>
        </w:rPr>
        <w:t>’</w:t>
      </w:r>
      <w:r w:rsidRPr="0034097E">
        <w:rPr>
          <w:b/>
          <w:sz w:val="24"/>
          <w:szCs w:val="24"/>
        </w:rPr>
        <w:t>harmonisation</w:t>
      </w:r>
      <w:r w:rsidRPr="0034097E">
        <w:rPr>
          <w:b/>
          <w:sz w:val="24"/>
          <w:szCs w:val="24"/>
        </w:rPr>
        <w:br/>
        <w:t>des Règlements concernant les véhicules</w:t>
      </w:r>
    </w:p>
    <w:p w:rsidR="00866727" w:rsidRPr="0034097E" w:rsidRDefault="00866727" w:rsidP="00257168">
      <w:pPr>
        <w:spacing w:before="120" w:after="120" w:line="240" w:lineRule="exact"/>
        <w:rPr>
          <w:b/>
        </w:rPr>
      </w:pPr>
      <w:r w:rsidRPr="0034097E">
        <w:rPr>
          <w:b/>
        </w:rPr>
        <w:t>Groupe de travail de la sécurité passive</w:t>
      </w:r>
    </w:p>
    <w:p w:rsidR="00866727" w:rsidRPr="0034097E" w:rsidRDefault="00866727" w:rsidP="00257168">
      <w:pPr>
        <w:spacing w:before="120" w:line="240" w:lineRule="exact"/>
        <w:rPr>
          <w:b/>
        </w:rPr>
      </w:pPr>
      <w:r w:rsidRPr="0034097E">
        <w:rPr>
          <w:b/>
        </w:rPr>
        <w:t>Soixante et unième session</w:t>
      </w:r>
    </w:p>
    <w:p w:rsidR="00866727" w:rsidRPr="0034097E" w:rsidRDefault="00866727" w:rsidP="00866727">
      <w:pPr>
        <w:spacing w:line="240" w:lineRule="exact"/>
      </w:pPr>
      <w:r w:rsidRPr="0034097E">
        <w:t>Genève, 8-12 mai 2017</w:t>
      </w:r>
    </w:p>
    <w:p w:rsidR="00866727" w:rsidRPr="0034097E" w:rsidRDefault="00866727" w:rsidP="00866727">
      <w:pPr>
        <w:spacing w:line="240" w:lineRule="exact"/>
      </w:pPr>
      <w:r w:rsidRPr="0034097E">
        <w:t>Point 17 de l</w:t>
      </w:r>
      <w:r w:rsidR="006732D6" w:rsidRPr="0034097E">
        <w:t>’</w:t>
      </w:r>
      <w:r w:rsidRPr="0034097E">
        <w:t>ordre du jour provisoire</w:t>
      </w:r>
    </w:p>
    <w:p w:rsidR="00F9573C" w:rsidRPr="0034097E" w:rsidRDefault="00866727" w:rsidP="00866727">
      <w:pPr>
        <w:spacing w:line="240" w:lineRule="exact"/>
        <w:rPr>
          <w:b/>
        </w:rPr>
      </w:pPr>
      <w:r w:rsidRPr="0034097E">
        <w:rPr>
          <w:b/>
        </w:rPr>
        <w:t xml:space="preserve">Règlements </w:t>
      </w:r>
      <w:r w:rsidRPr="0034097E">
        <w:rPr>
          <w:rFonts w:eastAsia="MS Mincho"/>
          <w:b/>
          <w:szCs w:val="22"/>
        </w:rPr>
        <w:t>n</w:t>
      </w:r>
      <w:r w:rsidRPr="0034097E">
        <w:rPr>
          <w:rFonts w:eastAsia="MS Mincho"/>
          <w:b/>
          <w:szCs w:val="22"/>
          <w:vertAlign w:val="superscript"/>
        </w:rPr>
        <w:t>o</w:t>
      </w:r>
      <w:r w:rsidRPr="0034097E">
        <w:rPr>
          <w:b/>
        </w:rPr>
        <w:t> 129 (Dispositifs améliorés de retenue pour enfants)</w:t>
      </w:r>
    </w:p>
    <w:p w:rsidR="00866727" w:rsidRPr="0034097E" w:rsidRDefault="00866727" w:rsidP="00866727">
      <w:pPr>
        <w:pStyle w:val="HChG"/>
      </w:pPr>
      <w:r w:rsidRPr="0034097E">
        <w:tab/>
      </w:r>
      <w:r w:rsidRPr="0034097E">
        <w:tab/>
        <w:t>Proposition d</w:t>
      </w:r>
      <w:r w:rsidR="006732D6" w:rsidRPr="0034097E">
        <w:t>’</w:t>
      </w:r>
      <w:r w:rsidRPr="0034097E">
        <w:t>amendements à la série 02 d</w:t>
      </w:r>
      <w:r w:rsidR="006732D6" w:rsidRPr="0034097E">
        <w:t>’</w:t>
      </w:r>
      <w:r w:rsidRPr="0034097E">
        <w:t xml:space="preserve">amendements </w:t>
      </w:r>
      <w:r w:rsidRPr="0034097E">
        <w:br/>
        <w:t xml:space="preserve">au Règlement </w:t>
      </w:r>
      <w:r w:rsidRPr="0034097E">
        <w:rPr>
          <w:rFonts w:eastAsia="MS Mincho"/>
          <w:szCs w:val="22"/>
        </w:rPr>
        <w:t>n</w:t>
      </w:r>
      <w:r w:rsidRPr="0034097E">
        <w:rPr>
          <w:rFonts w:eastAsia="MS Mincho"/>
          <w:szCs w:val="22"/>
          <w:vertAlign w:val="superscript"/>
        </w:rPr>
        <w:t>o</w:t>
      </w:r>
      <w:r w:rsidRPr="0034097E">
        <w:t xml:space="preserve"> 129 (Dispositifs améliorés de retenue </w:t>
      </w:r>
      <w:r w:rsidRPr="0034097E">
        <w:br/>
        <w:t>pour enfants)</w:t>
      </w:r>
    </w:p>
    <w:p w:rsidR="00866727" w:rsidRPr="0034097E" w:rsidRDefault="00866727" w:rsidP="00866727">
      <w:pPr>
        <w:pStyle w:val="H1G"/>
        <w:rPr>
          <w:b w:val="0"/>
          <w:sz w:val="20"/>
        </w:rPr>
      </w:pPr>
      <w:r w:rsidRPr="0034097E">
        <w:tab/>
      </w:r>
      <w:r w:rsidRPr="0034097E">
        <w:tab/>
        <w:t>Communication de l</w:t>
      </w:r>
      <w:r w:rsidR="006732D6" w:rsidRPr="0034097E">
        <w:t>’</w:t>
      </w:r>
      <w:r w:rsidRPr="0034097E">
        <w:t>expert de l</w:t>
      </w:r>
      <w:r w:rsidR="006732D6" w:rsidRPr="0034097E">
        <w:t>’</w:t>
      </w:r>
      <w:r w:rsidRPr="0034097E">
        <w:t xml:space="preserve">Organisation internationale </w:t>
      </w:r>
      <w:r w:rsidRPr="0034097E">
        <w:br/>
      </w:r>
      <w:proofErr w:type="gramStart"/>
      <w:r w:rsidRPr="0034097E">
        <w:t>des</w:t>
      </w:r>
      <w:proofErr w:type="gramEnd"/>
      <w:r w:rsidRPr="0034097E">
        <w:t xml:space="preserve"> constructeurs d</w:t>
      </w:r>
      <w:r w:rsidR="006732D6" w:rsidRPr="0034097E">
        <w:t>’</w:t>
      </w:r>
      <w:r w:rsidRPr="0034097E">
        <w:t>automobiles</w:t>
      </w:r>
      <w:r w:rsidRPr="0034097E">
        <w:rPr>
          <w:b w:val="0"/>
          <w:sz w:val="20"/>
        </w:rPr>
        <w:footnoteReference w:customMarkFollows="1" w:id="2"/>
        <w:t>*</w:t>
      </w:r>
    </w:p>
    <w:p w:rsidR="00866727" w:rsidRPr="0034097E" w:rsidRDefault="00866727" w:rsidP="00866727">
      <w:pPr>
        <w:pStyle w:val="SingleTxtG"/>
        <w:ind w:firstLine="567"/>
        <w:rPr>
          <w:szCs w:val="24"/>
        </w:rPr>
      </w:pPr>
      <w:r w:rsidRPr="0034097E">
        <w:rPr>
          <w:snapToGrid w:val="0"/>
          <w:szCs w:val="24"/>
        </w:rPr>
        <w:t>Le texte ci-après a été établi par l</w:t>
      </w:r>
      <w:r w:rsidR="006732D6" w:rsidRPr="0034097E">
        <w:rPr>
          <w:snapToGrid w:val="0"/>
          <w:szCs w:val="24"/>
        </w:rPr>
        <w:t>’</w:t>
      </w:r>
      <w:r w:rsidRPr="0034097E">
        <w:rPr>
          <w:snapToGrid w:val="0"/>
          <w:szCs w:val="24"/>
        </w:rPr>
        <w:t>expert de l</w:t>
      </w:r>
      <w:r w:rsidR="006732D6" w:rsidRPr="0034097E">
        <w:rPr>
          <w:snapToGrid w:val="0"/>
          <w:szCs w:val="24"/>
        </w:rPr>
        <w:t>’</w:t>
      </w:r>
      <w:r w:rsidRPr="0034097E">
        <w:rPr>
          <w:snapToGrid w:val="0"/>
          <w:szCs w:val="24"/>
        </w:rPr>
        <w:t>Organisation internationale des constructeurs d</w:t>
      </w:r>
      <w:r w:rsidR="006732D6" w:rsidRPr="0034097E">
        <w:rPr>
          <w:snapToGrid w:val="0"/>
          <w:szCs w:val="24"/>
        </w:rPr>
        <w:t>’</w:t>
      </w:r>
      <w:r w:rsidRPr="0034097E">
        <w:rPr>
          <w:snapToGrid w:val="0"/>
          <w:szCs w:val="24"/>
        </w:rPr>
        <w:t xml:space="preserve">automobiles </w:t>
      </w:r>
      <w:r w:rsidRPr="0034097E">
        <w:rPr>
          <w:szCs w:val="24"/>
        </w:rPr>
        <w:t>(OICA).</w:t>
      </w:r>
      <w:r w:rsidRPr="0034097E">
        <w:rPr>
          <w:color w:val="FF0000"/>
          <w:szCs w:val="24"/>
        </w:rPr>
        <w:t xml:space="preserve"> </w:t>
      </w:r>
      <w:r w:rsidRPr="0034097E">
        <w:rPr>
          <w:szCs w:val="24"/>
        </w:rPr>
        <w:t>Il y est proposé d</w:t>
      </w:r>
      <w:r w:rsidR="006732D6" w:rsidRPr="0034097E">
        <w:rPr>
          <w:szCs w:val="24"/>
        </w:rPr>
        <w:t>’</w:t>
      </w:r>
      <w:r w:rsidRPr="0034097E">
        <w:rPr>
          <w:szCs w:val="24"/>
        </w:rPr>
        <w:t xml:space="preserve">ajuster le Règlement </w:t>
      </w:r>
      <w:r w:rsidRPr="0034097E">
        <w:rPr>
          <w:rFonts w:eastAsia="MS Mincho"/>
          <w:szCs w:val="22"/>
        </w:rPr>
        <w:t>n</w:t>
      </w:r>
      <w:r w:rsidRPr="0034097E">
        <w:rPr>
          <w:rFonts w:eastAsia="MS Mincho"/>
          <w:szCs w:val="22"/>
          <w:vertAlign w:val="superscript"/>
        </w:rPr>
        <w:t>o</w:t>
      </w:r>
      <w:r w:rsidRPr="0034097E">
        <w:rPr>
          <w:szCs w:val="24"/>
        </w:rPr>
        <w:t xml:space="preserve"> 129 à la scission du Règlement </w:t>
      </w:r>
      <w:r w:rsidRPr="0034097E">
        <w:rPr>
          <w:rFonts w:eastAsia="MS Mincho"/>
          <w:szCs w:val="22"/>
        </w:rPr>
        <w:t>n</w:t>
      </w:r>
      <w:r w:rsidRPr="0034097E">
        <w:rPr>
          <w:rFonts w:eastAsia="MS Mincho"/>
          <w:szCs w:val="22"/>
          <w:vertAlign w:val="superscript"/>
        </w:rPr>
        <w:t>o</w:t>
      </w:r>
      <w:r w:rsidRPr="0034097E">
        <w:rPr>
          <w:szCs w:val="24"/>
        </w:rPr>
        <w:t xml:space="preserve"> 14 en deux </w:t>
      </w:r>
      <w:r w:rsidR="00D82A87">
        <w:rPr>
          <w:szCs w:val="24"/>
        </w:rPr>
        <w:t>r</w:t>
      </w:r>
      <w:r w:rsidRPr="0034097E">
        <w:rPr>
          <w:szCs w:val="24"/>
        </w:rPr>
        <w:t>èglements nouveaux. Les modifications qu</w:t>
      </w:r>
      <w:r w:rsidR="006732D6" w:rsidRPr="0034097E">
        <w:rPr>
          <w:szCs w:val="24"/>
        </w:rPr>
        <w:t>’</w:t>
      </w:r>
      <w:r w:rsidRPr="0034097E">
        <w:rPr>
          <w:szCs w:val="24"/>
        </w:rPr>
        <w:t>il est proposé d</w:t>
      </w:r>
      <w:r w:rsidR="006732D6" w:rsidRPr="0034097E">
        <w:rPr>
          <w:szCs w:val="24"/>
        </w:rPr>
        <w:t>’</w:t>
      </w:r>
      <w:r w:rsidRPr="0034097E">
        <w:rPr>
          <w:szCs w:val="24"/>
        </w:rPr>
        <w:t>apporter au texte actuel du Règlement sont signalées en caractères gras pour les ajouts.</w:t>
      </w:r>
    </w:p>
    <w:p w:rsidR="004152AA" w:rsidRPr="0034097E" w:rsidRDefault="00866727" w:rsidP="004152AA">
      <w:pPr>
        <w:pStyle w:val="HChG"/>
      </w:pPr>
      <w:r w:rsidRPr="0034097E">
        <w:br w:type="page"/>
      </w:r>
      <w:r w:rsidR="004152AA" w:rsidRPr="0034097E">
        <w:lastRenderedPageBreak/>
        <w:tab/>
        <w:t>I.</w:t>
      </w:r>
      <w:r w:rsidR="004152AA" w:rsidRPr="0034097E">
        <w:tab/>
        <w:t>Proposition</w:t>
      </w:r>
    </w:p>
    <w:p w:rsidR="004152AA" w:rsidRPr="0034097E" w:rsidRDefault="004152AA" w:rsidP="004152AA">
      <w:pPr>
        <w:pStyle w:val="SingleTxtG"/>
      </w:pPr>
      <w:r w:rsidRPr="0034097E">
        <w:rPr>
          <w:i/>
        </w:rPr>
        <w:t>Paragraphe 2.3.1</w:t>
      </w:r>
      <w:r w:rsidRPr="0034097E">
        <w:t xml:space="preserve">, </w:t>
      </w:r>
      <w:proofErr w:type="gramStart"/>
      <w:r w:rsidRPr="0034097E">
        <w:t>modifier</w:t>
      </w:r>
      <w:proofErr w:type="gramEnd"/>
      <w:r w:rsidRPr="0034097E">
        <w:t xml:space="preserve"> comme suit :</w:t>
      </w:r>
    </w:p>
    <w:p w:rsidR="004152AA" w:rsidRPr="0034097E" w:rsidRDefault="004152AA" w:rsidP="004152AA">
      <w:pPr>
        <w:pStyle w:val="SingleTxtG"/>
        <w:ind w:left="2268" w:hanging="1134"/>
      </w:pPr>
      <w:r w:rsidRPr="0034097E">
        <w:t>« </w:t>
      </w:r>
      <w:r w:rsidRPr="0034097E">
        <w:rPr>
          <w:iCs/>
        </w:rPr>
        <w:t>2.3.1</w:t>
      </w:r>
      <w:r w:rsidRPr="0034097E">
        <w:rPr>
          <w:i/>
          <w:iCs/>
        </w:rPr>
        <w:t xml:space="preserve"> </w:t>
      </w:r>
      <w:r w:rsidRPr="0034097E">
        <w:rPr>
          <w:i/>
          <w:iCs/>
        </w:rPr>
        <w:tab/>
      </w:r>
      <w:r w:rsidR="006732D6" w:rsidRPr="0034097E">
        <w:t>“</w:t>
      </w:r>
      <w:r w:rsidRPr="0034097E">
        <w:rPr>
          <w:i/>
        </w:rPr>
        <w:t>i-Size</w:t>
      </w:r>
      <w:r w:rsidR="006732D6" w:rsidRPr="0034097E">
        <w:t>”</w:t>
      </w:r>
      <w:r w:rsidRPr="0034097E">
        <w:t xml:space="preserve"> (Dispositif de retenue pour enfants ISOFIX universel intégral), un type de dispositif de retenue pour enfants utilisable à toutes les places assises i-Size d</w:t>
      </w:r>
      <w:r w:rsidR="006732D6" w:rsidRPr="0034097E">
        <w:t>’</w:t>
      </w:r>
      <w:r w:rsidRPr="0034097E">
        <w:t>un véhicule, telles qu</w:t>
      </w:r>
      <w:r w:rsidR="006732D6" w:rsidRPr="0034097E">
        <w:t>’</w:t>
      </w:r>
      <w:r w:rsidRPr="0034097E">
        <w:t xml:space="preserve">elles sont définies et homologuées conformément aux Règlements </w:t>
      </w:r>
      <w:r w:rsidR="006732D6" w:rsidRPr="0034097E">
        <w:rPr>
          <w:rFonts w:eastAsia="MS Mincho"/>
          <w:szCs w:val="22"/>
        </w:rPr>
        <w:t>n</w:t>
      </w:r>
      <w:r w:rsidR="006732D6" w:rsidRPr="0034097E">
        <w:rPr>
          <w:rFonts w:eastAsia="MS Mincho"/>
          <w:szCs w:val="22"/>
          <w:vertAlign w:val="superscript"/>
        </w:rPr>
        <w:t>o</w:t>
      </w:r>
      <w:r w:rsidR="006732D6" w:rsidRPr="0034097E">
        <w:t> </w:t>
      </w:r>
      <w:r w:rsidRPr="0034097E">
        <w:t xml:space="preserve">14 </w:t>
      </w:r>
      <w:r w:rsidRPr="0034097E">
        <w:rPr>
          <w:b/>
        </w:rPr>
        <w:t>ou</w:t>
      </w:r>
      <w:r w:rsidRPr="0034097E">
        <w:t xml:space="preserve"> </w:t>
      </w:r>
      <w:r w:rsidRPr="0034097E">
        <w:rPr>
          <w:b/>
        </w:rPr>
        <w:t>[XX]</w:t>
      </w:r>
      <w:r w:rsidRPr="0034097E">
        <w:t xml:space="preserve"> et 16.</w:t>
      </w:r>
      <w:r w:rsidR="006732D6" w:rsidRPr="0034097E">
        <w:t> »</w:t>
      </w:r>
      <w:r w:rsidRPr="0034097E">
        <w:t>.</w:t>
      </w:r>
    </w:p>
    <w:p w:rsidR="004152AA" w:rsidRPr="0034097E" w:rsidRDefault="004152AA" w:rsidP="004152AA">
      <w:pPr>
        <w:pStyle w:val="SingleTxtG"/>
      </w:pPr>
      <w:r w:rsidRPr="0034097E">
        <w:rPr>
          <w:i/>
        </w:rPr>
        <w:t>Paragraphe 2.5</w:t>
      </w:r>
      <w:r w:rsidRPr="0034097E">
        <w:t xml:space="preserve">, </w:t>
      </w:r>
      <w:proofErr w:type="gramStart"/>
      <w:r w:rsidRPr="0034097E">
        <w:t>modifier</w:t>
      </w:r>
      <w:proofErr w:type="gramEnd"/>
      <w:r w:rsidRPr="0034097E">
        <w:t xml:space="preserve"> comme suit</w:t>
      </w:r>
      <w:r w:rsidR="00986802" w:rsidRPr="0034097E">
        <w:t> </w:t>
      </w:r>
      <w:r w:rsidRPr="0034097E">
        <w:t>:</w:t>
      </w:r>
    </w:p>
    <w:p w:rsidR="004152AA" w:rsidRPr="0034097E" w:rsidRDefault="0076354C" w:rsidP="006732D6">
      <w:pPr>
        <w:pStyle w:val="SingleTxtG"/>
        <w:ind w:left="2268" w:hanging="1134"/>
      </w:pPr>
      <w:r w:rsidRPr="0034097E">
        <w:t>« </w:t>
      </w:r>
      <w:r w:rsidR="004152AA" w:rsidRPr="0034097E">
        <w:rPr>
          <w:bCs/>
        </w:rPr>
        <w:t xml:space="preserve">2.5 </w:t>
      </w:r>
      <w:r w:rsidR="004152AA" w:rsidRPr="0034097E">
        <w:rPr>
          <w:bCs/>
        </w:rPr>
        <w:tab/>
      </w:r>
      <w:r w:rsidR="00986802" w:rsidRPr="0034097E">
        <w:t>“</w:t>
      </w:r>
      <w:r w:rsidR="004152AA" w:rsidRPr="0034097E">
        <w:rPr>
          <w:bCs/>
          <w:i/>
        </w:rPr>
        <w:t>Système ISOFIX</w:t>
      </w:r>
      <w:r w:rsidR="00986802" w:rsidRPr="0034097E">
        <w:t>”</w:t>
      </w:r>
      <w:r w:rsidR="004152AA" w:rsidRPr="0034097E">
        <w:rPr>
          <w:bCs/>
        </w:rPr>
        <w:t>, un système permettant de fixer le dispositif de retenue pour enfants au véhicule. Il se compose de deux ancrages sur le véhicule et de deux attaches correspondantes sur le dispositif de retenue, ainsi que d</w:t>
      </w:r>
      <w:r w:rsidR="006732D6" w:rsidRPr="0034097E">
        <w:rPr>
          <w:bCs/>
        </w:rPr>
        <w:t>’</w:t>
      </w:r>
      <w:r w:rsidR="004152AA" w:rsidRPr="0034097E">
        <w:rPr>
          <w:bCs/>
        </w:rPr>
        <w:t xml:space="preserve">un moyen permettant de limiter la rotation du dispositif de retenue. Les trois ancrages sur le véhicule doivent être homologués conformément au Règlement </w:t>
      </w:r>
      <w:r w:rsidR="00333802" w:rsidRPr="0034097E">
        <w:rPr>
          <w:rFonts w:eastAsia="MS Mincho"/>
          <w:szCs w:val="22"/>
        </w:rPr>
        <w:t>n</w:t>
      </w:r>
      <w:r w:rsidR="00333802" w:rsidRPr="0034097E">
        <w:rPr>
          <w:rFonts w:eastAsia="MS Mincho"/>
          <w:szCs w:val="22"/>
          <w:vertAlign w:val="superscript"/>
        </w:rPr>
        <w:t>o</w:t>
      </w:r>
      <w:r w:rsidR="00333802" w:rsidRPr="0034097E">
        <w:t> </w:t>
      </w:r>
      <w:r w:rsidR="004152AA" w:rsidRPr="0034097E">
        <w:rPr>
          <w:bCs/>
        </w:rPr>
        <w:t xml:space="preserve">14 </w:t>
      </w:r>
      <w:r w:rsidR="004152AA" w:rsidRPr="0034097E">
        <w:rPr>
          <w:b/>
          <w:bCs/>
        </w:rPr>
        <w:t xml:space="preserve">ou au Règlement </w:t>
      </w:r>
      <w:r w:rsidR="00333802" w:rsidRPr="0034097E">
        <w:rPr>
          <w:rFonts w:eastAsia="MS Mincho"/>
          <w:b/>
          <w:bCs/>
          <w:szCs w:val="22"/>
        </w:rPr>
        <w:t>n</w:t>
      </w:r>
      <w:r w:rsidR="00333802" w:rsidRPr="0034097E">
        <w:rPr>
          <w:rFonts w:eastAsia="MS Mincho"/>
          <w:b/>
          <w:bCs/>
          <w:szCs w:val="22"/>
          <w:vertAlign w:val="superscript"/>
        </w:rPr>
        <w:t>o</w:t>
      </w:r>
      <w:r w:rsidR="00333802" w:rsidRPr="0034097E">
        <w:rPr>
          <w:b/>
          <w:bCs/>
        </w:rPr>
        <w:t> </w:t>
      </w:r>
      <w:r w:rsidR="004152AA" w:rsidRPr="0034097E">
        <w:rPr>
          <w:b/>
        </w:rPr>
        <w:t>[XX]</w:t>
      </w:r>
      <w:r w:rsidR="004152AA" w:rsidRPr="0034097E">
        <w:t>.</w:t>
      </w:r>
      <w:r w:rsidR="00333802" w:rsidRPr="0034097E">
        <w:t> »</w:t>
      </w:r>
      <w:r w:rsidR="004152AA" w:rsidRPr="0034097E">
        <w:t>.</w:t>
      </w:r>
    </w:p>
    <w:p w:rsidR="004152AA" w:rsidRPr="0034097E" w:rsidRDefault="004152AA" w:rsidP="004152AA">
      <w:pPr>
        <w:pStyle w:val="SingleTxtG"/>
      </w:pPr>
      <w:r w:rsidRPr="0034097E">
        <w:rPr>
          <w:i/>
        </w:rPr>
        <w:t>Paragraphe 2.7</w:t>
      </w:r>
      <w:r w:rsidRPr="0034097E">
        <w:t xml:space="preserve">, </w:t>
      </w:r>
      <w:proofErr w:type="gramStart"/>
      <w:r w:rsidRPr="0034097E">
        <w:t>modifier</w:t>
      </w:r>
      <w:proofErr w:type="gramEnd"/>
      <w:r w:rsidRPr="0034097E">
        <w:t xml:space="preserve"> comme suit</w:t>
      </w:r>
      <w:r w:rsidR="00333802" w:rsidRPr="0034097E">
        <w:t> </w:t>
      </w:r>
      <w:r w:rsidRPr="0034097E">
        <w:t>:</w:t>
      </w:r>
    </w:p>
    <w:p w:rsidR="004152AA" w:rsidRPr="0034097E" w:rsidRDefault="00333802" w:rsidP="006732D6">
      <w:pPr>
        <w:pStyle w:val="SingleTxtG"/>
        <w:ind w:left="2268" w:hanging="1134"/>
        <w:rPr>
          <w:bCs/>
        </w:rPr>
      </w:pPr>
      <w:r w:rsidRPr="0034097E">
        <w:rPr>
          <w:bCs/>
        </w:rPr>
        <w:t>« </w:t>
      </w:r>
      <w:r w:rsidR="004152AA" w:rsidRPr="0034097E">
        <w:rPr>
          <w:bCs/>
        </w:rPr>
        <w:t>2.7</w:t>
      </w:r>
      <w:r w:rsidR="004152AA" w:rsidRPr="0034097E">
        <w:rPr>
          <w:bCs/>
        </w:rPr>
        <w:tab/>
      </w:r>
      <w:r w:rsidRPr="0034097E">
        <w:t>“</w:t>
      </w:r>
      <w:r w:rsidR="004152AA" w:rsidRPr="0034097E">
        <w:rPr>
          <w:bCs/>
          <w:i/>
        </w:rPr>
        <w:t>DARE spécifique à un véhicule</w:t>
      </w:r>
      <w:r w:rsidRPr="0034097E">
        <w:t>”</w:t>
      </w:r>
    </w:p>
    <w:p w:rsidR="004152AA" w:rsidRPr="0034097E" w:rsidRDefault="004152AA" w:rsidP="006732D6">
      <w:pPr>
        <w:pStyle w:val="SingleTxtG"/>
        <w:ind w:left="2268" w:hanging="1134"/>
      </w:pPr>
      <w:r w:rsidRPr="0034097E">
        <w:t>2.7.1</w:t>
      </w:r>
      <w:r w:rsidRPr="0034097E">
        <w:tab/>
      </w:r>
      <w:r w:rsidR="00333802" w:rsidRPr="0034097E">
        <w:t>“</w:t>
      </w:r>
      <w:r w:rsidRPr="0034097E">
        <w:rPr>
          <w:i/>
        </w:rPr>
        <w:t>Système ISOFIX spécifiques à un véhicule</w:t>
      </w:r>
      <w:r w:rsidR="00BA3337" w:rsidRPr="0034097E">
        <w:t>”</w:t>
      </w:r>
      <w:r w:rsidRPr="0034097E">
        <w:t xml:space="preserve">, une catégorie de dispositif de retenue pour enfants utilisable seulement sur certains types de véhicules. Tous les ancrages du véhicule doivent être homologués conformément au Règlement </w:t>
      </w:r>
      <w:r w:rsidR="00BA3337" w:rsidRPr="0034097E">
        <w:rPr>
          <w:rFonts w:eastAsia="MS Mincho"/>
          <w:szCs w:val="22"/>
        </w:rPr>
        <w:t>n</w:t>
      </w:r>
      <w:r w:rsidR="00BA3337" w:rsidRPr="0034097E">
        <w:rPr>
          <w:rFonts w:eastAsia="MS Mincho"/>
          <w:szCs w:val="22"/>
          <w:vertAlign w:val="superscript"/>
        </w:rPr>
        <w:t>o</w:t>
      </w:r>
      <w:r w:rsidR="00BA3337" w:rsidRPr="0034097E">
        <w:t> </w:t>
      </w:r>
      <w:r w:rsidRPr="0034097E">
        <w:t xml:space="preserve">14 </w:t>
      </w:r>
      <w:r w:rsidRPr="0034097E">
        <w:rPr>
          <w:b/>
          <w:bCs/>
        </w:rPr>
        <w:t xml:space="preserve">ou au Règlement </w:t>
      </w:r>
      <w:r w:rsidR="00BA3337" w:rsidRPr="0034097E">
        <w:rPr>
          <w:rFonts w:eastAsia="MS Mincho"/>
          <w:b/>
          <w:bCs/>
          <w:szCs w:val="22"/>
        </w:rPr>
        <w:t>n</w:t>
      </w:r>
      <w:r w:rsidR="00BA3337" w:rsidRPr="0034097E">
        <w:rPr>
          <w:rFonts w:eastAsia="MS Mincho"/>
          <w:b/>
          <w:bCs/>
          <w:szCs w:val="22"/>
          <w:vertAlign w:val="superscript"/>
        </w:rPr>
        <w:t>o</w:t>
      </w:r>
      <w:r w:rsidR="00BA3337" w:rsidRPr="0034097E">
        <w:rPr>
          <w:b/>
          <w:bCs/>
        </w:rPr>
        <w:t> </w:t>
      </w:r>
      <w:r w:rsidRPr="0034097E">
        <w:rPr>
          <w:b/>
        </w:rPr>
        <w:t>[XX]</w:t>
      </w:r>
      <w:r w:rsidRPr="0034097E">
        <w:t>. Il peut aussi s</w:t>
      </w:r>
      <w:r w:rsidR="006732D6" w:rsidRPr="0034097E">
        <w:t>’</w:t>
      </w:r>
      <w:r w:rsidRPr="0034097E">
        <w:t>agir d</w:t>
      </w:r>
      <w:r w:rsidR="006732D6" w:rsidRPr="0034097E">
        <w:t>’</w:t>
      </w:r>
      <w:r w:rsidRPr="0034097E">
        <w:t>un dispositif de retenue pour enfants ayant le tableau de bord comme zone de contact.</w:t>
      </w:r>
    </w:p>
    <w:p w:rsidR="004152AA" w:rsidRPr="0034097E" w:rsidRDefault="004152AA" w:rsidP="006732D6">
      <w:pPr>
        <w:pStyle w:val="SingleTxtG"/>
        <w:ind w:left="2268" w:hanging="1134"/>
        <w:rPr>
          <w:iCs/>
        </w:rPr>
      </w:pPr>
      <w:r w:rsidRPr="0034097E">
        <w:rPr>
          <w:iCs/>
        </w:rPr>
        <w:t>2.7.2</w:t>
      </w:r>
      <w:r w:rsidRPr="0034097E">
        <w:rPr>
          <w:i/>
          <w:iCs/>
        </w:rPr>
        <w:t xml:space="preserve"> </w:t>
      </w:r>
      <w:r w:rsidRPr="0034097E">
        <w:rPr>
          <w:i/>
          <w:iCs/>
        </w:rPr>
        <w:tab/>
      </w:r>
      <w:r w:rsidR="00333802" w:rsidRPr="0034097E">
        <w:t>“</w:t>
      </w:r>
      <w:r w:rsidRPr="0034097E">
        <w:rPr>
          <w:i/>
          <w:iCs/>
        </w:rPr>
        <w:t>Siège rehausseur spécifique à un véhicule</w:t>
      </w:r>
      <w:r w:rsidR="00BA3337" w:rsidRPr="0034097E">
        <w:t>”</w:t>
      </w:r>
      <w:r w:rsidRPr="0034097E">
        <w:rPr>
          <w:i/>
          <w:iCs/>
        </w:rPr>
        <w:t xml:space="preserve">, </w:t>
      </w:r>
      <w:r w:rsidRPr="0034097E">
        <w:rPr>
          <w:iCs/>
        </w:rPr>
        <w:t xml:space="preserve">une catégorie de dispositif amélioré de retenue pour enfants avec dossier intégré de classe non intégrale utilisable seulement sur des types spécifiques de véhicule, avec des ancrages homologués conformément au Règlement </w:t>
      </w:r>
      <w:r w:rsidR="00BA3337" w:rsidRPr="0034097E">
        <w:rPr>
          <w:rFonts w:eastAsia="MS Mincho"/>
          <w:szCs w:val="22"/>
        </w:rPr>
        <w:t>n</w:t>
      </w:r>
      <w:r w:rsidR="00BA3337" w:rsidRPr="0034097E">
        <w:rPr>
          <w:rFonts w:eastAsia="MS Mincho"/>
          <w:szCs w:val="22"/>
          <w:vertAlign w:val="superscript"/>
        </w:rPr>
        <w:t>o</w:t>
      </w:r>
      <w:r w:rsidR="00BA3337" w:rsidRPr="0034097E">
        <w:t> </w:t>
      </w:r>
      <w:r w:rsidRPr="0034097E">
        <w:rPr>
          <w:iCs/>
        </w:rPr>
        <w:t xml:space="preserve">14 </w:t>
      </w:r>
      <w:r w:rsidR="00BA3337" w:rsidRPr="0034097E">
        <w:rPr>
          <w:b/>
          <w:iCs/>
        </w:rPr>
        <w:t xml:space="preserve">ou au Règlement </w:t>
      </w:r>
      <w:r w:rsidR="00BA3337" w:rsidRPr="0034097E">
        <w:rPr>
          <w:rFonts w:eastAsia="MS Mincho"/>
          <w:b/>
          <w:iCs/>
          <w:szCs w:val="22"/>
        </w:rPr>
        <w:t>n</w:t>
      </w:r>
      <w:r w:rsidR="00BA3337" w:rsidRPr="0034097E">
        <w:rPr>
          <w:rFonts w:eastAsia="MS Mincho"/>
          <w:b/>
          <w:iCs/>
          <w:szCs w:val="22"/>
          <w:vertAlign w:val="superscript"/>
        </w:rPr>
        <w:t>o</w:t>
      </w:r>
      <w:r w:rsidR="00BA3337" w:rsidRPr="0034097E">
        <w:rPr>
          <w:b/>
          <w:iCs/>
        </w:rPr>
        <w:t> </w:t>
      </w:r>
      <w:r w:rsidRPr="0034097E">
        <w:rPr>
          <w:b/>
          <w:iCs/>
        </w:rPr>
        <w:t>[XX]</w:t>
      </w:r>
      <w:r w:rsidRPr="0034097E">
        <w:rPr>
          <w:iCs/>
        </w:rPr>
        <w:t xml:space="preserve">. Dans cette catégorie figurent également les </w:t>
      </w:r>
      <w:r w:rsidR="00D82A87" w:rsidRPr="0034097E">
        <w:t>“</w:t>
      </w:r>
      <w:r w:rsidRPr="0034097E">
        <w:rPr>
          <w:iCs/>
        </w:rPr>
        <w:t>sièges rehausseurs intégrés</w:t>
      </w:r>
      <w:r w:rsidR="00D82A87" w:rsidRPr="0034097E">
        <w:t>”</w:t>
      </w:r>
      <w:r w:rsidR="00BA3337" w:rsidRPr="0034097E">
        <w:rPr>
          <w:iCs/>
        </w:rPr>
        <w:t>. </w:t>
      </w:r>
      <w:r w:rsidRPr="0034097E">
        <w:rPr>
          <w:iCs/>
        </w:rPr>
        <w:t>».</w:t>
      </w:r>
    </w:p>
    <w:p w:rsidR="004152AA" w:rsidRPr="0034097E" w:rsidRDefault="004152AA" w:rsidP="004152AA">
      <w:pPr>
        <w:pStyle w:val="SingleTxtG"/>
      </w:pPr>
      <w:r w:rsidRPr="0034097E">
        <w:rPr>
          <w:i/>
        </w:rPr>
        <w:t>Paragraphe 2.11</w:t>
      </w:r>
      <w:r w:rsidRPr="0034097E">
        <w:t xml:space="preserve">, </w:t>
      </w:r>
      <w:proofErr w:type="gramStart"/>
      <w:r w:rsidRPr="0034097E">
        <w:t>modifier</w:t>
      </w:r>
      <w:proofErr w:type="gramEnd"/>
      <w:r w:rsidRPr="0034097E">
        <w:t xml:space="preserve"> comme suit</w:t>
      </w:r>
      <w:r w:rsidR="00BA3337" w:rsidRPr="0034097E">
        <w:t> </w:t>
      </w:r>
      <w:r w:rsidRPr="0034097E">
        <w:t>:</w:t>
      </w:r>
    </w:p>
    <w:p w:rsidR="004152AA" w:rsidRPr="0034097E" w:rsidRDefault="00BA3337" w:rsidP="006732D6">
      <w:pPr>
        <w:pStyle w:val="SingleTxtG"/>
        <w:ind w:left="2268" w:hanging="1134"/>
        <w:rPr>
          <w:bCs/>
        </w:rPr>
      </w:pPr>
      <w:r w:rsidRPr="0034097E">
        <w:t>« </w:t>
      </w:r>
      <w:r w:rsidR="004152AA" w:rsidRPr="0034097E">
        <w:rPr>
          <w:bCs/>
        </w:rPr>
        <w:t>2.11</w:t>
      </w:r>
      <w:r w:rsidR="004152AA" w:rsidRPr="0034097E">
        <w:rPr>
          <w:bCs/>
        </w:rPr>
        <w:tab/>
      </w:r>
      <w:r w:rsidR="00333802" w:rsidRPr="0034097E">
        <w:t>“</w:t>
      </w:r>
      <w:r w:rsidR="004152AA" w:rsidRPr="0034097E">
        <w:rPr>
          <w:bCs/>
          <w:i/>
        </w:rPr>
        <w:t>Système d</w:t>
      </w:r>
      <w:r w:rsidR="006732D6" w:rsidRPr="0034097E">
        <w:rPr>
          <w:bCs/>
          <w:i/>
        </w:rPr>
        <w:t>’</w:t>
      </w:r>
      <w:r w:rsidR="004152AA" w:rsidRPr="0034097E">
        <w:rPr>
          <w:bCs/>
          <w:i/>
        </w:rPr>
        <w:t>ancrages ISOFIX</w:t>
      </w:r>
      <w:r w:rsidRPr="0034097E">
        <w:t>”</w:t>
      </w:r>
      <w:r w:rsidR="004152AA" w:rsidRPr="0034097E">
        <w:rPr>
          <w:bCs/>
        </w:rPr>
        <w:t xml:space="preserve">, un système composé de deux ancrages ISOFIX, conforme aux prescriptions du Règlement </w:t>
      </w:r>
      <w:r w:rsidRPr="0034097E">
        <w:rPr>
          <w:rFonts w:eastAsia="MS Mincho"/>
          <w:szCs w:val="22"/>
        </w:rPr>
        <w:t>n</w:t>
      </w:r>
      <w:r w:rsidRPr="0034097E">
        <w:rPr>
          <w:rFonts w:eastAsia="MS Mincho"/>
          <w:szCs w:val="22"/>
          <w:vertAlign w:val="superscript"/>
        </w:rPr>
        <w:t>o</w:t>
      </w:r>
      <w:r w:rsidRPr="0034097E">
        <w:t> </w:t>
      </w:r>
      <w:r w:rsidR="004152AA" w:rsidRPr="0034097E">
        <w:rPr>
          <w:bCs/>
        </w:rPr>
        <w:t xml:space="preserve">14 </w:t>
      </w:r>
      <w:r w:rsidR="004152AA" w:rsidRPr="0034097E">
        <w:rPr>
          <w:b/>
          <w:bCs/>
        </w:rPr>
        <w:t xml:space="preserve">ou du Règlement </w:t>
      </w:r>
      <w:r w:rsidRPr="0034097E">
        <w:rPr>
          <w:rFonts w:eastAsia="MS Mincho"/>
          <w:b/>
          <w:bCs/>
          <w:szCs w:val="22"/>
        </w:rPr>
        <w:t>n</w:t>
      </w:r>
      <w:r w:rsidRPr="0034097E">
        <w:rPr>
          <w:rFonts w:eastAsia="MS Mincho"/>
          <w:b/>
          <w:bCs/>
          <w:szCs w:val="22"/>
          <w:vertAlign w:val="superscript"/>
        </w:rPr>
        <w:t>o</w:t>
      </w:r>
      <w:r w:rsidRPr="0034097E">
        <w:rPr>
          <w:b/>
          <w:bCs/>
        </w:rPr>
        <w:t> </w:t>
      </w:r>
      <w:r w:rsidR="004152AA" w:rsidRPr="0034097E">
        <w:rPr>
          <w:b/>
          <w:bCs/>
        </w:rPr>
        <w:t>[XX]</w:t>
      </w:r>
      <w:r w:rsidR="004152AA" w:rsidRPr="0034097E">
        <w:rPr>
          <w:bCs/>
        </w:rPr>
        <w:t>, destiné à attacher un dispositif de retenue pour enfants ISOFIX associé à un système antirotation.</w:t>
      </w:r>
      <w:r w:rsidRPr="0034097E">
        <w:rPr>
          <w:bCs/>
        </w:rPr>
        <w:t> »</w:t>
      </w:r>
      <w:r w:rsidR="004152AA" w:rsidRPr="0034097E">
        <w:t>.</w:t>
      </w:r>
    </w:p>
    <w:p w:rsidR="004152AA" w:rsidRPr="0034097E" w:rsidRDefault="004152AA" w:rsidP="004152AA">
      <w:pPr>
        <w:pStyle w:val="SingleTxtG"/>
      </w:pPr>
      <w:r w:rsidRPr="0034097E">
        <w:rPr>
          <w:i/>
        </w:rPr>
        <w:t>Paragraphe 2.12</w:t>
      </w:r>
      <w:r w:rsidRPr="0034097E">
        <w:t xml:space="preserve">, </w:t>
      </w:r>
      <w:proofErr w:type="gramStart"/>
      <w:r w:rsidRPr="0034097E">
        <w:t>modifier</w:t>
      </w:r>
      <w:proofErr w:type="gramEnd"/>
      <w:r w:rsidRPr="0034097E">
        <w:t xml:space="preserve"> comme suit</w:t>
      </w:r>
      <w:r w:rsidR="00BA3337" w:rsidRPr="0034097E">
        <w:t> </w:t>
      </w:r>
      <w:r w:rsidRPr="0034097E">
        <w:t>:</w:t>
      </w:r>
    </w:p>
    <w:p w:rsidR="004152AA" w:rsidRPr="0034097E" w:rsidRDefault="00BA3337" w:rsidP="006732D6">
      <w:pPr>
        <w:pStyle w:val="SingleTxtG"/>
        <w:ind w:left="2268" w:hanging="1134"/>
        <w:rPr>
          <w:bCs/>
        </w:rPr>
      </w:pPr>
      <w:r w:rsidRPr="0034097E">
        <w:t>« </w:t>
      </w:r>
      <w:r w:rsidR="004152AA" w:rsidRPr="0034097E">
        <w:rPr>
          <w:bCs/>
        </w:rPr>
        <w:t>2.12</w:t>
      </w:r>
      <w:r w:rsidR="004152AA" w:rsidRPr="0034097E">
        <w:rPr>
          <w:b/>
          <w:bCs/>
        </w:rPr>
        <w:tab/>
      </w:r>
      <w:r w:rsidR="00333802" w:rsidRPr="0034097E">
        <w:t>“</w:t>
      </w:r>
      <w:r w:rsidR="004152AA" w:rsidRPr="0034097E">
        <w:rPr>
          <w:bCs/>
          <w:i/>
        </w:rPr>
        <w:t>Système antirotation</w:t>
      </w:r>
      <w:r w:rsidRPr="0034097E">
        <w:t>”</w:t>
      </w:r>
      <w:r w:rsidR="004152AA" w:rsidRPr="0034097E">
        <w:rPr>
          <w:bCs/>
        </w:rPr>
        <w:t>, un système conçu pour limiter la rotation du dispositif de retenue pour enfants en cas de choc, composé</w:t>
      </w:r>
      <w:r w:rsidRPr="0034097E">
        <w:rPr>
          <w:bCs/>
        </w:rPr>
        <w:t> </w:t>
      </w:r>
      <w:r w:rsidR="004152AA" w:rsidRPr="0034097E">
        <w:rPr>
          <w:bCs/>
        </w:rPr>
        <w:t>:</w:t>
      </w:r>
    </w:p>
    <w:p w:rsidR="004152AA" w:rsidRPr="0034097E" w:rsidRDefault="004152AA" w:rsidP="00BA3337">
      <w:pPr>
        <w:pStyle w:val="SingleTxtG"/>
        <w:ind w:left="2268"/>
      </w:pPr>
      <w:r w:rsidRPr="0034097E">
        <w:tab/>
        <w:t>a)</w:t>
      </w:r>
      <w:r w:rsidR="00BA3337" w:rsidRPr="0034097E">
        <w:tab/>
      </w:r>
      <w:r w:rsidRPr="0034097E">
        <w:t>D</w:t>
      </w:r>
      <w:r w:rsidR="006732D6" w:rsidRPr="0034097E">
        <w:t>’</w:t>
      </w:r>
      <w:r w:rsidRPr="0034097E">
        <w:t>une sangle de fixation supérieure</w:t>
      </w:r>
      <w:r w:rsidR="00BA3337" w:rsidRPr="0034097E">
        <w:t> </w:t>
      </w:r>
      <w:r w:rsidRPr="0034097E">
        <w:t>; ou</w:t>
      </w:r>
    </w:p>
    <w:p w:rsidR="004152AA" w:rsidRPr="0034097E" w:rsidRDefault="004152AA" w:rsidP="00BA3337">
      <w:pPr>
        <w:pStyle w:val="SingleTxtG"/>
        <w:ind w:left="2268"/>
      </w:pPr>
      <w:r w:rsidRPr="0034097E">
        <w:tab/>
        <w:t>b)</w:t>
      </w:r>
      <w:r w:rsidR="00BA3337" w:rsidRPr="0034097E">
        <w:tab/>
      </w:r>
      <w:r w:rsidRPr="0034097E">
        <w:t>D</w:t>
      </w:r>
      <w:r w:rsidR="006732D6" w:rsidRPr="0034097E">
        <w:t>’</w:t>
      </w:r>
      <w:r w:rsidRPr="0034097E">
        <w:t>une jambe de force.</w:t>
      </w:r>
    </w:p>
    <w:p w:rsidR="004152AA" w:rsidRPr="0034097E" w:rsidRDefault="004152AA" w:rsidP="00BA3337">
      <w:pPr>
        <w:pStyle w:val="SingleTxtG"/>
        <w:ind w:left="2268"/>
      </w:pPr>
      <w:r w:rsidRPr="0034097E">
        <w:tab/>
        <w:t>Ce système, qui doit satisfaire aux prescriptions du présent Règlement, doit être fixé à un système d</w:t>
      </w:r>
      <w:r w:rsidR="006732D6" w:rsidRPr="0034097E">
        <w:t>’</w:t>
      </w:r>
      <w:r w:rsidRPr="0034097E">
        <w:t xml:space="preserve">ancrages ISOFIX, à des ancrages supérieurs ISOFIX ou à la surface de contact avec le plancher du véhicule conformes aux prescriptions du Règlement </w:t>
      </w:r>
      <w:r w:rsidR="00F96D37" w:rsidRPr="0034097E">
        <w:rPr>
          <w:rFonts w:eastAsia="MS Mincho"/>
          <w:szCs w:val="22"/>
        </w:rPr>
        <w:t>n</w:t>
      </w:r>
      <w:r w:rsidR="00F96D37" w:rsidRPr="0034097E">
        <w:rPr>
          <w:rFonts w:eastAsia="MS Mincho"/>
          <w:szCs w:val="22"/>
          <w:vertAlign w:val="superscript"/>
        </w:rPr>
        <w:t>o</w:t>
      </w:r>
      <w:r w:rsidR="00F96D37" w:rsidRPr="0034097E">
        <w:t> </w:t>
      </w:r>
      <w:r w:rsidRPr="0034097E">
        <w:t xml:space="preserve">14 </w:t>
      </w:r>
      <w:r w:rsidRPr="0034097E">
        <w:rPr>
          <w:b/>
        </w:rPr>
        <w:t xml:space="preserve">ou du Règlement </w:t>
      </w:r>
      <w:r w:rsidR="00F96D37" w:rsidRPr="0034097E">
        <w:rPr>
          <w:rFonts w:eastAsia="MS Mincho"/>
          <w:b/>
          <w:szCs w:val="22"/>
        </w:rPr>
        <w:t>n</w:t>
      </w:r>
      <w:r w:rsidR="00F96D37" w:rsidRPr="0034097E">
        <w:rPr>
          <w:rFonts w:eastAsia="MS Mincho"/>
          <w:b/>
          <w:szCs w:val="22"/>
          <w:vertAlign w:val="superscript"/>
        </w:rPr>
        <w:t>o</w:t>
      </w:r>
      <w:r w:rsidR="00F96D37" w:rsidRPr="0034097E">
        <w:rPr>
          <w:b/>
        </w:rPr>
        <w:t> </w:t>
      </w:r>
      <w:r w:rsidRPr="0034097E">
        <w:rPr>
          <w:b/>
        </w:rPr>
        <w:t>[XX]</w:t>
      </w:r>
      <w:r w:rsidRPr="0034097E">
        <w:t>.</w:t>
      </w:r>
      <w:r w:rsidR="00F96D37" w:rsidRPr="0034097E">
        <w:rPr>
          <w:b/>
        </w:rPr>
        <w:t> »</w:t>
      </w:r>
      <w:r w:rsidRPr="0034097E">
        <w:t>.</w:t>
      </w:r>
    </w:p>
    <w:p w:rsidR="004152AA" w:rsidRPr="0034097E" w:rsidRDefault="004152AA" w:rsidP="004152AA">
      <w:pPr>
        <w:pStyle w:val="SingleTxtG"/>
      </w:pPr>
      <w:r w:rsidRPr="0034097E">
        <w:rPr>
          <w:i/>
        </w:rPr>
        <w:t>Paragraphes 2.13 à 2.13.3</w:t>
      </w:r>
      <w:r w:rsidRPr="0034097E">
        <w:t xml:space="preserve">, </w:t>
      </w:r>
      <w:proofErr w:type="gramStart"/>
      <w:r w:rsidRPr="0034097E">
        <w:t>modifier</w:t>
      </w:r>
      <w:proofErr w:type="gramEnd"/>
      <w:r w:rsidRPr="0034097E">
        <w:t xml:space="preserve"> comme suit</w:t>
      </w:r>
      <w:r w:rsidR="00F96D37" w:rsidRPr="0034097E">
        <w:t> </w:t>
      </w:r>
      <w:r w:rsidRPr="0034097E">
        <w:t>:</w:t>
      </w:r>
    </w:p>
    <w:p w:rsidR="004152AA" w:rsidRPr="0034097E" w:rsidRDefault="00F96D37" w:rsidP="006732D6">
      <w:pPr>
        <w:pStyle w:val="SingleTxtG"/>
        <w:ind w:left="2268" w:hanging="1134"/>
        <w:rPr>
          <w:b/>
          <w:bCs/>
        </w:rPr>
      </w:pPr>
      <w:r w:rsidRPr="0034097E">
        <w:t>« </w:t>
      </w:r>
      <w:r w:rsidR="004152AA" w:rsidRPr="0034097E">
        <w:rPr>
          <w:bCs/>
        </w:rPr>
        <w:t>2.13</w:t>
      </w:r>
      <w:r w:rsidR="004152AA" w:rsidRPr="0034097E">
        <w:rPr>
          <w:bCs/>
        </w:rPr>
        <w:tab/>
      </w:r>
      <w:r w:rsidR="00333802" w:rsidRPr="0034097E">
        <w:t>“</w:t>
      </w:r>
      <w:r w:rsidR="004152AA" w:rsidRPr="0034097E">
        <w:rPr>
          <w:bCs/>
          <w:i/>
        </w:rPr>
        <w:t>Sangle de fixation supérieure ISOFIX</w:t>
      </w:r>
      <w:r w:rsidR="00BA3337" w:rsidRPr="0034097E">
        <w:t>”</w:t>
      </w:r>
      <w:r w:rsidR="004152AA" w:rsidRPr="0034097E">
        <w:rPr>
          <w:bCs/>
        </w:rPr>
        <w:t>, …</w:t>
      </w:r>
    </w:p>
    <w:p w:rsidR="004152AA" w:rsidRPr="0034097E" w:rsidRDefault="004152AA" w:rsidP="006732D6">
      <w:pPr>
        <w:pStyle w:val="SingleTxtG"/>
        <w:ind w:left="2268" w:hanging="1134"/>
      </w:pPr>
      <w:r w:rsidRPr="0034097E">
        <w:t>2.13.1</w:t>
      </w:r>
      <w:r w:rsidRPr="0034097E">
        <w:tab/>
      </w:r>
      <w:r w:rsidR="00333802" w:rsidRPr="0034097E">
        <w:t>“</w:t>
      </w:r>
      <w:r w:rsidRPr="0034097E">
        <w:rPr>
          <w:i/>
        </w:rPr>
        <w:t>Ancrage pour fixation supérieure ISOFIX</w:t>
      </w:r>
      <w:r w:rsidR="00BA3337" w:rsidRPr="0034097E">
        <w:t>”</w:t>
      </w:r>
      <w:r w:rsidRPr="0034097E">
        <w:t xml:space="preserve">, un dispositif conforme aux exigences du Règlement </w:t>
      </w:r>
      <w:r w:rsidR="00F96D37" w:rsidRPr="0034097E">
        <w:rPr>
          <w:rFonts w:eastAsia="MS Mincho"/>
          <w:szCs w:val="22"/>
        </w:rPr>
        <w:t>n</w:t>
      </w:r>
      <w:r w:rsidR="00F96D37" w:rsidRPr="0034097E">
        <w:rPr>
          <w:rFonts w:eastAsia="MS Mincho"/>
          <w:szCs w:val="22"/>
          <w:vertAlign w:val="superscript"/>
        </w:rPr>
        <w:t>o</w:t>
      </w:r>
      <w:r w:rsidR="00F96D37" w:rsidRPr="0034097E">
        <w:t> </w:t>
      </w:r>
      <w:r w:rsidRPr="0034097E">
        <w:t xml:space="preserve">14 </w:t>
      </w:r>
      <w:r w:rsidRPr="0034097E">
        <w:rPr>
          <w:b/>
        </w:rPr>
        <w:t xml:space="preserve">ou du Règlement </w:t>
      </w:r>
      <w:r w:rsidR="00F96D37" w:rsidRPr="0034097E">
        <w:rPr>
          <w:rFonts w:eastAsia="MS Mincho"/>
          <w:b/>
          <w:szCs w:val="22"/>
        </w:rPr>
        <w:t>n</w:t>
      </w:r>
      <w:r w:rsidR="00F96D37" w:rsidRPr="0034097E">
        <w:rPr>
          <w:rFonts w:eastAsia="MS Mincho"/>
          <w:b/>
          <w:szCs w:val="22"/>
          <w:vertAlign w:val="superscript"/>
        </w:rPr>
        <w:t>o</w:t>
      </w:r>
      <w:r w:rsidR="00F96D37" w:rsidRPr="0034097E">
        <w:rPr>
          <w:b/>
        </w:rPr>
        <w:t> </w:t>
      </w:r>
      <w:r w:rsidRPr="0034097E">
        <w:rPr>
          <w:b/>
        </w:rPr>
        <w:t>[XX]</w:t>
      </w:r>
      <w:r w:rsidRPr="0034097E">
        <w:t>, par exemple une barre, située dans une zone définie, conçu pour recevoir un connecteur de sangle d</w:t>
      </w:r>
      <w:r w:rsidR="006732D6" w:rsidRPr="0034097E">
        <w:t>’</w:t>
      </w:r>
      <w:r w:rsidRPr="0034097E">
        <w:t>ancrage supérieur ISOFIX et transférer son effort de rétentio</w:t>
      </w:r>
      <w:r w:rsidR="00F96D37" w:rsidRPr="0034097E">
        <w:t>n sur la structure du véhicule.</w:t>
      </w:r>
    </w:p>
    <w:p w:rsidR="004152AA" w:rsidRPr="0034097E" w:rsidRDefault="004152AA" w:rsidP="0044602F">
      <w:pPr>
        <w:pStyle w:val="SingleTxtG"/>
        <w:ind w:left="2268" w:hanging="1134"/>
      </w:pPr>
      <w:r w:rsidRPr="0034097E">
        <w:t>2.13.2</w:t>
      </w:r>
      <w:r w:rsidR="0044602F" w:rsidRPr="0034097E">
        <w:tab/>
      </w:r>
      <w:r w:rsidRPr="0034097E">
        <w:tab/>
        <w:t>…</w:t>
      </w:r>
    </w:p>
    <w:p w:rsidR="004152AA" w:rsidRPr="0034097E" w:rsidRDefault="004152AA" w:rsidP="006732D6">
      <w:pPr>
        <w:pStyle w:val="SingleTxtG"/>
        <w:ind w:left="2268" w:hanging="1134"/>
      </w:pPr>
      <w:r w:rsidRPr="0034097E">
        <w:lastRenderedPageBreak/>
        <w:t>2.13.3</w:t>
      </w:r>
      <w:r w:rsidRPr="0034097E">
        <w:tab/>
      </w:r>
      <w:r w:rsidR="00333802" w:rsidRPr="0034097E">
        <w:t>“</w:t>
      </w:r>
      <w:r w:rsidRPr="0034097E">
        <w:rPr>
          <w:i/>
          <w:iCs/>
        </w:rPr>
        <w:t>Crochet pour fixation supérieure ISOFIX</w:t>
      </w:r>
      <w:r w:rsidR="00BA3337" w:rsidRPr="0034097E">
        <w:t>”</w:t>
      </w:r>
      <w:r w:rsidRPr="0034097E">
        <w:t>, un connecteur d</w:t>
      </w:r>
      <w:r w:rsidR="006732D6" w:rsidRPr="0034097E">
        <w:t>’</w:t>
      </w:r>
      <w:r w:rsidRPr="0034097E">
        <w:t>ancrage supérieur ISOFIX généralement utilisé pour attacher une sangle de fixation supérieure ISOFIX à un ancrage pour fixation supérieure ISOFIX tel que défini à la figure</w:t>
      </w:r>
      <w:r w:rsidR="00F84EC2" w:rsidRPr="0034097E">
        <w:t> </w:t>
      </w:r>
      <w:r w:rsidRPr="0034097E">
        <w:t xml:space="preserve">3 du Règlement </w:t>
      </w:r>
      <w:r w:rsidR="00F84EC2" w:rsidRPr="0034097E">
        <w:rPr>
          <w:rFonts w:eastAsia="MS Mincho"/>
          <w:szCs w:val="22"/>
        </w:rPr>
        <w:t>n</w:t>
      </w:r>
      <w:r w:rsidR="00F84EC2" w:rsidRPr="0034097E">
        <w:rPr>
          <w:rFonts w:eastAsia="MS Mincho"/>
          <w:szCs w:val="22"/>
          <w:vertAlign w:val="superscript"/>
        </w:rPr>
        <w:t>o</w:t>
      </w:r>
      <w:r w:rsidR="00F84EC2" w:rsidRPr="0034097E">
        <w:t> </w:t>
      </w:r>
      <w:r w:rsidRPr="0034097E">
        <w:t xml:space="preserve">14 </w:t>
      </w:r>
      <w:r w:rsidRPr="0034097E">
        <w:rPr>
          <w:b/>
        </w:rPr>
        <w:t xml:space="preserve">ou au Règlement </w:t>
      </w:r>
      <w:r w:rsidR="00F84EC2" w:rsidRPr="0034097E">
        <w:rPr>
          <w:rFonts w:eastAsia="MS Mincho"/>
          <w:b/>
          <w:szCs w:val="22"/>
        </w:rPr>
        <w:t>n</w:t>
      </w:r>
      <w:r w:rsidR="00F84EC2" w:rsidRPr="0034097E">
        <w:rPr>
          <w:rFonts w:eastAsia="MS Mincho"/>
          <w:b/>
          <w:szCs w:val="22"/>
          <w:vertAlign w:val="superscript"/>
        </w:rPr>
        <w:t>o</w:t>
      </w:r>
      <w:r w:rsidR="00F84EC2" w:rsidRPr="0034097E">
        <w:rPr>
          <w:b/>
        </w:rPr>
        <w:t> </w:t>
      </w:r>
      <w:r w:rsidRPr="0034097E">
        <w:rPr>
          <w:b/>
        </w:rPr>
        <w:t>[XX]</w:t>
      </w:r>
      <w:r w:rsidRPr="0034097E">
        <w:t>.</w:t>
      </w:r>
      <w:r w:rsidR="00F84EC2" w:rsidRPr="0034097E">
        <w:t> »</w:t>
      </w:r>
      <w:r w:rsidRPr="0034097E">
        <w:t>.</w:t>
      </w:r>
    </w:p>
    <w:p w:rsidR="004152AA" w:rsidRPr="0034097E" w:rsidRDefault="004152AA" w:rsidP="004152AA">
      <w:pPr>
        <w:pStyle w:val="SingleTxtG"/>
      </w:pPr>
      <w:r w:rsidRPr="0034097E">
        <w:rPr>
          <w:i/>
        </w:rPr>
        <w:t>Paragraphe 2.15.3</w:t>
      </w:r>
      <w:r w:rsidRPr="0034097E">
        <w:t xml:space="preserve">, </w:t>
      </w:r>
      <w:proofErr w:type="gramStart"/>
      <w:r w:rsidRPr="0034097E">
        <w:t>modifier</w:t>
      </w:r>
      <w:proofErr w:type="gramEnd"/>
      <w:r w:rsidRPr="0034097E">
        <w:t xml:space="preserve"> comme suit</w:t>
      </w:r>
      <w:r w:rsidR="00F84EC2" w:rsidRPr="0034097E">
        <w:t> </w:t>
      </w:r>
      <w:r w:rsidRPr="0034097E">
        <w:t>:</w:t>
      </w:r>
    </w:p>
    <w:p w:rsidR="004152AA" w:rsidRPr="0034097E" w:rsidRDefault="00F84EC2" w:rsidP="006732D6">
      <w:pPr>
        <w:pStyle w:val="SingleTxtG"/>
        <w:ind w:left="2268" w:hanging="1134"/>
      </w:pPr>
      <w:r w:rsidRPr="0034097E">
        <w:t>« </w:t>
      </w:r>
      <w:r w:rsidR="004152AA" w:rsidRPr="0034097E">
        <w:t>2.15.3</w:t>
      </w:r>
      <w:r w:rsidR="004152AA" w:rsidRPr="0034097E">
        <w:tab/>
      </w:r>
      <w:r w:rsidR="00333802" w:rsidRPr="0034097E">
        <w:t>“</w:t>
      </w:r>
      <w:r w:rsidR="004152AA" w:rsidRPr="0034097E">
        <w:rPr>
          <w:i/>
        </w:rPr>
        <w:t>Volume imparti au socle de la jambe de force</w:t>
      </w:r>
      <w:r w:rsidR="00BA3337" w:rsidRPr="0034097E">
        <w:t>”</w:t>
      </w:r>
      <w:r w:rsidR="004152AA" w:rsidRPr="0034097E">
        <w:t>, l</w:t>
      </w:r>
      <w:r w:rsidR="006732D6" w:rsidRPr="0034097E">
        <w:t>’</w:t>
      </w:r>
      <w:r w:rsidR="004152AA" w:rsidRPr="0034097E">
        <w:t>espace dans lequel le socle de la jambe de force peut se déplacer. Ce volume correspond au volume imparti au socle de la jambe de force pour les véhicules, tel qu</w:t>
      </w:r>
      <w:r w:rsidR="006732D6" w:rsidRPr="0034097E">
        <w:t>’</w:t>
      </w:r>
      <w:r w:rsidR="004152AA" w:rsidRPr="0034097E">
        <w:t>il est défini à l</w:t>
      </w:r>
      <w:r w:rsidR="006732D6" w:rsidRPr="0034097E">
        <w:t>’</w:t>
      </w:r>
      <w:r w:rsidR="004152AA" w:rsidRPr="0034097E">
        <w:t>annexe</w:t>
      </w:r>
      <w:r w:rsidR="00A556B1" w:rsidRPr="0034097E">
        <w:t> </w:t>
      </w:r>
      <w:r w:rsidR="004152AA" w:rsidRPr="0034097E">
        <w:t xml:space="preserve">10 du Règlement </w:t>
      </w:r>
      <w:r w:rsidRPr="0034097E">
        <w:rPr>
          <w:rFonts w:eastAsia="MS Mincho"/>
          <w:szCs w:val="22"/>
        </w:rPr>
        <w:t>n</w:t>
      </w:r>
      <w:r w:rsidRPr="0034097E">
        <w:rPr>
          <w:rFonts w:eastAsia="MS Mincho"/>
          <w:szCs w:val="22"/>
          <w:vertAlign w:val="superscript"/>
        </w:rPr>
        <w:t>o</w:t>
      </w:r>
      <w:r w:rsidRPr="0034097E">
        <w:t> </w:t>
      </w:r>
      <w:r w:rsidR="004152AA" w:rsidRPr="0034097E">
        <w:t xml:space="preserve">14 </w:t>
      </w:r>
      <w:r w:rsidR="004152AA" w:rsidRPr="0034097E">
        <w:rPr>
          <w:b/>
        </w:rPr>
        <w:t>ou à l</w:t>
      </w:r>
      <w:r w:rsidR="006732D6" w:rsidRPr="0034097E">
        <w:rPr>
          <w:b/>
        </w:rPr>
        <w:t>’</w:t>
      </w:r>
      <w:r w:rsidR="004152AA" w:rsidRPr="0034097E">
        <w:rPr>
          <w:b/>
        </w:rPr>
        <w:t>annexe</w:t>
      </w:r>
      <w:r w:rsidRPr="0034097E">
        <w:rPr>
          <w:b/>
        </w:rPr>
        <w:t> </w:t>
      </w:r>
      <w:r w:rsidR="004152AA" w:rsidRPr="0034097E">
        <w:rPr>
          <w:b/>
        </w:rPr>
        <w:t xml:space="preserve">5 du Règlement </w:t>
      </w:r>
      <w:r w:rsidRPr="0034097E">
        <w:rPr>
          <w:rFonts w:eastAsia="MS Mincho"/>
          <w:b/>
          <w:szCs w:val="22"/>
        </w:rPr>
        <w:t>n</w:t>
      </w:r>
      <w:r w:rsidRPr="0034097E">
        <w:rPr>
          <w:rFonts w:eastAsia="MS Mincho"/>
          <w:b/>
          <w:szCs w:val="22"/>
          <w:vertAlign w:val="superscript"/>
        </w:rPr>
        <w:t>o</w:t>
      </w:r>
      <w:r w:rsidRPr="0034097E">
        <w:rPr>
          <w:b/>
        </w:rPr>
        <w:t> </w:t>
      </w:r>
      <w:r w:rsidR="004152AA" w:rsidRPr="0034097E">
        <w:rPr>
          <w:b/>
        </w:rPr>
        <w:t>[XX]</w:t>
      </w:r>
      <w:r w:rsidR="004152AA" w:rsidRPr="0034097E">
        <w:t>.</w:t>
      </w:r>
      <w:r w:rsidRPr="0034097E">
        <w:t> »</w:t>
      </w:r>
      <w:r w:rsidR="004152AA" w:rsidRPr="0034097E">
        <w:t>.</w:t>
      </w:r>
    </w:p>
    <w:p w:rsidR="004152AA" w:rsidRPr="0034097E" w:rsidRDefault="004152AA" w:rsidP="004152AA">
      <w:pPr>
        <w:pStyle w:val="SingleTxtG"/>
      </w:pPr>
      <w:r w:rsidRPr="0034097E">
        <w:rPr>
          <w:i/>
        </w:rPr>
        <w:t>Paragraphe 2.16</w:t>
      </w:r>
      <w:r w:rsidRPr="0034097E">
        <w:t xml:space="preserve">, </w:t>
      </w:r>
      <w:proofErr w:type="gramStart"/>
      <w:r w:rsidRPr="0034097E">
        <w:t>modifier</w:t>
      </w:r>
      <w:proofErr w:type="gramEnd"/>
      <w:r w:rsidRPr="0034097E">
        <w:t xml:space="preserve"> comme suit</w:t>
      </w:r>
      <w:r w:rsidR="00F84EC2" w:rsidRPr="0034097E">
        <w:t> </w:t>
      </w:r>
      <w:r w:rsidRPr="0034097E">
        <w:t>:</w:t>
      </w:r>
    </w:p>
    <w:p w:rsidR="004152AA" w:rsidRPr="0034097E" w:rsidRDefault="00F84EC2" w:rsidP="006732D6">
      <w:pPr>
        <w:pStyle w:val="SingleTxtG"/>
        <w:ind w:left="2268" w:hanging="1134"/>
        <w:rPr>
          <w:bCs/>
        </w:rPr>
      </w:pPr>
      <w:r w:rsidRPr="0034097E">
        <w:t>« </w:t>
      </w:r>
      <w:r w:rsidR="004152AA" w:rsidRPr="0034097E">
        <w:rPr>
          <w:bCs/>
        </w:rPr>
        <w:t>2.16</w:t>
      </w:r>
      <w:r w:rsidR="004152AA" w:rsidRPr="0034097E">
        <w:rPr>
          <w:bCs/>
        </w:rPr>
        <w:tab/>
      </w:r>
      <w:r w:rsidR="00333802" w:rsidRPr="0034097E">
        <w:t>“</w:t>
      </w:r>
      <w:r w:rsidR="004152AA" w:rsidRPr="0034097E">
        <w:rPr>
          <w:bCs/>
          <w:i/>
        </w:rPr>
        <w:t>Angle de tangage du gabarit</w:t>
      </w:r>
      <w:r w:rsidR="00BA3337" w:rsidRPr="0034097E">
        <w:t>”</w:t>
      </w:r>
      <w:r w:rsidR="004152AA" w:rsidRPr="0034097E">
        <w:rPr>
          <w:bCs/>
        </w:rPr>
        <w:t>, l</w:t>
      </w:r>
      <w:r w:rsidR="006732D6" w:rsidRPr="0034097E">
        <w:rPr>
          <w:bCs/>
        </w:rPr>
        <w:t>’</w:t>
      </w:r>
      <w:r w:rsidR="004152AA" w:rsidRPr="0034097E">
        <w:rPr>
          <w:bCs/>
        </w:rPr>
        <w:t>angle que forment la surface inférieure du gabarit ISO/F2 (B), tel qu</w:t>
      </w:r>
      <w:r w:rsidR="006732D6" w:rsidRPr="0034097E">
        <w:rPr>
          <w:bCs/>
        </w:rPr>
        <w:t>’</w:t>
      </w:r>
      <w:r w:rsidR="004152AA" w:rsidRPr="0034097E">
        <w:rPr>
          <w:bCs/>
        </w:rPr>
        <w:t xml:space="preserve">il est défini dans le Règlement </w:t>
      </w:r>
      <w:r w:rsidRPr="0034097E">
        <w:rPr>
          <w:rFonts w:eastAsia="MS Mincho"/>
          <w:szCs w:val="22"/>
        </w:rPr>
        <w:t>n</w:t>
      </w:r>
      <w:r w:rsidRPr="0034097E">
        <w:rPr>
          <w:rFonts w:eastAsia="MS Mincho"/>
          <w:szCs w:val="22"/>
          <w:vertAlign w:val="superscript"/>
        </w:rPr>
        <w:t>o</w:t>
      </w:r>
      <w:r w:rsidRPr="0034097E">
        <w:t> </w:t>
      </w:r>
      <w:r w:rsidRPr="0034097E">
        <w:rPr>
          <w:bCs/>
        </w:rPr>
        <w:t>16 (annexe </w:t>
      </w:r>
      <w:r w:rsidR="004152AA" w:rsidRPr="0034097E">
        <w:rPr>
          <w:bCs/>
        </w:rPr>
        <w:t>17, appendice</w:t>
      </w:r>
      <w:r w:rsidRPr="0034097E">
        <w:rPr>
          <w:bCs/>
        </w:rPr>
        <w:t> </w:t>
      </w:r>
      <w:r w:rsidR="004152AA" w:rsidRPr="0034097E">
        <w:rPr>
          <w:bCs/>
        </w:rPr>
        <w:t>2, fig.</w:t>
      </w:r>
      <w:r w:rsidRPr="0034097E">
        <w:rPr>
          <w:bCs/>
        </w:rPr>
        <w:t> </w:t>
      </w:r>
      <w:r w:rsidR="004152AA" w:rsidRPr="0034097E">
        <w:rPr>
          <w:bCs/>
        </w:rPr>
        <w:t>2), et le plan horizontal</w:t>
      </w:r>
      <w:r w:rsidRPr="0034097E">
        <w:rPr>
          <w:bCs/>
        </w:rPr>
        <w:t> </w:t>
      </w:r>
      <w:r w:rsidR="004152AA" w:rsidRPr="0034097E">
        <w:rPr>
          <w:bCs/>
        </w:rPr>
        <w:t>Z du véhicule, tel qu</w:t>
      </w:r>
      <w:r w:rsidR="006732D6" w:rsidRPr="0034097E">
        <w:rPr>
          <w:bCs/>
        </w:rPr>
        <w:t>’</w:t>
      </w:r>
      <w:r w:rsidR="004152AA" w:rsidRPr="0034097E">
        <w:rPr>
          <w:bCs/>
        </w:rPr>
        <w:t>il est défini</w:t>
      </w:r>
      <w:r w:rsidRPr="0034097E">
        <w:rPr>
          <w:bCs/>
        </w:rPr>
        <w:t> </w:t>
      </w:r>
      <w:r w:rsidR="004152AA" w:rsidRPr="0034097E">
        <w:rPr>
          <w:bCs/>
        </w:rPr>
        <w:t xml:space="preserve">dans le Règlement </w:t>
      </w:r>
      <w:r w:rsidRPr="0034097E">
        <w:rPr>
          <w:rFonts w:eastAsia="MS Mincho"/>
          <w:szCs w:val="22"/>
        </w:rPr>
        <w:t>n</w:t>
      </w:r>
      <w:r w:rsidRPr="0034097E">
        <w:rPr>
          <w:rFonts w:eastAsia="MS Mincho"/>
          <w:szCs w:val="22"/>
          <w:vertAlign w:val="superscript"/>
        </w:rPr>
        <w:t>o</w:t>
      </w:r>
      <w:r w:rsidRPr="0034097E">
        <w:t> </w:t>
      </w:r>
      <w:r w:rsidR="004152AA" w:rsidRPr="0034097E">
        <w:rPr>
          <w:bCs/>
        </w:rPr>
        <w:t>14 (annexe</w:t>
      </w:r>
      <w:r w:rsidRPr="0034097E">
        <w:rPr>
          <w:bCs/>
        </w:rPr>
        <w:t> </w:t>
      </w:r>
      <w:r w:rsidR="004152AA" w:rsidRPr="0034097E">
        <w:rPr>
          <w:bCs/>
        </w:rPr>
        <w:t>4, appendice</w:t>
      </w:r>
      <w:r w:rsidRPr="0034097E">
        <w:rPr>
          <w:bCs/>
        </w:rPr>
        <w:t> </w:t>
      </w:r>
      <w:r w:rsidR="004152AA" w:rsidRPr="0034097E">
        <w:rPr>
          <w:bCs/>
        </w:rPr>
        <w:t xml:space="preserve">2) </w:t>
      </w:r>
      <w:r w:rsidR="004152AA" w:rsidRPr="0034097E">
        <w:rPr>
          <w:b/>
          <w:bCs/>
        </w:rPr>
        <w:t>ou dans le Règlement</w:t>
      </w:r>
      <w:r w:rsidRPr="0034097E">
        <w:rPr>
          <w:b/>
          <w:bCs/>
        </w:rPr>
        <w:t> </w:t>
      </w:r>
      <w:r w:rsidRPr="0034097E">
        <w:rPr>
          <w:rFonts w:eastAsia="MS Mincho"/>
          <w:b/>
          <w:bCs/>
          <w:szCs w:val="22"/>
        </w:rPr>
        <w:t>n</w:t>
      </w:r>
      <w:r w:rsidRPr="0034097E">
        <w:rPr>
          <w:rFonts w:eastAsia="MS Mincho"/>
          <w:b/>
          <w:bCs/>
          <w:szCs w:val="22"/>
          <w:vertAlign w:val="superscript"/>
        </w:rPr>
        <w:t>o</w:t>
      </w:r>
      <w:r w:rsidRPr="0034097E">
        <w:rPr>
          <w:b/>
          <w:bCs/>
        </w:rPr>
        <w:t> </w:t>
      </w:r>
      <w:r w:rsidR="004152AA" w:rsidRPr="0034097E">
        <w:rPr>
          <w:b/>
          <w:bCs/>
        </w:rPr>
        <w:t>[XX] (annexe</w:t>
      </w:r>
      <w:r w:rsidRPr="0034097E">
        <w:rPr>
          <w:b/>
          <w:bCs/>
        </w:rPr>
        <w:t> </w:t>
      </w:r>
      <w:r w:rsidR="004152AA" w:rsidRPr="0034097E">
        <w:rPr>
          <w:b/>
          <w:bCs/>
        </w:rPr>
        <w:t>3, appendice</w:t>
      </w:r>
      <w:r w:rsidRPr="0034097E">
        <w:rPr>
          <w:b/>
          <w:bCs/>
        </w:rPr>
        <w:t> </w:t>
      </w:r>
      <w:r w:rsidR="004152AA" w:rsidRPr="0034097E">
        <w:rPr>
          <w:b/>
          <w:bCs/>
        </w:rPr>
        <w:t>2)</w:t>
      </w:r>
      <w:r w:rsidR="004152AA" w:rsidRPr="0034097E">
        <w:rPr>
          <w:bCs/>
        </w:rPr>
        <w:t xml:space="preserve">, le gabarit étant installé dans le </w:t>
      </w:r>
      <w:r w:rsidR="004152AA" w:rsidRPr="0034097E">
        <w:rPr>
          <w:bCs/>
          <w:spacing w:val="-2"/>
        </w:rPr>
        <w:t xml:space="preserve">véhicule comme prescrit dans le Règlement </w:t>
      </w:r>
      <w:r w:rsidRPr="0034097E">
        <w:rPr>
          <w:rFonts w:eastAsia="MS Mincho"/>
          <w:bCs/>
          <w:spacing w:val="-2"/>
          <w:szCs w:val="22"/>
        </w:rPr>
        <w:t>n</w:t>
      </w:r>
      <w:r w:rsidRPr="0034097E">
        <w:rPr>
          <w:rFonts w:eastAsia="MS Mincho"/>
          <w:bCs/>
          <w:spacing w:val="-2"/>
          <w:szCs w:val="22"/>
          <w:vertAlign w:val="superscript"/>
        </w:rPr>
        <w:t>o</w:t>
      </w:r>
      <w:r w:rsidRPr="0034097E">
        <w:rPr>
          <w:bCs/>
          <w:spacing w:val="-2"/>
        </w:rPr>
        <w:t> </w:t>
      </w:r>
      <w:r w:rsidR="004152AA" w:rsidRPr="0034097E">
        <w:rPr>
          <w:bCs/>
          <w:spacing w:val="-2"/>
        </w:rPr>
        <w:t>16 (annexe</w:t>
      </w:r>
      <w:r w:rsidRPr="0034097E">
        <w:rPr>
          <w:bCs/>
          <w:spacing w:val="-2"/>
        </w:rPr>
        <w:t> </w:t>
      </w:r>
      <w:r w:rsidR="004152AA" w:rsidRPr="0034097E">
        <w:rPr>
          <w:bCs/>
          <w:spacing w:val="-2"/>
        </w:rPr>
        <w:t>17, appendice</w:t>
      </w:r>
      <w:r w:rsidRPr="0034097E">
        <w:rPr>
          <w:bCs/>
          <w:spacing w:val="-2"/>
        </w:rPr>
        <w:t> </w:t>
      </w:r>
      <w:r w:rsidR="004152AA" w:rsidRPr="0034097E">
        <w:rPr>
          <w:bCs/>
          <w:spacing w:val="-2"/>
        </w:rPr>
        <w:t>2).</w:t>
      </w:r>
      <w:r w:rsidRPr="0034097E">
        <w:rPr>
          <w:spacing w:val="-2"/>
        </w:rPr>
        <w:t> »</w:t>
      </w:r>
      <w:r w:rsidR="004152AA" w:rsidRPr="0034097E">
        <w:rPr>
          <w:spacing w:val="-2"/>
        </w:rPr>
        <w:t>.</w:t>
      </w:r>
    </w:p>
    <w:p w:rsidR="004152AA" w:rsidRPr="0034097E" w:rsidRDefault="004152AA" w:rsidP="004152AA">
      <w:pPr>
        <w:pStyle w:val="SingleTxtG"/>
      </w:pPr>
      <w:r w:rsidRPr="0034097E">
        <w:rPr>
          <w:i/>
        </w:rPr>
        <w:t>Paragraphe 2.51.1</w:t>
      </w:r>
      <w:r w:rsidRPr="0034097E">
        <w:t xml:space="preserve">, </w:t>
      </w:r>
      <w:proofErr w:type="gramStart"/>
      <w:r w:rsidRPr="0034097E">
        <w:t>modifier</w:t>
      </w:r>
      <w:proofErr w:type="gramEnd"/>
      <w:r w:rsidRPr="0034097E">
        <w:t xml:space="preserve"> comme suit</w:t>
      </w:r>
      <w:r w:rsidR="001074E1" w:rsidRPr="0034097E">
        <w:t> </w:t>
      </w:r>
      <w:r w:rsidRPr="0034097E">
        <w:t>:</w:t>
      </w:r>
    </w:p>
    <w:p w:rsidR="004152AA" w:rsidRPr="0034097E" w:rsidRDefault="001074E1" w:rsidP="006732D6">
      <w:pPr>
        <w:pStyle w:val="SingleTxtG"/>
        <w:ind w:left="2268" w:hanging="1134"/>
        <w:rPr>
          <w:iCs/>
        </w:rPr>
      </w:pPr>
      <w:r w:rsidRPr="0034097E">
        <w:rPr>
          <w:iCs/>
        </w:rPr>
        <w:t>« </w:t>
      </w:r>
      <w:r w:rsidR="004152AA" w:rsidRPr="0034097E">
        <w:rPr>
          <w:iCs/>
        </w:rPr>
        <w:t>2.51.1</w:t>
      </w:r>
      <w:r w:rsidR="004152AA" w:rsidRPr="0034097E">
        <w:rPr>
          <w:i/>
          <w:iCs/>
        </w:rPr>
        <w:tab/>
      </w:r>
      <w:r w:rsidR="00333802" w:rsidRPr="0034097E">
        <w:t>“</w:t>
      </w:r>
      <w:r w:rsidR="004152AA" w:rsidRPr="0034097E">
        <w:rPr>
          <w:i/>
          <w:iCs/>
        </w:rPr>
        <w:t>Place ISOFIX</w:t>
      </w:r>
      <w:r w:rsidR="00BA3337" w:rsidRPr="0034097E">
        <w:t>”</w:t>
      </w:r>
      <w:r w:rsidR="004152AA" w:rsidRPr="0034097E">
        <w:rPr>
          <w:i/>
          <w:iCs/>
        </w:rPr>
        <w:t xml:space="preserve">, </w:t>
      </w:r>
      <w:r w:rsidR="004152AA" w:rsidRPr="0034097E">
        <w:rPr>
          <w:iCs/>
        </w:rPr>
        <w:t>une place telle que définie au paragraphe</w:t>
      </w:r>
      <w:r w:rsidRPr="0034097E">
        <w:rPr>
          <w:iCs/>
        </w:rPr>
        <w:t> </w:t>
      </w:r>
      <w:r w:rsidR="004152AA" w:rsidRPr="0034097E">
        <w:rPr>
          <w:iCs/>
        </w:rPr>
        <w:t xml:space="preserve">2.17 du Règlement </w:t>
      </w:r>
      <w:r w:rsidRPr="0034097E">
        <w:rPr>
          <w:rFonts w:eastAsia="MS Mincho"/>
          <w:szCs w:val="22"/>
        </w:rPr>
        <w:t>n</w:t>
      </w:r>
      <w:r w:rsidRPr="0034097E">
        <w:rPr>
          <w:rFonts w:eastAsia="MS Mincho"/>
          <w:szCs w:val="22"/>
          <w:vertAlign w:val="superscript"/>
        </w:rPr>
        <w:t>o</w:t>
      </w:r>
      <w:r w:rsidRPr="0034097E">
        <w:t> </w:t>
      </w:r>
      <w:r w:rsidR="004152AA" w:rsidRPr="0034097E">
        <w:rPr>
          <w:iCs/>
        </w:rPr>
        <w:t xml:space="preserve">14 </w:t>
      </w:r>
      <w:r w:rsidR="004152AA" w:rsidRPr="0034097E">
        <w:rPr>
          <w:b/>
          <w:iCs/>
        </w:rPr>
        <w:t xml:space="preserve">ou au Règlement </w:t>
      </w:r>
      <w:r w:rsidRPr="0034097E">
        <w:rPr>
          <w:rFonts w:eastAsia="MS Mincho"/>
          <w:b/>
          <w:iCs/>
          <w:szCs w:val="22"/>
        </w:rPr>
        <w:t>n</w:t>
      </w:r>
      <w:r w:rsidRPr="0034097E">
        <w:rPr>
          <w:rFonts w:eastAsia="MS Mincho"/>
          <w:b/>
          <w:iCs/>
          <w:szCs w:val="22"/>
          <w:vertAlign w:val="superscript"/>
        </w:rPr>
        <w:t>o</w:t>
      </w:r>
      <w:r w:rsidRPr="0034097E">
        <w:rPr>
          <w:b/>
          <w:iCs/>
        </w:rPr>
        <w:t> </w:t>
      </w:r>
      <w:r w:rsidR="004152AA" w:rsidRPr="0034097E">
        <w:rPr>
          <w:b/>
          <w:iCs/>
        </w:rPr>
        <w:t>[XX]</w:t>
      </w:r>
      <w:r w:rsidR="004152AA" w:rsidRPr="0034097E">
        <w:rPr>
          <w:iCs/>
        </w:rPr>
        <w:t>.</w:t>
      </w:r>
      <w:r w:rsidRPr="0034097E">
        <w:rPr>
          <w:iCs/>
        </w:rPr>
        <w:t> »</w:t>
      </w:r>
      <w:r w:rsidR="004152AA" w:rsidRPr="0034097E">
        <w:rPr>
          <w:iCs/>
        </w:rPr>
        <w:t>.</w:t>
      </w:r>
    </w:p>
    <w:p w:rsidR="004152AA" w:rsidRPr="0034097E" w:rsidRDefault="004152AA" w:rsidP="001074E1">
      <w:pPr>
        <w:pStyle w:val="HChG"/>
      </w:pPr>
      <w:r w:rsidRPr="0034097E">
        <w:tab/>
        <w:t>II.</w:t>
      </w:r>
      <w:r w:rsidRPr="0034097E">
        <w:tab/>
        <w:t>Justification</w:t>
      </w:r>
    </w:p>
    <w:p w:rsidR="00866727" w:rsidRPr="0034097E" w:rsidRDefault="004152AA" w:rsidP="001074E1">
      <w:pPr>
        <w:pStyle w:val="SingleTxtG"/>
        <w:ind w:firstLine="567"/>
        <w:rPr>
          <w:bCs/>
        </w:rPr>
      </w:pPr>
      <w:r w:rsidRPr="0034097E">
        <w:rPr>
          <w:bCs/>
        </w:rPr>
        <w:t>Pour l</w:t>
      </w:r>
      <w:r w:rsidR="006732D6" w:rsidRPr="0034097E">
        <w:rPr>
          <w:bCs/>
        </w:rPr>
        <w:t>’</w:t>
      </w:r>
      <w:r w:rsidRPr="0034097E">
        <w:rPr>
          <w:bCs/>
        </w:rPr>
        <w:t>homologation de type internationale de l</w:t>
      </w:r>
      <w:r w:rsidR="006732D6" w:rsidRPr="0034097E">
        <w:rPr>
          <w:bCs/>
        </w:rPr>
        <w:t>’</w:t>
      </w:r>
      <w:r w:rsidRPr="0034097E">
        <w:rPr>
          <w:bCs/>
        </w:rPr>
        <w:t>ensemble du véhicule, le Règlement</w:t>
      </w:r>
      <w:r w:rsidR="00736627">
        <w:rPr>
          <w:bCs/>
        </w:rPr>
        <w:t> </w:t>
      </w:r>
      <w:r w:rsidR="001074E1" w:rsidRPr="0034097E">
        <w:rPr>
          <w:rFonts w:eastAsia="MS Mincho"/>
          <w:bCs/>
          <w:szCs w:val="22"/>
        </w:rPr>
        <w:t>n</w:t>
      </w:r>
      <w:r w:rsidR="001074E1" w:rsidRPr="0034097E">
        <w:rPr>
          <w:rFonts w:eastAsia="MS Mincho"/>
          <w:bCs/>
          <w:szCs w:val="22"/>
          <w:vertAlign w:val="superscript"/>
        </w:rPr>
        <w:t>o</w:t>
      </w:r>
      <w:r w:rsidR="001074E1" w:rsidRPr="0034097E">
        <w:rPr>
          <w:bCs/>
        </w:rPr>
        <w:t> </w:t>
      </w:r>
      <w:r w:rsidRPr="0034097E">
        <w:rPr>
          <w:bCs/>
        </w:rPr>
        <w:t>14 est scindé en deux</w:t>
      </w:r>
      <w:r w:rsidR="00736627">
        <w:rPr>
          <w:bCs/>
        </w:rPr>
        <w:t> </w:t>
      </w:r>
      <w:r w:rsidRPr="0034097E">
        <w:rPr>
          <w:bCs/>
        </w:rPr>
        <w:t xml:space="preserve">: le Règlement </w:t>
      </w:r>
      <w:r w:rsidR="001074E1" w:rsidRPr="0034097E">
        <w:rPr>
          <w:rFonts w:eastAsia="MS Mincho"/>
          <w:szCs w:val="22"/>
        </w:rPr>
        <w:t>n</w:t>
      </w:r>
      <w:r w:rsidR="001074E1" w:rsidRPr="0034097E">
        <w:rPr>
          <w:rFonts w:eastAsia="MS Mincho"/>
          <w:szCs w:val="22"/>
          <w:vertAlign w:val="superscript"/>
        </w:rPr>
        <w:t>o</w:t>
      </w:r>
      <w:r w:rsidR="001074E1" w:rsidRPr="0034097E">
        <w:t> </w:t>
      </w:r>
      <w:r w:rsidRPr="0034097E">
        <w:rPr>
          <w:bCs/>
        </w:rPr>
        <w:t>14 modifié par la série</w:t>
      </w:r>
      <w:r w:rsidR="001074E1" w:rsidRPr="0034097E">
        <w:rPr>
          <w:bCs/>
        </w:rPr>
        <w:t> </w:t>
      </w:r>
      <w:r w:rsidRPr="0034097E">
        <w:rPr>
          <w:bCs/>
        </w:rPr>
        <w:t>08 d</w:t>
      </w:r>
      <w:r w:rsidR="006732D6" w:rsidRPr="0034097E">
        <w:rPr>
          <w:bCs/>
        </w:rPr>
        <w:t>’</w:t>
      </w:r>
      <w:r w:rsidRPr="0034097E">
        <w:rPr>
          <w:bCs/>
        </w:rPr>
        <w:t>amendements ne portant que sur les ancrages de ceintures de sécurité pour adulte tandis qu</w:t>
      </w:r>
      <w:r w:rsidR="006732D6" w:rsidRPr="0034097E">
        <w:rPr>
          <w:bCs/>
        </w:rPr>
        <w:t>’</w:t>
      </w:r>
      <w:r w:rsidRPr="0034097E">
        <w:rPr>
          <w:bCs/>
        </w:rPr>
        <w:t xml:space="preserve">un nouveau </w:t>
      </w:r>
      <w:r w:rsidR="00736627">
        <w:rPr>
          <w:bCs/>
        </w:rPr>
        <w:t>r</w:t>
      </w:r>
      <w:r w:rsidRPr="0034097E">
        <w:rPr>
          <w:bCs/>
        </w:rPr>
        <w:t xml:space="preserve">èglement </w:t>
      </w:r>
      <w:r w:rsidR="001074E1" w:rsidRPr="0034097E">
        <w:rPr>
          <w:rFonts w:eastAsia="MS Mincho"/>
          <w:szCs w:val="22"/>
        </w:rPr>
        <w:t>n</w:t>
      </w:r>
      <w:r w:rsidR="001074E1" w:rsidRPr="0034097E">
        <w:rPr>
          <w:rFonts w:eastAsia="MS Mincho"/>
          <w:szCs w:val="22"/>
          <w:vertAlign w:val="superscript"/>
        </w:rPr>
        <w:t>o</w:t>
      </w:r>
      <w:r w:rsidR="001074E1" w:rsidRPr="0034097E">
        <w:t> </w:t>
      </w:r>
      <w:r w:rsidRPr="0034097E">
        <w:rPr>
          <w:bCs/>
        </w:rPr>
        <w:t xml:space="preserve">[XX] contient toutes les prescriptions applicables aux ancrages des dispositifs de retenue pour enfants. Les références au Règlement </w:t>
      </w:r>
      <w:r w:rsidR="001074E1" w:rsidRPr="0034097E">
        <w:rPr>
          <w:rFonts w:eastAsia="MS Mincho"/>
          <w:szCs w:val="22"/>
        </w:rPr>
        <w:t>n</w:t>
      </w:r>
      <w:r w:rsidR="001074E1" w:rsidRPr="0034097E">
        <w:rPr>
          <w:rFonts w:eastAsia="MS Mincho"/>
          <w:szCs w:val="22"/>
          <w:vertAlign w:val="superscript"/>
        </w:rPr>
        <w:t>o</w:t>
      </w:r>
      <w:r w:rsidR="001074E1" w:rsidRPr="0034097E">
        <w:t> </w:t>
      </w:r>
      <w:r w:rsidRPr="0034097E">
        <w:rPr>
          <w:bCs/>
        </w:rPr>
        <w:t xml:space="preserve">14 dans le Règlement </w:t>
      </w:r>
      <w:r w:rsidR="001074E1" w:rsidRPr="0034097E">
        <w:rPr>
          <w:rFonts w:eastAsia="MS Mincho"/>
          <w:szCs w:val="22"/>
        </w:rPr>
        <w:t>n</w:t>
      </w:r>
      <w:r w:rsidR="001074E1" w:rsidRPr="0034097E">
        <w:rPr>
          <w:rFonts w:eastAsia="MS Mincho"/>
          <w:szCs w:val="22"/>
          <w:vertAlign w:val="superscript"/>
        </w:rPr>
        <w:t>o</w:t>
      </w:r>
      <w:r w:rsidR="001074E1" w:rsidRPr="0034097E">
        <w:t> </w:t>
      </w:r>
      <w:r w:rsidRPr="0034097E">
        <w:rPr>
          <w:bCs/>
        </w:rPr>
        <w:t xml:space="preserve">129 </w:t>
      </w:r>
      <w:proofErr w:type="gramStart"/>
      <w:r w:rsidRPr="0034097E">
        <w:rPr>
          <w:bCs/>
        </w:rPr>
        <w:t>portant</w:t>
      </w:r>
      <w:proofErr w:type="gramEnd"/>
      <w:r w:rsidRPr="0034097E">
        <w:rPr>
          <w:bCs/>
        </w:rPr>
        <w:t xml:space="preserve"> sur les dispositifs améliorés de retenue pour enfants doivent donc être mises à jour pour reconnaître les ancrages des dispositifs de retenue pour enfants homologués en vertu du nouveau </w:t>
      </w:r>
      <w:r w:rsidR="00736627">
        <w:rPr>
          <w:bCs/>
        </w:rPr>
        <w:t>r</w:t>
      </w:r>
      <w:r w:rsidRPr="0034097E">
        <w:rPr>
          <w:bCs/>
        </w:rPr>
        <w:t>èglement.</w:t>
      </w:r>
    </w:p>
    <w:p w:rsidR="006732D6" w:rsidRPr="0034097E" w:rsidRDefault="006732D6" w:rsidP="006732D6">
      <w:pPr>
        <w:pStyle w:val="SingleTxtG"/>
        <w:spacing w:before="240" w:after="0"/>
        <w:jc w:val="center"/>
        <w:rPr>
          <w:u w:val="single"/>
        </w:rPr>
      </w:pPr>
      <w:r w:rsidRPr="0034097E">
        <w:rPr>
          <w:u w:val="single"/>
        </w:rPr>
        <w:tab/>
      </w:r>
      <w:r w:rsidRPr="0034097E">
        <w:rPr>
          <w:u w:val="single"/>
        </w:rPr>
        <w:tab/>
      </w:r>
      <w:r w:rsidRPr="0034097E">
        <w:rPr>
          <w:u w:val="single"/>
        </w:rPr>
        <w:tab/>
      </w:r>
    </w:p>
    <w:sectPr w:rsidR="006732D6" w:rsidRPr="0034097E" w:rsidSect="008667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D8" w:rsidRDefault="00DE37D8" w:rsidP="00F95C08">
      <w:pPr>
        <w:spacing w:line="240" w:lineRule="auto"/>
      </w:pPr>
    </w:p>
  </w:endnote>
  <w:endnote w:type="continuationSeparator" w:id="0">
    <w:p w:rsidR="00DE37D8" w:rsidRPr="00AC3823" w:rsidRDefault="00DE37D8" w:rsidP="00AC3823">
      <w:pPr>
        <w:pStyle w:val="Footer"/>
      </w:pPr>
    </w:p>
  </w:endnote>
  <w:endnote w:type="continuationNotice" w:id="1">
    <w:p w:rsidR="00DE37D8" w:rsidRDefault="00DE3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27" w:rsidRPr="00866727" w:rsidRDefault="00866727" w:rsidP="00866727">
    <w:pPr>
      <w:pStyle w:val="Footer"/>
      <w:tabs>
        <w:tab w:val="right" w:pos="9638"/>
      </w:tabs>
    </w:pPr>
    <w:r w:rsidRPr="00866727">
      <w:rPr>
        <w:b/>
        <w:sz w:val="18"/>
      </w:rPr>
      <w:fldChar w:fldCharType="begin"/>
    </w:r>
    <w:r w:rsidRPr="00866727">
      <w:rPr>
        <w:b/>
        <w:sz w:val="18"/>
      </w:rPr>
      <w:instrText xml:space="preserve"> PAGE  \* MERGEFORMAT </w:instrText>
    </w:r>
    <w:r w:rsidRPr="00866727">
      <w:rPr>
        <w:b/>
        <w:sz w:val="18"/>
      </w:rPr>
      <w:fldChar w:fldCharType="separate"/>
    </w:r>
    <w:r w:rsidR="004A65D1">
      <w:rPr>
        <w:b/>
        <w:noProof/>
        <w:sz w:val="18"/>
      </w:rPr>
      <w:t>2</w:t>
    </w:r>
    <w:r w:rsidRPr="00866727">
      <w:rPr>
        <w:b/>
        <w:sz w:val="18"/>
      </w:rPr>
      <w:fldChar w:fldCharType="end"/>
    </w:r>
    <w:r>
      <w:rPr>
        <w:b/>
        <w:sz w:val="18"/>
      </w:rPr>
      <w:tab/>
    </w:r>
    <w:r>
      <w:t>GE.17-02486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27" w:rsidRPr="00866727" w:rsidRDefault="00866727" w:rsidP="00866727">
    <w:pPr>
      <w:pStyle w:val="Footer"/>
      <w:tabs>
        <w:tab w:val="right" w:pos="9638"/>
      </w:tabs>
      <w:rPr>
        <w:b/>
        <w:sz w:val="18"/>
      </w:rPr>
    </w:pPr>
    <w:r>
      <w:t>GE.17-02486</w:t>
    </w:r>
    <w:r>
      <w:tab/>
    </w:r>
    <w:r w:rsidRPr="00866727">
      <w:rPr>
        <w:b/>
        <w:sz w:val="18"/>
      </w:rPr>
      <w:fldChar w:fldCharType="begin"/>
    </w:r>
    <w:r w:rsidRPr="00866727">
      <w:rPr>
        <w:b/>
        <w:sz w:val="18"/>
      </w:rPr>
      <w:instrText xml:space="preserve"> PAGE  \* MERGEFORMAT </w:instrText>
    </w:r>
    <w:r w:rsidRPr="00866727">
      <w:rPr>
        <w:b/>
        <w:sz w:val="18"/>
      </w:rPr>
      <w:fldChar w:fldCharType="separate"/>
    </w:r>
    <w:r w:rsidR="004A65D1">
      <w:rPr>
        <w:b/>
        <w:noProof/>
        <w:sz w:val="18"/>
      </w:rPr>
      <w:t>3</w:t>
    </w:r>
    <w:r w:rsidRPr="008667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66727" w:rsidRDefault="00866727" w:rsidP="0086672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116F845" wp14:editId="493F67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17-02486  (F)</w:t>
    </w:r>
    <w:r w:rsidR="004152AA">
      <w:rPr>
        <w:sz w:val="20"/>
      </w:rPr>
      <w:t xml:space="preserve">    240217    080317</w:t>
    </w:r>
    <w:r>
      <w:rPr>
        <w:sz w:val="20"/>
      </w:rPr>
      <w:br/>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sidRPr="0086672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D8" w:rsidRPr="00AC3823" w:rsidRDefault="00DE37D8" w:rsidP="00AC3823">
      <w:pPr>
        <w:pStyle w:val="Footer"/>
        <w:tabs>
          <w:tab w:val="right" w:pos="2155"/>
        </w:tabs>
        <w:spacing w:after="80" w:line="240" w:lineRule="atLeast"/>
        <w:ind w:left="680"/>
        <w:rPr>
          <w:u w:val="single"/>
        </w:rPr>
      </w:pPr>
      <w:r>
        <w:rPr>
          <w:u w:val="single"/>
        </w:rPr>
        <w:tab/>
      </w:r>
    </w:p>
  </w:footnote>
  <w:footnote w:type="continuationSeparator" w:id="0">
    <w:p w:rsidR="00DE37D8" w:rsidRPr="00AC3823" w:rsidRDefault="00DE37D8" w:rsidP="00AC3823">
      <w:pPr>
        <w:pStyle w:val="Footer"/>
        <w:tabs>
          <w:tab w:val="right" w:pos="2155"/>
        </w:tabs>
        <w:spacing w:after="80" w:line="240" w:lineRule="atLeast"/>
        <w:ind w:left="680"/>
        <w:rPr>
          <w:u w:val="single"/>
        </w:rPr>
      </w:pPr>
      <w:r>
        <w:rPr>
          <w:u w:val="single"/>
        </w:rPr>
        <w:tab/>
      </w:r>
    </w:p>
  </w:footnote>
  <w:footnote w:type="continuationNotice" w:id="1">
    <w:p w:rsidR="00DE37D8" w:rsidRPr="00AC3823" w:rsidRDefault="00DE37D8">
      <w:pPr>
        <w:spacing w:line="240" w:lineRule="auto"/>
        <w:rPr>
          <w:sz w:val="2"/>
          <w:szCs w:val="2"/>
        </w:rPr>
      </w:pPr>
    </w:p>
  </w:footnote>
  <w:footnote w:id="2">
    <w:p w:rsidR="00866727" w:rsidRPr="00486556" w:rsidRDefault="00866727" w:rsidP="00866727">
      <w:pPr>
        <w:pStyle w:val="FootnoteText"/>
      </w:pPr>
      <w:r>
        <w:tab/>
      </w:r>
      <w:r w:rsidRPr="00866727">
        <w:rPr>
          <w:sz w:val="20"/>
          <w:lang w:val="fr-FR"/>
        </w:rPr>
        <w:t>*</w:t>
      </w:r>
      <w:r w:rsidRPr="00486556">
        <w:tab/>
        <w:t xml:space="preserve">Conformément au programme de travail du Comité des transports intérieurs pour la période </w:t>
      </w:r>
      <w:r w:rsidRPr="00866727">
        <w:rPr>
          <w:spacing w:val="-2"/>
        </w:rPr>
        <w:t>2016</w:t>
      </w:r>
      <w:r w:rsidR="004152AA">
        <w:rPr>
          <w:spacing w:val="-2"/>
        </w:rPr>
        <w:noBreakHyphen/>
      </w:r>
      <w:r w:rsidRPr="00866727">
        <w:rPr>
          <w:spacing w:val="-2"/>
        </w:rPr>
        <w:t>2017</w:t>
      </w:r>
      <w:r w:rsidRPr="00486556">
        <w:t xml:space="preserve"> (ECE/TRANS/254, par.</w:t>
      </w:r>
      <w:r w:rsidR="004152AA">
        <w:t> </w:t>
      </w:r>
      <w:r w:rsidRPr="00486556">
        <w:t>159, et ECE/TRANS/2016/28/Add.1, module</w:t>
      </w:r>
      <w:r w:rsidR="004152AA">
        <w:t> </w:t>
      </w:r>
      <w:r w:rsidRPr="00486556">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27" w:rsidRPr="00866727" w:rsidRDefault="004A65D1">
    <w:pPr>
      <w:pStyle w:val="Header"/>
    </w:pPr>
    <w:r>
      <w:fldChar w:fldCharType="begin"/>
    </w:r>
    <w:r>
      <w:instrText xml:space="preserve"> TITLE  \* MERGEFORMAT </w:instrText>
    </w:r>
    <w:r>
      <w:fldChar w:fldCharType="separate"/>
    </w:r>
    <w:r w:rsidR="00485290">
      <w:t>ECE/TRANS/WP.29/GRSP/2017/11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27" w:rsidRPr="00866727" w:rsidRDefault="004A65D1" w:rsidP="00866727">
    <w:pPr>
      <w:pStyle w:val="Header"/>
      <w:jc w:val="right"/>
    </w:pPr>
    <w:r>
      <w:fldChar w:fldCharType="begin"/>
    </w:r>
    <w:r>
      <w:instrText xml:space="preserve"> TITLE  \* MERGEFORMAT </w:instrText>
    </w:r>
    <w:r>
      <w:fldChar w:fldCharType="separate"/>
    </w:r>
    <w:r w:rsidR="00485290">
      <w:t>ECE/TRANS/WP.29/GRSP/2017/11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D8"/>
    <w:rsid w:val="00017F94"/>
    <w:rsid w:val="00023842"/>
    <w:rsid w:val="000334F9"/>
    <w:rsid w:val="00045FEB"/>
    <w:rsid w:val="000712CF"/>
    <w:rsid w:val="0007796D"/>
    <w:rsid w:val="000B7790"/>
    <w:rsid w:val="001074E1"/>
    <w:rsid w:val="00111F2F"/>
    <w:rsid w:val="0014365E"/>
    <w:rsid w:val="00143C66"/>
    <w:rsid w:val="00176178"/>
    <w:rsid w:val="001F525A"/>
    <w:rsid w:val="00223272"/>
    <w:rsid w:val="0024779E"/>
    <w:rsid w:val="00257168"/>
    <w:rsid w:val="002744B8"/>
    <w:rsid w:val="002832AC"/>
    <w:rsid w:val="002D7C93"/>
    <w:rsid w:val="00305801"/>
    <w:rsid w:val="00333802"/>
    <w:rsid w:val="0034097E"/>
    <w:rsid w:val="003916DE"/>
    <w:rsid w:val="004152AA"/>
    <w:rsid w:val="00441C3B"/>
    <w:rsid w:val="0044602F"/>
    <w:rsid w:val="00446FE5"/>
    <w:rsid w:val="00452396"/>
    <w:rsid w:val="00464A9B"/>
    <w:rsid w:val="004837D8"/>
    <w:rsid w:val="00485290"/>
    <w:rsid w:val="004A65D1"/>
    <w:rsid w:val="004E468C"/>
    <w:rsid w:val="005505B7"/>
    <w:rsid w:val="00573BE5"/>
    <w:rsid w:val="00586ED3"/>
    <w:rsid w:val="00596AA9"/>
    <w:rsid w:val="006732D6"/>
    <w:rsid w:val="006F13D8"/>
    <w:rsid w:val="0071601D"/>
    <w:rsid w:val="00736627"/>
    <w:rsid w:val="0076354C"/>
    <w:rsid w:val="007A62E6"/>
    <w:rsid w:val="007F20FA"/>
    <w:rsid w:val="0080684C"/>
    <w:rsid w:val="00824601"/>
    <w:rsid w:val="00866727"/>
    <w:rsid w:val="00871C75"/>
    <w:rsid w:val="008776DC"/>
    <w:rsid w:val="008C00DC"/>
    <w:rsid w:val="009446C0"/>
    <w:rsid w:val="009705C8"/>
    <w:rsid w:val="00986802"/>
    <w:rsid w:val="009C1CF4"/>
    <w:rsid w:val="009D6BB3"/>
    <w:rsid w:val="009F6B74"/>
    <w:rsid w:val="00A30353"/>
    <w:rsid w:val="00A556B1"/>
    <w:rsid w:val="00AC3823"/>
    <w:rsid w:val="00AE323C"/>
    <w:rsid w:val="00AF0CB5"/>
    <w:rsid w:val="00B00181"/>
    <w:rsid w:val="00B00B0D"/>
    <w:rsid w:val="00B765F7"/>
    <w:rsid w:val="00BA0CA9"/>
    <w:rsid w:val="00BA3337"/>
    <w:rsid w:val="00C02897"/>
    <w:rsid w:val="00C97039"/>
    <w:rsid w:val="00D3439C"/>
    <w:rsid w:val="00D82A87"/>
    <w:rsid w:val="00DB1831"/>
    <w:rsid w:val="00DD3BFD"/>
    <w:rsid w:val="00DE37D8"/>
    <w:rsid w:val="00DF6678"/>
    <w:rsid w:val="00E85C74"/>
    <w:rsid w:val="00EA6547"/>
    <w:rsid w:val="00EF2E22"/>
    <w:rsid w:val="00F35BAF"/>
    <w:rsid w:val="00F660DF"/>
    <w:rsid w:val="00F84EC2"/>
    <w:rsid w:val="00F94664"/>
    <w:rsid w:val="00F9573C"/>
    <w:rsid w:val="00F95C08"/>
    <w:rsid w:val="00F96D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ECE/TRANS/WP.29/GRSP/2017/11</vt:lpstr>
      <vt:lpstr>ECE/TRANS/WP.29/GRSP/2017/11</vt:lpstr>
    </vt:vector>
  </TitlesOfParts>
  <Company>DCM</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ECE/TRANS/WP.29/GRSP/2017/11</dc:title>
  <dc:creator>Robert Corinne</dc:creator>
  <cp:lastModifiedBy>Benedicte Boudol</cp:lastModifiedBy>
  <cp:revision>2</cp:revision>
  <cp:lastPrinted>2017-03-08T13:14:00Z</cp:lastPrinted>
  <dcterms:created xsi:type="dcterms:W3CDTF">2017-03-08T13:39:00Z</dcterms:created>
  <dcterms:modified xsi:type="dcterms:W3CDTF">2017-03-08T13:39:00Z</dcterms:modified>
</cp:coreProperties>
</file>