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3E17BB">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3E17BB" w:rsidP="003E17BB">
            <w:pPr>
              <w:jc w:val="right"/>
            </w:pPr>
            <w:r w:rsidRPr="003E17BB">
              <w:rPr>
                <w:sz w:val="40"/>
              </w:rPr>
              <w:t>ST</w:t>
            </w:r>
            <w:r>
              <w:t>/SG/AC.10/C.4/2018/12</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3E17BB" w:rsidP="00F01738">
            <w:pPr>
              <w:spacing w:before="240"/>
            </w:pPr>
            <w:proofErr w:type="spellStart"/>
            <w:r>
              <w:t>Distr</w:t>
            </w:r>
            <w:proofErr w:type="spellEnd"/>
            <w:r>
              <w:t xml:space="preserve">. </w:t>
            </w:r>
            <w:proofErr w:type="gramStart"/>
            <w:r>
              <w:t>générale</w:t>
            </w:r>
            <w:proofErr w:type="gramEnd"/>
          </w:p>
          <w:p w:rsidR="003E17BB" w:rsidRDefault="00DC4899" w:rsidP="003E17BB">
            <w:pPr>
              <w:spacing w:line="240" w:lineRule="exact"/>
            </w:pPr>
            <w:r>
              <w:t>19 avril 2018</w:t>
            </w:r>
          </w:p>
          <w:p w:rsidR="003E17BB" w:rsidRDefault="003E17BB" w:rsidP="003E17BB">
            <w:pPr>
              <w:spacing w:line="240" w:lineRule="exact"/>
            </w:pPr>
            <w:r>
              <w:t>Français</w:t>
            </w:r>
          </w:p>
          <w:p w:rsidR="003E17BB" w:rsidRPr="00DB58B5" w:rsidRDefault="003E17BB" w:rsidP="003E17BB">
            <w:pPr>
              <w:spacing w:line="240" w:lineRule="exact"/>
            </w:pPr>
            <w:r>
              <w:t>Original : anglais</w:t>
            </w:r>
          </w:p>
        </w:tc>
      </w:tr>
    </w:tbl>
    <w:p w:rsidR="003E17BB" w:rsidRPr="003E17BB" w:rsidRDefault="003E17BB" w:rsidP="00051543">
      <w:pPr>
        <w:spacing w:before="120"/>
        <w:rPr>
          <w:b/>
          <w:sz w:val="24"/>
          <w:szCs w:val="24"/>
          <w:lang w:val="fr-FR"/>
        </w:rPr>
      </w:pPr>
      <w:r w:rsidRPr="003E17BB">
        <w:rPr>
          <w:b/>
          <w:sz w:val="24"/>
          <w:szCs w:val="24"/>
          <w:lang w:val="fr-FR"/>
        </w:rPr>
        <w:t>Comité d’experts du transpo</w:t>
      </w:r>
      <w:r w:rsidR="00051543">
        <w:rPr>
          <w:b/>
          <w:sz w:val="24"/>
          <w:szCs w:val="24"/>
          <w:lang w:val="fr-FR"/>
        </w:rPr>
        <w:t>rt des marchandises dangereuses</w:t>
      </w:r>
      <w:r w:rsidR="00051543">
        <w:rPr>
          <w:b/>
          <w:sz w:val="24"/>
          <w:szCs w:val="24"/>
          <w:lang w:val="fr-FR"/>
        </w:rPr>
        <w:br/>
      </w:r>
      <w:r w:rsidRPr="003E17BB">
        <w:rPr>
          <w:b/>
          <w:sz w:val="24"/>
          <w:szCs w:val="24"/>
          <w:lang w:val="fr-FR"/>
        </w:rPr>
        <w:t>et du Système géné</w:t>
      </w:r>
      <w:r w:rsidR="00051543">
        <w:rPr>
          <w:b/>
          <w:sz w:val="24"/>
          <w:szCs w:val="24"/>
          <w:lang w:val="fr-FR"/>
        </w:rPr>
        <w:t>ral harmonisé de classification</w:t>
      </w:r>
      <w:r w:rsidR="00051543">
        <w:rPr>
          <w:b/>
          <w:sz w:val="24"/>
          <w:szCs w:val="24"/>
          <w:lang w:val="fr-FR"/>
        </w:rPr>
        <w:br/>
      </w:r>
      <w:r w:rsidRPr="003E17BB">
        <w:rPr>
          <w:b/>
          <w:sz w:val="24"/>
          <w:szCs w:val="24"/>
          <w:lang w:val="fr-FR"/>
        </w:rPr>
        <w:t>et d’étiquetage des produits chimiques</w:t>
      </w:r>
    </w:p>
    <w:p w:rsidR="003E17BB" w:rsidRDefault="003E17BB" w:rsidP="00051543">
      <w:pPr>
        <w:spacing w:before="120" w:after="120"/>
        <w:rPr>
          <w:b/>
          <w:lang w:val="fr-FR"/>
        </w:rPr>
      </w:pPr>
      <w:r w:rsidRPr="003E17BB">
        <w:rPr>
          <w:b/>
          <w:lang w:val="fr-FR"/>
        </w:rPr>
        <w:t xml:space="preserve">Sous-Comité d’experts du Système </w:t>
      </w:r>
      <w:r w:rsidR="00051543">
        <w:rPr>
          <w:b/>
          <w:lang w:val="fr-FR"/>
        </w:rPr>
        <w:t>général harmonisé</w:t>
      </w:r>
      <w:r w:rsidR="00051543">
        <w:rPr>
          <w:b/>
          <w:lang w:val="fr-FR"/>
        </w:rPr>
        <w:br/>
      </w:r>
      <w:r w:rsidRPr="003E17BB">
        <w:rPr>
          <w:b/>
          <w:lang w:val="fr-FR"/>
        </w:rPr>
        <w:t>de classification et d’étiquetage des produits chimiques</w:t>
      </w:r>
    </w:p>
    <w:p w:rsidR="00051543" w:rsidRPr="00051543" w:rsidRDefault="003E17BB" w:rsidP="00051543">
      <w:pPr>
        <w:spacing w:before="120" w:after="120"/>
        <w:rPr>
          <w:b/>
          <w:lang w:val="fr-FR"/>
        </w:rPr>
      </w:pPr>
      <w:r w:rsidRPr="003E17BB">
        <w:rPr>
          <w:b/>
          <w:lang w:val="fr-FR"/>
        </w:rPr>
        <w:t>Trente-cinquième session</w:t>
      </w:r>
    </w:p>
    <w:p w:rsidR="003E17BB" w:rsidRPr="003E17BB" w:rsidRDefault="003E17BB" w:rsidP="00051543">
      <w:pPr>
        <w:rPr>
          <w:lang w:val="fr-FR"/>
        </w:rPr>
      </w:pPr>
      <w:r w:rsidRPr="003E17BB">
        <w:rPr>
          <w:lang w:val="fr-FR"/>
        </w:rPr>
        <w:t>Genève, 4-6 juillet 2018</w:t>
      </w:r>
    </w:p>
    <w:p w:rsidR="003E17BB" w:rsidRPr="003E17BB" w:rsidRDefault="003E17BB" w:rsidP="00051543">
      <w:pPr>
        <w:rPr>
          <w:lang w:val="fr-FR"/>
        </w:rPr>
      </w:pPr>
      <w:r w:rsidRPr="003E17BB">
        <w:rPr>
          <w:lang w:val="fr-FR"/>
        </w:rPr>
        <w:t>Point 3 h) de l</w:t>
      </w:r>
      <w:r w:rsidR="00051543" w:rsidRPr="003E17BB">
        <w:rPr>
          <w:lang w:val="fr-FR"/>
        </w:rPr>
        <w:t>’</w:t>
      </w:r>
      <w:r w:rsidRPr="003E17BB">
        <w:rPr>
          <w:lang w:val="fr-FR"/>
        </w:rPr>
        <w:t>ordre du jour</w:t>
      </w:r>
    </w:p>
    <w:p w:rsidR="00051543" w:rsidRPr="00051543" w:rsidRDefault="003E17BB" w:rsidP="00051543">
      <w:pPr>
        <w:spacing w:after="120"/>
        <w:rPr>
          <w:b/>
          <w:lang w:val="fr-FR"/>
        </w:rPr>
      </w:pPr>
      <w:r w:rsidRPr="003E17BB">
        <w:rPr>
          <w:b/>
          <w:lang w:val="fr-FR"/>
        </w:rPr>
        <w:t xml:space="preserve">Critères de </w:t>
      </w:r>
      <w:r w:rsidR="00DC4899">
        <w:rPr>
          <w:b/>
          <w:lang w:val="fr-FR"/>
        </w:rPr>
        <w:t>classification et communication</w:t>
      </w:r>
      <w:r w:rsidR="00DC4899">
        <w:rPr>
          <w:b/>
          <w:lang w:val="fr-FR"/>
        </w:rPr>
        <w:br/>
      </w:r>
      <w:r w:rsidRPr="003E17BB">
        <w:rPr>
          <w:b/>
          <w:lang w:val="fr-FR"/>
        </w:rPr>
        <w:t>des dangers y relatifs</w:t>
      </w:r>
      <w:r w:rsidR="007D1A87">
        <w:rPr>
          <w:b/>
          <w:lang w:val="fr-FR"/>
        </w:rPr>
        <w:t> </w:t>
      </w:r>
      <w:r w:rsidRPr="003E17BB">
        <w:rPr>
          <w:b/>
          <w:lang w:val="fr-FR"/>
        </w:rPr>
        <w:t>:</w:t>
      </w:r>
      <w:r w:rsidR="00DC4899">
        <w:rPr>
          <w:b/>
          <w:lang w:val="fr-FR"/>
        </w:rPr>
        <w:t xml:space="preserve"> </w:t>
      </w:r>
      <w:r w:rsidRPr="003E17BB">
        <w:rPr>
          <w:b/>
          <w:lang w:val="fr-FR"/>
        </w:rPr>
        <w:t>Questions diverses</w:t>
      </w:r>
    </w:p>
    <w:p w:rsidR="003E17BB" w:rsidRPr="003E17BB" w:rsidRDefault="003E17BB" w:rsidP="00051543">
      <w:pPr>
        <w:pStyle w:val="HChG"/>
        <w:rPr>
          <w:sz w:val="32"/>
          <w:lang w:val="fr-FR"/>
        </w:rPr>
      </w:pPr>
      <w:r w:rsidRPr="003E17BB">
        <w:rPr>
          <w:lang w:val="fr-FR"/>
        </w:rPr>
        <w:tab/>
      </w:r>
      <w:r w:rsidRPr="003E17BB">
        <w:rPr>
          <w:lang w:val="fr-FR"/>
        </w:rPr>
        <w:tab/>
        <w:t xml:space="preserve">Modification des directives </w:t>
      </w:r>
      <w:r w:rsidR="00051543">
        <w:rPr>
          <w:lang w:val="fr-FR"/>
        </w:rPr>
        <w:t>données aux chapitre 2.3</w:t>
      </w:r>
      <w:r w:rsidR="00051543">
        <w:rPr>
          <w:lang w:val="fr-FR"/>
        </w:rPr>
        <w:br/>
      </w:r>
      <w:r w:rsidRPr="003E17BB">
        <w:rPr>
          <w:lang w:val="fr-FR"/>
        </w:rPr>
        <w:t xml:space="preserve">concernant le calcul de </w:t>
      </w:r>
      <w:r w:rsidR="00051543">
        <w:rPr>
          <w:lang w:val="fr-FR"/>
        </w:rPr>
        <w:t>la chaleur de combustion</w:t>
      </w:r>
      <w:r w:rsidR="00040CD9">
        <w:rPr>
          <w:lang w:val="fr-FR"/>
        </w:rPr>
        <w:t xml:space="preserve"> pour</w:t>
      </w:r>
      <w:r w:rsidR="00040CD9">
        <w:rPr>
          <w:lang w:val="fr-FR"/>
        </w:rPr>
        <w:br/>
      </w:r>
      <w:r w:rsidRPr="003E17BB">
        <w:rPr>
          <w:lang w:val="fr-FR"/>
        </w:rPr>
        <w:t>les préparations comprenant plusieurs composants</w:t>
      </w:r>
    </w:p>
    <w:p w:rsidR="003E17BB" w:rsidRPr="003E17BB" w:rsidRDefault="003E17BB" w:rsidP="00051543">
      <w:pPr>
        <w:pStyle w:val="H1G"/>
        <w:rPr>
          <w:lang w:val="fr-FR"/>
        </w:rPr>
      </w:pPr>
      <w:r w:rsidRPr="003E17BB">
        <w:rPr>
          <w:lang w:val="fr-FR"/>
        </w:rPr>
        <w:tab/>
      </w:r>
      <w:r w:rsidRPr="003E17BB">
        <w:rPr>
          <w:lang w:val="fr-FR"/>
        </w:rPr>
        <w:tab/>
        <w:t>Communication de l’expert de la Suède</w:t>
      </w:r>
      <w:r w:rsidR="00040CD9" w:rsidRPr="00051543">
        <w:rPr>
          <w:b w:val="0"/>
          <w:sz w:val="18"/>
          <w:lang w:val="fr-FR"/>
        </w:rPr>
        <w:footnoteReference w:customMarkFollows="1" w:id="2"/>
        <w:t>*</w:t>
      </w:r>
    </w:p>
    <w:p w:rsidR="003E17BB" w:rsidRPr="003E17BB" w:rsidRDefault="003E17BB" w:rsidP="00051543">
      <w:pPr>
        <w:pStyle w:val="HChG"/>
        <w:rPr>
          <w:lang w:val="fr-FR"/>
        </w:rPr>
      </w:pPr>
      <w:r w:rsidRPr="003E17BB">
        <w:rPr>
          <w:lang w:val="fr-FR"/>
        </w:rPr>
        <w:tab/>
      </w:r>
      <w:r w:rsidRPr="003E17BB">
        <w:rPr>
          <w:lang w:val="fr-FR"/>
        </w:rPr>
        <w:tab/>
        <w:t>Historique de la question</w:t>
      </w:r>
    </w:p>
    <w:p w:rsidR="003E17BB" w:rsidRPr="003E17BB" w:rsidRDefault="007D1A87" w:rsidP="00051543">
      <w:pPr>
        <w:pStyle w:val="SingleTxtG"/>
        <w:rPr>
          <w:lang w:val="fr-FR"/>
        </w:rPr>
      </w:pPr>
      <w:r>
        <w:rPr>
          <w:lang w:val="fr-FR"/>
        </w:rPr>
        <w:t>1.</w:t>
      </w:r>
      <w:r>
        <w:rPr>
          <w:lang w:val="fr-FR"/>
        </w:rPr>
        <w:tab/>
        <w:t>Le chapitre </w:t>
      </w:r>
      <w:r w:rsidR="003E17BB" w:rsidRPr="003E17BB">
        <w:rPr>
          <w:lang w:val="fr-FR"/>
        </w:rPr>
        <w:t>2.3 du SGH.3 sur les aérosols contient des directives concernant le calcul de la chaleur de combustion pour une préparation comprenant plusieurs composants (voir sect</w:t>
      </w:r>
      <w:r w:rsidR="00040CD9">
        <w:rPr>
          <w:lang w:val="fr-FR"/>
        </w:rPr>
        <w:t>. </w:t>
      </w:r>
      <w:r w:rsidR="003E17BB" w:rsidRPr="003E17BB">
        <w:rPr>
          <w:lang w:val="fr-FR"/>
        </w:rPr>
        <w:t>2.3.4.2). Bien que l’équation soit juste sur le principe, la manière dont elle est écrite peut porter à confusion et entraîner des erreurs de calcul, ce qui peut donner lieu à des erreurs de classification.</w:t>
      </w:r>
    </w:p>
    <w:p w:rsidR="003E17BB" w:rsidRPr="003E17BB" w:rsidRDefault="003E17BB" w:rsidP="00051543">
      <w:pPr>
        <w:pStyle w:val="SingleTxtG"/>
        <w:rPr>
          <w:lang w:val="fr-FR"/>
        </w:rPr>
      </w:pPr>
      <w:r w:rsidRPr="003E17BB">
        <w:rPr>
          <w:lang w:val="fr-FR"/>
        </w:rPr>
        <w:t>2.</w:t>
      </w:r>
      <w:r w:rsidRPr="003E17BB">
        <w:rPr>
          <w:lang w:val="fr-FR"/>
        </w:rPr>
        <w:tab/>
        <w:t>Il existe une proposition, soumise par le CEFIC et l’EIGA, qui vise à modifier le chapitre</w:t>
      </w:r>
      <w:r w:rsidR="00040CD9">
        <w:rPr>
          <w:lang w:val="fr-FR"/>
        </w:rPr>
        <w:t> </w:t>
      </w:r>
      <w:r w:rsidRPr="003E17BB">
        <w:rPr>
          <w:lang w:val="fr-FR"/>
        </w:rPr>
        <w:t>2.3 afin d’y inclure les produits chimiques sous pression (voir le document ST/SG/AC.10/C.4/2018/3). Dans ce document, les commentaires sur la chaleur de combustion figurent à la section</w:t>
      </w:r>
      <w:r w:rsidR="00040CD9">
        <w:rPr>
          <w:lang w:val="fr-FR"/>
        </w:rPr>
        <w:t> </w:t>
      </w:r>
      <w:r w:rsidRPr="003E17BB">
        <w:rPr>
          <w:lang w:val="fr-FR"/>
        </w:rPr>
        <w:t>2.3.3. L’expert de la Suède propose que cette section soit modifiée afin de garantir la cohérence mathématique de l’équation et la logique du texte auquel elle se rapporte.</w:t>
      </w:r>
    </w:p>
    <w:p w:rsidR="003E17BB" w:rsidRPr="003E17BB" w:rsidRDefault="003E17BB" w:rsidP="00051543">
      <w:pPr>
        <w:pStyle w:val="HChG"/>
        <w:rPr>
          <w:lang w:val="fr-FR"/>
        </w:rPr>
      </w:pPr>
      <w:r w:rsidRPr="003E17BB">
        <w:rPr>
          <w:lang w:val="fr-FR"/>
        </w:rPr>
        <w:tab/>
      </w:r>
      <w:r w:rsidRPr="003E17BB">
        <w:rPr>
          <w:lang w:val="fr-FR"/>
        </w:rPr>
        <w:tab/>
        <w:t>Discussion</w:t>
      </w:r>
    </w:p>
    <w:p w:rsidR="003E17BB" w:rsidRPr="003E17BB" w:rsidRDefault="003E17BB" w:rsidP="00051543">
      <w:pPr>
        <w:pStyle w:val="SingleTxtG"/>
        <w:rPr>
          <w:lang w:val="fr-FR"/>
        </w:rPr>
      </w:pPr>
      <w:r w:rsidRPr="003E17BB">
        <w:rPr>
          <w:lang w:val="fr-FR"/>
        </w:rPr>
        <w:t>3.</w:t>
      </w:r>
      <w:r w:rsidRPr="003E17BB">
        <w:rPr>
          <w:lang w:val="fr-FR"/>
        </w:rPr>
        <w:tab/>
        <w:t>Le principal problème que pose l’équation sous sa forme actuelle est l’utilisation de la notation “</w:t>
      </w:r>
      <w:proofErr w:type="spellStart"/>
      <w:r w:rsidRPr="003E17BB">
        <w:rPr>
          <w:lang w:val="fr-FR"/>
        </w:rPr>
        <w:t>w</w:t>
      </w:r>
      <w:r w:rsidRPr="003E17BB">
        <w:rPr>
          <w:vertAlign w:val="subscript"/>
          <w:lang w:val="fr-FR"/>
        </w:rPr>
        <w:t>i</w:t>
      </w:r>
      <w:proofErr w:type="spellEnd"/>
      <w:r w:rsidR="007D1A87">
        <w:rPr>
          <w:lang w:val="fr-FR"/>
        </w:rPr>
        <w:t> </w:t>
      </w:r>
      <w:r w:rsidRPr="003E17BB">
        <w:rPr>
          <w:lang w:val="fr-FR"/>
        </w:rPr>
        <w:t xml:space="preserve">%” pour désigner une fraction. Une fraction est un nombre compris entre </w:t>
      </w:r>
      <w:r w:rsidR="00DC4899">
        <w:rPr>
          <w:lang w:val="fr-FR"/>
        </w:rPr>
        <w:t>zéro</w:t>
      </w:r>
      <w:r w:rsidRPr="003E17BB">
        <w:rPr>
          <w:lang w:val="fr-FR"/>
        </w:rPr>
        <w:t xml:space="preserve"> et 1, à ne pas confondre avec un pourcentage, qui correspond à ce nombre multiplié </w:t>
      </w:r>
      <w:proofErr w:type="gramStart"/>
      <w:r w:rsidRPr="003E17BB">
        <w:rPr>
          <w:lang w:val="fr-FR"/>
        </w:rPr>
        <w:lastRenderedPageBreak/>
        <w:t>par</w:t>
      </w:r>
      <w:proofErr w:type="gramEnd"/>
      <w:r w:rsidRPr="003E17BB">
        <w:rPr>
          <w:lang w:val="fr-FR"/>
        </w:rPr>
        <w:t xml:space="preserve"> 100. La notation “</w:t>
      </w:r>
      <w:proofErr w:type="spellStart"/>
      <w:r w:rsidRPr="003E17BB">
        <w:rPr>
          <w:lang w:val="fr-FR"/>
        </w:rPr>
        <w:t>w</w:t>
      </w:r>
      <w:r w:rsidRPr="003E17BB">
        <w:rPr>
          <w:vertAlign w:val="subscript"/>
          <w:lang w:val="fr-FR"/>
        </w:rPr>
        <w:t>i</w:t>
      </w:r>
      <w:proofErr w:type="spellEnd"/>
      <w:r w:rsidRPr="003E17BB">
        <w:rPr>
          <w:lang w:val="fr-FR"/>
        </w:rPr>
        <w:t>%” porte donc à confusion puisqu’elle ne renvoie pas clairement à ce qu’elle désigne, à savoir une fraction.</w:t>
      </w:r>
    </w:p>
    <w:p w:rsidR="003E17BB" w:rsidRPr="003E17BB" w:rsidRDefault="003E17BB" w:rsidP="00051543">
      <w:pPr>
        <w:pStyle w:val="SingleTxtG"/>
        <w:rPr>
          <w:lang w:val="fr-FR"/>
        </w:rPr>
      </w:pPr>
      <w:r w:rsidRPr="003E17BB">
        <w:rPr>
          <w:lang w:val="fr-FR"/>
        </w:rPr>
        <w:t>4.</w:t>
      </w:r>
      <w:r w:rsidRPr="003E17BB">
        <w:rPr>
          <w:lang w:val="fr-FR"/>
        </w:rPr>
        <w:tab/>
        <w:t xml:space="preserve">Les termes “chaleur de combustion du composant” (exprimée en kJ/g) et “chaleur de combustion” (exprimée en kJ/mole) sont également utilisés d’une manière pouvant porter à confusion. Par souci de clarté, il pourrait être préférable d’utiliser des parenthèses plutôt que des indices pour indiquer la dépendance vis-à-vis de la variable </w:t>
      </w:r>
      <w:r w:rsidRPr="003E17BB">
        <w:rPr>
          <w:i/>
          <w:lang w:val="fr-FR"/>
        </w:rPr>
        <w:t>i</w:t>
      </w:r>
      <w:r w:rsidRPr="003E17BB">
        <w:rPr>
          <w:lang w:val="fr-FR"/>
        </w:rPr>
        <w:t>, puisqu’il y a déjà un indice dans la notation de la chaleur de combustion (</w:t>
      </w:r>
      <w:proofErr w:type="spellStart"/>
      <w:r w:rsidRPr="003E17BB">
        <w:rPr>
          <w:lang w:val="fr-FR"/>
        </w:rPr>
        <w:t>Δh</w:t>
      </w:r>
      <w:r w:rsidRPr="003E17BB">
        <w:rPr>
          <w:vertAlign w:val="subscript"/>
          <w:lang w:val="fr-FR"/>
        </w:rPr>
        <w:t>c</w:t>
      </w:r>
      <w:proofErr w:type="spellEnd"/>
      <w:r w:rsidRPr="003E17BB">
        <w:rPr>
          <w:lang w:val="fr-FR"/>
        </w:rPr>
        <w:t>). En outre, comme le paragraphe introductif qui évoque la différence entre chaleur de combustion réelle et chaleur de combustion théorique semble plutôt être un commentaire sur la procédure de calcul, il serait sans doute préférable de le placer après la présentation du calcul.</w:t>
      </w:r>
    </w:p>
    <w:p w:rsidR="003E17BB" w:rsidRPr="003E17BB" w:rsidRDefault="003E17BB" w:rsidP="00051543">
      <w:pPr>
        <w:pStyle w:val="HChG"/>
        <w:rPr>
          <w:lang w:val="fr-FR"/>
        </w:rPr>
      </w:pPr>
      <w:r w:rsidRPr="003E17BB">
        <w:rPr>
          <w:lang w:val="fr-FR"/>
        </w:rPr>
        <w:tab/>
      </w:r>
      <w:r w:rsidRPr="003E17BB">
        <w:rPr>
          <w:lang w:val="fr-FR"/>
        </w:rPr>
        <w:tab/>
        <w:t>Proposition</w:t>
      </w:r>
    </w:p>
    <w:p w:rsidR="003E17BB" w:rsidRPr="003E17BB" w:rsidRDefault="003E17BB" w:rsidP="00051543">
      <w:pPr>
        <w:pStyle w:val="SingleTxtG"/>
        <w:rPr>
          <w:lang w:val="fr-FR"/>
        </w:rPr>
      </w:pPr>
      <w:r w:rsidRPr="003E17BB">
        <w:rPr>
          <w:lang w:val="fr-FR"/>
        </w:rPr>
        <w:t>5.</w:t>
      </w:r>
      <w:r w:rsidRPr="003E17BB">
        <w:rPr>
          <w:lang w:val="fr-FR"/>
        </w:rPr>
        <w:tab/>
        <w:t>L’expert de la Suède propose de libeller la section comme suit (les passages à supprimer figurant en caractères gras biffés et les ajouts en caractères gras soulignés</w:t>
      </w:r>
      <w:r w:rsidR="00DC4899">
        <w:rPr>
          <w:lang w:val="fr-FR"/>
        </w:rPr>
        <w:t> </w:t>
      </w:r>
      <w:r w:rsidRPr="003E17BB">
        <w:rPr>
          <w:lang w:val="fr-FR"/>
        </w:rPr>
        <w:t>; il est proposé de modifier l’équation en conséquence mais, par souci de clarté, ces modifications ne sont pas soulignées)</w:t>
      </w:r>
      <w:r w:rsidR="00040CD9">
        <w:rPr>
          <w:lang w:val="fr-FR"/>
        </w:rPr>
        <w:t> </w:t>
      </w:r>
      <w:r w:rsidRPr="003E17BB">
        <w:rPr>
          <w:lang w:val="fr-FR"/>
        </w:rPr>
        <w:t>:</w:t>
      </w:r>
    </w:p>
    <w:p w:rsidR="003E17BB" w:rsidRPr="00051543" w:rsidRDefault="003E17BB" w:rsidP="00051543">
      <w:pPr>
        <w:pStyle w:val="SingleTxtG"/>
        <w:rPr>
          <w:b/>
          <w:i/>
          <w:lang w:val="fr-FR"/>
        </w:rPr>
      </w:pPr>
      <w:r w:rsidRPr="00051543">
        <w:rPr>
          <w:rFonts w:eastAsia="SimSun"/>
          <w:b/>
          <w:i/>
          <w:lang w:val="fr-FR" w:eastAsia="fr-FR"/>
        </w:rPr>
        <w:t xml:space="preserve">2.3.3 </w:t>
      </w:r>
      <w:r w:rsidRPr="00051543">
        <w:rPr>
          <w:rFonts w:eastAsia="SimSun"/>
          <w:b/>
          <w:i/>
          <w:lang w:val="fr-FR" w:eastAsia="fr-FR"/>
        </w:rPr>
        <w:tab/>
      </w:r>
      <w:r w:rsidRPr="00051543">
        <w:rPr>
          <w:b/>
          <w:i/>
          <w:lang w:val="fr-FR"/>
        </w:rPr>
        <w:t>Commentaires sur la chaleur de combustion</w:t>
      </w:r>
    </w:p>
    <w:p w:rsidR="003E17BB" w:rsidRPr="008564A6" w:rsidRDefault="003E17BB" w:rsidP="00051543">
      <w:pPr>
        <w:pStyle w:val="SingleTxtG"/>
        <w:rPr>
          <w:b/>
          <w:strike/>
          <w:lang w:val="fr-FR"/>
        </w:rPr>
      </w:pPr>
      <w:r w:rsidRPr="008564A6">
        <w:rPr>
          <w:b/>
          <w:strike/>
          <w:lang w:val="fr-FR"/>
        </w:rPr>
        <w:t>La chaleur de combustion (</w:t>
      </w:r>
      <w:proofErr w:type="spellStart"/>
      <w:r w:rsidRPr="008564A6">
        <w:rPr>
          <w:b/>
          <w:strike/>
          <w:lang w:val="fr-FR"/>
        </w:rPr>
        <w:t>Δh</w:t>
      </w:r>
      <w:r w:rsidRPr="008564A6">
        <w:rPr>
          <w:b/>
          <w:strike/>
          <w:vertAlign w:val="subscript"/>
          <w:lang w:val="fr-FR"/>
        </w:rPr>
        <w:t>c</w:t>
      </w:r>
      <w:proofErr w:type="spellEnd"/>
      <w:r w:rsidRPr="008564A6">
        <w:rPr>
          <w:b/>
          <w:strike/>
          <w:lang w:val="fr-FR"/>
        </w:rPr>
        <w:t>), en kilojoules par gramme (kJ/g), est le produit de la chaleur théorique de combustion (</w:t>
      </w:r>
      <w:proofErr w:type="spellStart"/>
      <w:r w:rsidRPr="008564A6">
        <w:rPr>
          <w:b/>
          <w:strike/>
          <w:lang w:val="fr-FR"/>
        </w:rPr>
        <w:t>Δh</w:t>
      </w:r>
      <w:r w:rsidRPr="008564A6">
        <w:rPr>
          <w:b/>
          <w:strike/>
          <w:vertAlign w:val="subscript"/>
          <w:lang w:val="fr-FR"/>
        </w:rPr>
        <w:t>comb</w:t>
      </w:r>
      <w:proofErr w:type="spellEnd"/>
      <w:r w:rsidRPr="008564A6">
        <w:rPr>
          <w:b/>
          <w:strike/>
          <w:lang w:val="fr-FR"/>
        </w:rPr>
        <w:t>) et du coefficient de rendement de la combustion, qui est en général inférieur à 1,0 (ce coefficient est le plus souvent de l’ordre de 0,95 ou 95 %).</w:t>
      </w:r>
      <w:r w:rsidRPr="008564A6">
        <w:rPr>
          <w:b/>
          <w:strike/>
          <w:lang w:val="fr-FR"/>
        </w:rPr>
        <w:tab/>
      </w:r>
    </w:p>
    <w:p w:rsidR="003E17BB" w:rsidRPr="003E17BB" w:rsidRDefault="003E17BB" w:rsidP="00051543">
      <w:pPr>
        <w:pStyle w:val="SingleTxtG"/>
        <w:rPr>
          <w:lang w:val="fr-FR"/>
        </w:rPr>
      </w:pPr>
      <w:r w:rsidRPr="003E17BB">
        <w:rPr>
          <w:lang w:val="fr-FR"/>
        </w:rPr>
        <w:t xml:space="preserve">Pour une préparation comprenant plusieurs composants, la chaleur de combustion </w:t>
      </w:r>
      <w:r w:rsidRPr="00DC4899">
        <w:rPr>
          <w:b/>
          <w:u w:val="single"/>
          <w:lang w:val="fr-FR"/>
        </w:rPr>
        <w:t>du produit</w:t>
      </w:r>
      <w:r w:rsidRPr="003E17BB">
        <w:rPr>
          <w:lang w:val="fr-FR"/>
        </w:rPr>
        <w:t xml:space="preserve"> est la somme des valeurs </w:t>
      </w:r>
      <w:r w:rsidRPr="00DC4899">
        <w:rPr>
          <w:b/>
          <w:u w:val="single"/>
          <w:lang w:val="fr-FR"/>
        </w:rPr>
        <w:t>pondérées</w:t>
      </w:r>
      <w:r w:rsidRPr="003E17BB">
        <w:rPr>
          <w:lang w:val="fr-FR"/>
        </w:rPr>
        <w:t xml:space="preserve"> des chaleurs de combustion pour les composants individuels, comme suit :</w:t>
      </w:r>
    </w:p>
    <w:p w:rsidR="003E17BB" w:rsidRPr="00DC4899" w:rsidRDefault="0063656F" w:rsidP="00051543">
      <w:pPr>
        <w:pStyle w:val="SingleTxtG"/>
        <w:rPr>
          <w:lang w:val="fr-FR"/>
        </w:rPr>
      </w:pPr>
      <m:oMathPara>
        <m:oMath>
          <m:sSub>
            <m:sSubPr>
              <m:ctrlPr>
                <w:rPr>
                  <w:rFonts w:ascii="Cambria Math" w:hAnsi="Cambria Math"/>
                  <w:lang w:val="fr-FR"/>
                </w:rPr>
              </m:ctrlPr>
            </m:sSubPr>
            <m:e>
              <m:r>
                <m:rPr>
                  <m:sty m:val="p"/>
                </m:rPr>
                <w:rPr>
                  <w:rFonts w:ascii="Cambria Math" w:hAnsi="Cambria Math"/>
                  <w:lang w:val="fr-FR"/>
                </w:rPr>
                <m:t>Δh</m:t>
              </m:r>
            </m:e>
            <m:sub>
              <m:r>
                <m:rPr>
                  <m:sty m:val="p"/>
                </m:rPr>
                <w:rPr>
                  <w:rFonts w:ascii="Cambria Math" w:hAnsi="Cambria Math"/>
                  <w:lang w:val="fr-FR"/>
                </w:rPr>
                <m:t>c</m:t>
              </m:r>
            </m:sub>
          </m:sSub>
          <m:d>
            <m:dPr>
              <m:ctrlPr>
                <w:rPr>
                  <w:rFonts w:ascii="Cambria Math" w:hAnsi="Cambria Math"/>
                  <w:lang w:val="fr-FR"/>
                </w:rPr>
              </m:ctrlPr>
            </m:dPr>
            <m:e>
              <m:r>
                <m:rPr>
                  <m:sty m:val="p"/>
                </m:rPr>
                <w:rPr>
                  <w:rFonts w:ascii="Cambria Math" w:hAnsi="Cambria Math"/>
                  <w:lang w:val="fr-FR"/>
                </w:rPr>
                <m:t>product</m:t>
              </m:r>
            </m:e>
          </m:d>
          <m:r>
            <m:rPr>
              <m:sty m:val="p"/>
            </m:rPr>
            <w:rPr>
              <w:rFonts w:ascii="Cambria Math" w:hAnsi="Cambria Math"/>
              <w:lang w:val="fr-FR"/>
            </w:rPr>
            <m:t xml:space="preserve">= </m:t>
          </m:r>
          <m:nary>
            <m:naryPr>
              <m:chr m:val="∑"/>
              <m:limLoc m:val="undOvr"/>
              <m:ctrlPr>
                <w:rPr>
                  <w:rFonts w:ascii="Cambria Math" w:hAnsi="Cambria Math"/>
                  <w:lang w:val="fr-FR"/>
                </w:rPr>
              </m:ctrlPr>
            </m:naryPr>
            <m:sub>
              <m:r>
                <m:rPr>
                  <m:sty m:val="p"/>
                </m:rPr>
                <w:rPr>
                  <w:rFonts w:ascii="Cambria Math" w:hAnsi="Cambria Math"/>
                  <w:lang w:val="fr-FR"/>
                </w:rPr>
                <m:t>i</m:t>
              </m:r>
            </m:sub>
            <m:sup>
              <m:r>
                <m:rPr>
                  <m:sty m:val="p"/>
                </m:rPr>
                <w:rPr>
                  <w:rFonts w:ascii="Cambria Math" w:hAnsi="Cambria Math"/>
                  <w:lang w:val="fr-FR"/>
                </w:rPr>
                <m:t>n</m:t>
              </m:r>
            </m:sup>
            <m:e>
              <m:d>
                <m:dPr>
                  <m:begChr m:val="["/>
                  <m:endChr m:val="]"/>
                  <m:ctrlPr>
                    <w:rPr>
                      <w:rFonts w:ascii="Cambria Math" w:hAnsi="Cambria Math"/>
                      <w:lang w:val="fr-FR"/>
                    </w:rPr>
                  </m:ctrlPr>
                </m:dPr>
                <m:e>
                  <m:r>
                    <m:rPr>
                      <m:sty m:val="p"/>
                    </m:rPr>
                    <w:rPr>
                      <w:rFonts w:ascii="Cambria Math" w:hAnsi="Cambria Math"/>
                      <w:lang w:val="fr-FR"/>
                    </w:rPr>
                    <m:t>w</m:t>
                  </m:r>
                  <m:d>
                    <m:dPr>
                      <m:ctrlPr>
                        <w:rPr>
                          <w:rFonts w:ascii="Cambria Math" w:hAnsi="Cambria Math"/>
                          <w:lang w:val="fr-FR"/>
                        </w:rPr>
                      </m:ctrlPr>
                    </m:dPr>
                    <m:e>
                      <m:r>
                        <m:rPr>
                          <m:sty m:val="p"/>
                        </m:rPr>
                        <w:rPr>
                          <w:rFonts w:ascii="Cambria Math" w:hAnsi="Cambria Math"/>
                          <w:lang w:val="fr-FR"/>
                        </w:rPr>
                        <m:t>i</m:t>
                      </m:r>
                    </m:e>
                  </m:d>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Δh</m:t>
                      </m:r>
                    </m:e>
                    <m:sub>
                      <m:r>
                        <m:rPr>
                          <m:sty m:val="p"/>
                        </m:rPr>
                        <w:rPr>
                          <w:rFonts w:ascii="Cambria Math" w:hAnsi="Cambria Math"/>
                          <w:lang w:val="fr-FR"/>
                        </w:rPr>
                        <m:t>c</m:t>
                      </m:r>
                    </m:sub>
                  </m:sSub>
                  <m:r>
                    <m:rPr>
                      <m:sty m:val="p"/>
                    </m:rPr>
                    <w:rPr>
                      <w:rFonts w:ascii="Cambria Math" w:hAnsi="Cambria Math"/>
                      <w:lang w:val="fr-FR"/>
                    </w:rPr>
                    <m:t>(i)</m:t>
                  </m:r>
                </m:e>
              </m:d>
            </m:e>
          </m:nary>
        </m:oMath>
      </m:oMathPara>
    </w:p>
    <w:p w:rsidR="003E17BB" w:rsidRPr="003E17BB" w:rsidRDefault="003E17BB" w:rsidP="00051543">
      <w:pPr>
        <w:pStyle w:val="SingleTxtG"/>
        <w:rPr>
          <w:lang w:val="fr-FR"/>
        </w:rPr>
      </w:pPr>
      <w:r w:rsidRPr="003E17BB">
        <w:rPr>
          <w:lang w:val="fr-FR"/>
        </w:rPr>
        <w:t>Où</w:t>
      </w:r>
      <w:r w:rsidR="00DC4899">
        <w:rPr>
          <w:lang w:val="fr-FR"/>
        </w:rPr>
        <w:t> </w:t>
      </w:r>
      <w:r w:rsidRPr="003E17BB">
        <w:rPr>
          <w:lang w:val="fr-FR"/>
        </w:rPr>
        <w:t>:</w:t>
      </w:r>
    </w:p>
    <w:p w:rsidR="003E17BB" w:rsidRPr="003E17BB" w:rsidRDefault="003E17BB" w:rsidP="00051543">
      <w:pPr>
        <w:pStyle w:val="SingleTxtG"/>
        <w:rPr>
          <w:lang w:val="fr-FR"/>
        </w:rPr>
      </w:pPr>
      <w:proofErr w:type="spellStart"/>
      <w:r w:rsidRPr="003E17BB">
        <w:rPr>
          <w:b/>
          <w:u w:val="single"/>
          <w:lang w:val="fr-FR"/>
        </w:rPr>
        <w:t>Δh</w:t>
      </w:r>
      <w:r w:rsidRPr="003E17BB">
        <w:rPr>
          <w:b/>
          <w:u w:val="single"/>
          <w:vertAlign w:val="subscript"/>
          <w:lang w:val="fr-FR"/>
        </w:rPr>
        <w:t>c</w:t>
      </w:r>
      <w:proofErr w:type="spellEnd"/>
      <w:r w:rsidRPr="003E17BB">
        <w:rPr>
          <w:b/>
          <w:u w:val="single"/>
          <w:lang w:val="fr-FR"/>
        </w:rPr>
        <w:t>(</w:t>
      </w:r>
      <w:proofErr w:type="spellStart"/>
      <w:r w:rsidRPr="003E17BB">
        <w:rPr>
          <w:b/>
          <w:u w:val="single"/>
          <w:lang w:val="fr-FR"/>
        </w:rPr>
        <w:t>product</w:t>
      </w:r>
      <w:proofErr w:type="spellEnd"/>
      <w:r w:rsidRPr="003E17BB">
        <w:rPr>
          <w:b/>
          <w:u w:val="single"/>
          <w:lang w:val="fr-FR"/>
        </w:rPr>
        <w:t>)</w:t>
      </w:r>
      <w:r w:rsidRPr="003E17BB">
        <w:rPr>
          <w:b/>
          <w:lang w:val="fr-FR"/>
        </w:rPr>
        <w:tab/>
      </w:r>
      <w:r w:rsidRPr="003E17BB">
        <w:rPr>
          <w:lang w:val="fr-FR"/>
        </w:rPr>
        <w:t>=</w:t>
      </w:r>
      <w:r w:rsidRPr="003E17BB">
        <w:rPr>
          <w:lang w:val="fr-FR"/>
        </w:rPr>
        <w:tab/>
        <w:t xml:space="preserve">chaleur de combustion (kJ/g) </w:t>
      </w:r>
      <w:r w:rsidRPr="003E17BB">
        <w:rPr>
          <w:b/>
          <w:u w:val="single"/>
          <w:lang w:val="fr-FR"/>
        </w:rPr>
        <w:t>du produit</w:t>
      </w:r>
      <w:r w:rsidR="00040CD9">
        <w:rPr>
          <w:b/>
          <w:u w:val="single"/>
          <w:lang w:val="fr-FR"/>
        </w:rPr>
        <w:t> </w:t>
      </w:r>
      <w:r w:rsidRPr="003E17BB">
        <w:rPr>
          <w:b/>
          <w:lang w:val="fr-FR"/>
        </w:rPr>
        <w:t>;</w:t>
      </w:r>
    </w:p>
    <w:p w:rsidR="003E17BB" w:rsidRPr="003E17BB" w:rsidRDefault="003E17BB" w:rsidP="00051543">
      <w:pPr>
        <w:pStyle w:val="SingleTxtG"/>
        <w:rPr>
          <w:lang w:val="fr-FR"/>
        </w:rPr>
      </w:pPr>
      <w:proofErr w:type="spellStart"/>
      <w:r w:rsidRPr="003E17BB">
        <w:rPr>
          <w:b/>
          <w:u w:val="single"/>
          <w:lang w:val="fr-FR"/>
        </w:rPr>
        <w:t>Δh</w:t>
      </w:r>
      <w:r w:rsidRPr="003E17BB">
        <w:rPr>
          <w:b/>
          <w:u w:val="single"/>
          <w:vertAlign w:val="subscript"/>
          <w:lang w:val="fr-FR"/>
        </w:rPr>
        <w:t>c</w:t>
      </w:r>
      <w:proofErr w:type="spellEnd"/>
      <w:r w:rsidRPr="003E17BB">
        <w:rPr>
          <w:b/>
          <w:u w:val="single"/>
          <w:lang w:val="fr-FR"/>
        </w:rPr>
        <w:t>(i)</w:t>
      </w:r>
      <w:r w:rsidRPr="003E17BB">
        <w:rPr>
          <w:lang w:val="fr-FR"/>
        </w:rPr>
        <w:tab/>
        <w:t>=</w:t>
      </w:r>
      <w:r w:rsidRPr="003E17BB">
        <w:rPr>
          <w:lang w:val="fr-FR"/>
        </w:rPr>
        <w:tab/>
      </w:r>
      <w:r w:rsidRPr="003E17BB">
        <w:rPr>
          <w:lang w:val="fr-FR"/>
        </w:rPr>
        <w:tab/>
        <w:t>chaleur de combustion du composant i dans le produit, en (kJ/g)</w:t>
      </w:r>
      <w:r w:rsidR="00040CD9">
        <w:rPr>
          <w:lang w:val="fr-FR"/>
        </w:rPr>
        <w:t> </w:t>
      </w:r>
      <w:r w:rsidRPr="003E17BB">
        <w:rPr>
          <w:lang w:val="fr-FR"/>
        </w:rPr>
        <w:t>;</w:t>
      </w:r>
    </w:p>
    <w:p w:rsidR="003E17BB" w:rsidRPr="003E17BB" w:rsidRDefault="003E17BB" w:rsidP="00051543">
      <w:pPr>
        <w:pStyle w:val="SingleTxtG"/>
        <w:rPr>
          <w:lang w:val="fr-FR"/>
        </w:rPr>
      </w:pPr>
      <w:proofErr w:type="gramStart"/>
      <w:r w:rsidRPr="003E17BB">
        <w:rPr>
          <w:b/>
          <w:u w:val="single"/>
          <w:lang w:val="fr-FR"/>
        </w:rPr>
        <w:t>w</w:t>
      </w:r>
      <w:proofErr w:type="gramEnd"/>
      <w:r w:rsidRPr="003E17BB">
        <w:rPr>
          <w:b/>
          <w:u w:val="single"/>
          <w:lang w:val="fr-FR"/>
        </w:rPr>
        <w:t>(i)</w:t>
      </w:r>
      <w:r w:rsidRPr="003E17BB">
        <w:rPr>
          <w:lang w:val="fr-FR"/>
        </w:rPr>
        <w:tab/>
        <w:t>=</w:t>
      </w:r>
      <w:r w:rsidRPr="003E17BB">
        <w:rPr>
          <w:lang w:val="fr-FR"/>
        </w:rPr>
        <w:tab/>
      </w:r>
      <w:r w:rsidRPr="003E17BB">
        <w:rPr>
          <w:lang w:val="fr-FR"/>
        </w:rPr>
        <w:tab/>
        <w:t>fraction en masse du composant i dans le produit</w:t>
      </w:r>
      <w:r w:rsidR="00040CD9">
        <w:rPr>
          <w:lang w:val="fr-FR"/>
        </w:rPr>
        <w:t> </w:t>
      </w:r>
      <w:r w:rsidRPr="003E17BB">
        <w:rPr>
          <w:lang w:val="fr-FR"/>
        </w:rPr>
        <w:t>;</w:t>
      </w:r>
    </w:p>
    <w:p w:rsidR="003E17BB" w:rsidRPr="003E17BB" w:rsidRDefault="003E17BB" w:rsidP="00051543">
      <w:pPr>
        <w:pStyle w:val="SingleTxtG"/>
        <w:rPr>
          <w:b/>
          <w:u w:val="single"/>
          <w:lang w:val="fr-FR"/>
        </w:rPr>
      </w:pPr>
      <w:proofErr w:type="gramStart"/>
      <w:r w:rsidRPr="003E17BB">
        <w:rPr>
          <w:b/>
          <w:u w:val="single"/>
          <w:lang w:val="fr-FR"/>
        </w:rPr>
        <w:t>n</w:t>
      </w:r>
      <w:proofErr w:type="gramEnd"/>
      <w:r w:rsidRPr="003E17BB">
        <w:rPr>
          <w:b/>
          <w:u w:val="single"/>
          <w:lang w:val="fr-FR"/>
        </w:rPr>
        <w:tab/>
        <w:t>=</w:t>
      </w:r>
      <w:r w:rsidRPr="003E17BB">
        <w:rPr>
          <w:b/>
          <w:u w:val="single"/>
          <w:lang w:val="fr-FR"/>
        </w:rPr>
        <w:tab/>
      </w:r>
      <w:r w:rsidR="00040CD9" w:rsidRPr="00040CD9">
        <w:rPr>
          <w:b/>
          <w:u w:val="single"/>
          <w:lang w:val="fr-FR"/>
        </w:rPr>
        <w:tab/>
      </w:r>
      <w:r w:rsidRPr="003E17BB">
        <w:rPr>
          <w:b/>
          <w:u w:val="single"/>
          <w:lang w:val="fr-FR"/>
        </w:rPr>
        <w:t>nombre total de composants du produit.</w:t>
      </w:r>
    </w:p>
    <w:p w:rsidR="003E17BB" w:rsidRPr="003E17BB" w:rsidRDefault="003E17BB" w:rsidP="00051543">
      <w:pPr>
        <w:pStyle w:val="SingleTxtG"/>
        <w:rPr>
          <w:u w:val="single"/>
          <w:lang w:val="fr-FR"/>
        </w:rPr>
      </w:pPr>
      <w:r w:rsidRPr="003E17BB">
        <w:rPr>
          <w:lang w:val="fr-FR"/>
        </w:rPr>
        <w:t>Les valeurs de chaleur de combustion</w:t>
      </w:r>
      <w:r w:rsidRPr="003E17BB">
        <w:rPr>
          <w:b/>
          <w:u w:val="single"/>
          <w:lang w:val="fr-FR"/>
        </w:rPr>
        <w:t>, qui sont exprimées en kilojoules par gramme (kJ/g),</w:t>
      </w:r>
      <w:r w:rsidRPr="003E17BB">
        <w:rPr>
          <w:lang w:val="fr-FR"/>
        </w:rPr>
        <w:t xml:space="preserve"> peuvent être tirées de la littérature, ou calculées ou déterminées par des épreuves (voir les normes ASTM D 240 et NFPA 30B). </w:t>
      </w:r>
      <w:r w:rsidRPr="003E17BB">
        <w:rPr>
          <w:b/>
          <w:u w:val="single"/>
          <w:lang w:val="fr-FR"/>
        </w:rPr>
        <w:t xml:space="preserve">Il convient de noter que les chaleurs de combustion mesurées expérimentalement diffèrent le plus souvent des valeurs théoriques correspondantes car le rendement de la combustion est en général </w:t>
      </w:r>
      <w:proofErr w:type="gramStart"/>
      <w:r w:rsidRPr="003E17BB">
        <w:rPr>
          <w:b/>
          <w:u w:val="single"/>
          <w:lang w:val="fr-FR"/>
        </w:rPr>
        <w:t>inférieur</w:t>
      </w:r>
      <w:proofErr w:type="gramEnd"/>
      <w:r w:rsidRPr="003E17BB">
        <w:rPr>
          <w:b/>
          <w:u w:val="single"/>
          <w:lang w:val="fr-FR"/>
        </w:rPr>
        <w:t xml:space="preserve"> à 100 % (ce rendement est le plus souvent de l’ordre de 95 %).</w:t>
      </w:r>
    </w:p>
    <w:p w:rsidR="003E17BB" w:rsidRPr="003E17BB" w:rsidRDefault="003E17BB" w:rsidP="00051543">
      <w:pPr>
        <w:pStyle w:val="SingleTxtG"/>
        <w:rPr>
          <w:lang w:val="fr-FR"/>
        </w:rPr>
      </w:pPr>
      <w:r w:rsidRPr="003E17BB">
        <w:rPr>
          <w:lang w:val="fr-FR"/>
        </w:rPr>
        <w:t>6.</w:t>
      </w:r>
      <w:r w:rsidRPr="003E17BB">
        <w:rPr>
          <w:lang w:val="fr-FR"/>
        </w:rPr>
        <w:tab/>
        <w:t>La version définitive de la section se lirait comme suit :</w:t>
      </w:r>
    </w:p>
    <w:p w:rsidR="003E17BB" w:rsidRPr="003E17BB" w:rsidRDefault="003E17BB" w:rsidP="00051543">
      <w:pPr>
        <w:pStyle w:val="SingleTxtG"/>
        <w:rPr>
          <w:rFonts w:eastAsia="SimSun"/>
          <w:b/>
          <w:lang w:val="fr-FR" w:eastAsia="fr-FR"/>
        </w:rPr>
      </w:pPr>
      <w:r w:rsidRPr="00DC4899">
        <w:rPr>
          <w:rFonts w:eastAsia="SimSun"/>
          <w:lang w:val="fr-FR" w:eastAsia="fr-FR"/>
        </w:rPr>
        <w:t>“</w:t>
      </w:r>
      <w:r w:rsidRPr="003E17BB">
        <w:rPr>
          <w:rFonts w:eastAsia="SimSun"/>
          <w:b/>
          <w:lang w:val="fr-FR" w:eastAsia="fr-FR"/>
        </w:rPr>
        <w:t xml:space="preserve">2.3.3 </w:t>
      </w:r>
      <w:r w:rsidRPr="003E17BB">
        <w:rPr>
          <w:rFonts w:eastAsia="SimSun"/>
          <w:b/>
          <w:lang w:val="fr-FR" w:eastAsia="fr-FR"/>
        </w:rPr>
        <w:tab/>
      </w:r>
      <w:r w:rsidR="00040CD9">
        <w:rPr>
          <w:rFonts w:eastAsia="SimSun"/>
          <w:b/>
          <w:lang w:val="fr-FR" w:eastAsia="fr-FR"/>
        </w:rPr>
        <w:tab/>
      </w:r>
      <w:r w:rsidRPr="003E17BB">
        <w:rPr>
          <w:b/>
          <w:bCs/>
          <w:i/>
          <w:lang w:val="fr-FR"/>
        </w:rPr>
        <w:t>Commentaires sur la chaleur de combustion</w:t>
      </w:r>
    </w:p>
    <w:p w:rsidR="003E17BB" w:rsidRPr="003E17BB" w:rsidRDefault="003E17BB" w:rsidP="00051543">
      <w:pPr>
        <w:pStyle w:val="SingleTxtG"/>
        <w:rPr>
          <w:lang w:val="fr-FR"/>
        </w:rPr>
      </w:pPr>
      <w:r w:rsidRPr="003E17BB">
        <w:rPr>
          <w:lang w:val="fr-FR"/>
        </w:rPr>
        <w:t>Pour une préparation comprenant plusieurs composants, la chaleur de combustion du produit est la somme des valeurs pondérées des chaleurs de combustion pour les composants individuels, comme suit</w:t>
      </w:r>
      <w:r w:rsidR="00040CD9">
        <w:rPr>
          <w:lang w:val="fr-FR"/>
        </w:rPr>
        <w:t> </w:t>
      </w:r>
      <w:r w:rsidRPr="003E17BB">
        <w:rPr>
          <w:lang w:val="fr-FR"/>
        </w:rPr>
        <w:t>:</w:t>
      </w:r>
    </w:p>
    <w:p w:rsidR="003E17BB" w:rsidRPr="003E17BB" w:rsidRDefault="0063656F" w:rsidP="003E17BB">
      <w:pPr>
        <w:rPr>
          <w:lang w:val="fr-FR"/>
        </w:rPr>
      </w:pPr>
      <m:oMathPara>
        <m:oMath>
          <m:sSub>
            <m:sSubPr>
              <m:ctrlPr>
                <w:rPr>
                  <w:rFonts w:ascii="Cambria Math" w:hAnsi="Cambria Math"/>
                  <w:lang w:val="fr-FR"/>
                </w:rPr>
              </m:ctrlPr>
            </m:sSubPr>
            <m:e>
              <m:r>
                <m:rPr>
                  <m:sty m:val="p"/>
                </m:rPr>
                <w:rPr>
                  <w:rFonts w:ascii="Cambria Math" w:hAnsi="Cambria Math"/>
                  <w:lang w:val="fr-FR"/>
                </w:rPr>
                <m:t>Δh</m:t>
              </m:r>
            </m:e>
            <m:sub>
              <m:r>
                <m:rPr>
                  <m:sty m:val="p"/>
                </m:rPr>
                <w:rPr>
                  <w:rFonts w:ascii="Cambria Math" w:hAnsi="Cambria Math"/>
                  <w:lang w:val="fr-FR"/>
                </w:rPr>
                <m:t>c</m:t>
              </m:r>
            </m:sub>
          </m:sSub>
          <m:d>
            <m:dPr>
              <m:ctrlPr>
                <w:rPr>
                  <w:rFonts w:ascii="Cambria Math" w:hAnsi="Cambria Math"/>
                  <w:lang w:val="fr-FR"/>
                </w:rPr>
              </m:ctrlPr>
            </m:dPr>
            <m:e>
              <m:r>
                <m:rPr>
                  <m:sty m:val="p"/>
                </m:rPr>
                <w:rPr>
                  <w:rFonts w:ascii="Cambria Math" w:hAnsi="Cambria Math"/>
                  <w:lang w:val="fr-FR"/>
                </w:rPr>
                <m:t>product</m:t>
              </m:r>
            </m:e>
          </m:d>
          <m:r>
            <m:rPr>
              <m:sty m:val="p"/>
            </m:rPr>
            <w:rPr>
              <w:rFonts w:ascii="Cambria Math" w:hAnsi="Cambria Math"/>
              <w:lang w:val="fr-FR"/>
            </w:rPr>
            <m:t xml:space="preserve">= </m:t>
          </m:r>
          <m:nary>
            <m:naryPr>
              <m:chr m:val="∑"/>
              <m:limLoc m:val="undOvr"/>
              <m:ctrlPr>
                <w:rPr>
                  <w:rFonts w:ascii="Cambria Math" w:hAnsi="Cambria Math"/>
                  <w:lang w:val="fr-FR"/>
                </w:rPr>
              </m:ctrlPr>
            </m:naryPr>
            <m:sub>
              <m:r>
                <m:rPr>
                  <m:sty m:val="p"/>
                </m:rPr>
                <w:rPr>
                  <w:rFonts w:ascii="Cambria Math" w:hAnsi="Cambria Math"/>
                  <w:lang w:val="fr-FR"/>
                </w:rPr>
                <m:t>i</m:t>
              </m:r>
            </m:sub>
            <m:sup>
              <m:r>
                <m:rPr>
                  <m:sty m:val="p"/>
                </m:rPr>
                <w:rPr>
                  <w:rFonts w:ascii="Cambria Math" w:hAnsi="Cambria Math"/>
                  <w:lang w:val="fr-FR"/>
                </w:rPr>
                <m:t>n</m:t>
              </m:r>
            </m:sup>
            <m:e>
              <m:d>
                <m:dPr>
                  <m:begChr m:val="["/>
                  <m:endChr m:val="]"/>
                  <m:ctrlPr>
                    <w:rPr>
                      <w:rFonts w:ascii="Cambria Math" w:hAnsi="Cambria Math"/>
                      <w:lang w:val="fr-FR"/>
                    </w:rPr>
                  </m:ctrlPr>
                </m:dPr>
                <m:e>
                  <m:r>
                    <m:rPr>
                      <m:sty m:val="p"/>
                    </m:rPr>
                    <w:rPr>
                      <w:rFonts w:ascii="Cambria Math" w:hAnsi="Cambria Math"/>
                      <w:lang w:val="fr-FR"/>
                    </w:rPr>
                    <m:t>w</m:t>
                  </m:r>
                  <m:d>
                    <m:dPr>
                      <m:ctrlPr>
                        <w:rPr>
                          <w:rFonts w:ascii="Cambria Math" w:hAnsi="Cambria Math"/>
                          <w:lang w:val="fr-FR"/>
                        </w:rPr>
                      </m:ctrlPr>
                    </m:dPr>
                    <m:e>
                      <m:r>
                        <m:rPr>
                          <m:sty m:val="p"/>
                        </m:rPr>
                        <w:rPr>
                          <w:rFonts w:ascii="Cambria Math" w:hAnsi="Cambria Math"/>
                          <w:lang w:val="fr-FR"/>
                        </w:rPr>
                        <m:t>i</m:t>
                      </m:r>
                    </m:e>
                  </m:d>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Δh</m:t>
                      </m:r>
                    </m:e>
                    <m:sub>
                      <m:r>
                        <m:rPr>
                          <m:sty m:val="p"/>
                        </m:rPr>
                        <w:rPr>
                          <w:rFonts w:ascii="Cambria Math" w:hAnsi="Cambria Math"/>
                          <w:lang w:val="fr-FR"/>
                        </w:rPr>
                        <m:t>c</m:t>
                      </m:r>
                    </m:sub>
                  </m:sSub>
                  <m:r>
                    <m:rPr>
                      <m:sty m:val="p"/>
                    </m:rPr>
                    <w:rPr>
                      <w:rFonts w:ascii="Cambria Math" w:hAnsi="Cambria Math"/>
                      <w:lang w:val="fr-FR"/>
                    </w:rPr>
                    <m:t>(i)</m:t>
                  </m:r>
                </m:e>
              </m:d>
            </m:e>
          </m:nary>
        </m:oMath>
      </m:oMathPara>
    </w:p>
    <w:p w:rsidR="003E17BB" w:rsidRPr="003E17BB" w:rsidRDefault="003E17BB" w:rsidP="00051543">
      <w:pPr>
        <w:pStyle w:val="SingleTxtG"/>
        <w:rPr>
          <w:lang w:val="fr-FR"/>
        </w:rPr>
      </w:pPr>
      <w:r w:rsidRPr="003E17BB">
        <w:rPr>
          <w:lang w:val="fr-FR"/>
        </w:rPr>
        <w:t>Où</w:t>
      </w:r>
      <w:r w:rsidR="007D1A87">
        <w:rPr>
          <w:lang w:val="fr-FR"/>
        </w:rPr>
        <w:t> </w:t>
      </w:r>
      <w:r w:rsidRPr="003E17BB">
        <w:rPr>
          <w:lang w:val="fr-FR"/>
        </w:rPr>
        <w:t>:</w:t>
      </w:r>
    </w:p>
    <w:p w:rsidR="003E17BB" w:rsidRPr="003E17BB" w:rsidRDefault="003E17BB" w:rsidP="00051543">
      <w:pPr>
        <w:pStyle w:val="SingleTxtG"/>
        <w:rPr>
          <w:lang w:val="fr-FR"/>
        </w:rPr>
      </w:pPr>
      <w:proofErr w:type="spellStart"/>
      <w:r w:rsidRPr="003E17BB">
        <w:rPr>
          <w:lang w:val="fr-FR"/>
        </w:rPr>
        <w:t>Δhc</w:t>
      </w:r>
      <w:proofErr w:type="spellEnd"/>
      <w:r w:rsidRPr="003E17BB">
        <w:rPr>
          <w:lang w:val="fr-FR"/>
        </w:rPr>
        <w:t>(</w:t>
      </w:r>
      <w:proofErr w:type="spellStart"/>
      <w:r w:rsidRPr="003E17BB">
        <w:rPr>
          <w:lang w:val="fr-FR"/>
        </w:rPr>
        <w:t>product</w:t>
      </w:r>
      <w:proofErr w:type="spellEnd"/>
      <w:r w:rsidRPr="003E17BB">
        <w:rPr>
          <w:lang w:val="fr-FR"/>
        </w:rPr>
        <w:t>)</w:t>
      </w:r>
      <w:r w:rsidRPr="003E17BB">
        <w:rPr>
          <w:lang w:val="fr-FR"/>
        </w:rPr>
        <w:tab/>
        <w:t>=</w:t>
      </w:r>
      <w:r w:rsidRPr="003E17BB">
        <w:rPr>
          <w:lang w:val="fr-FR"/>
        </w:rPr>
        <w:tab/>
        <w:t>chaleur de combustion (kJ/g) du produit</w:t>
      </w:r>
      <w:r w:rsidR="00040CD9">
        <w:rPr>
          <w:lang w:val="fr-FR"/>
        </w:rPr>
        <w:t> </w:t>
      </w:r>
      <w:r w:rsidRPr="003E17BB">
        <w:rPr>
          <w:lang w:val="fr-FR"/>
        </w:rPr>
        <w:t>;</w:t>
      </w:r>
    </w:p>
    <w:p w:rsidR="003E17BB" w:rsidRPr="003E17BB" w:rsidRDefault="003E17BB" w:rsidP="00051543">
      <w:pPr>
        <w:pStyle w:val="SingleTxtG"/>
        <w:rPr>
          <w:lang w:val="fr-FR"/>
        </w:rPr>
      </w:pPr>
      <w:proofErr w:type="spellStart"/>
      <w:r w:rsidRPr="003E17BB">
        <w:rPr>
          <w:lang w:val="fr-FR"/>
        </w:rPr>
        <w:t>Δhc</w:t>
      </w:r>
      <w:proofErr w:type="spellEnd"/>
      <w:r w:rsidRPr="003E17BB">
        <w:rPr>
          <w:lang w:val="fr-FR"/>
        </w:rPr>
        <w:t>(i)</w:t>
      </w:r>
      <w:r w:rsidRPr="003E17BB">
        <w:rPr>
          <w:lang w:val="fr-FR"/>
        </w:rPr>
        <w:tab/>
        <w:t>=</w:t>
      </w:r>
      <w:r w:rsidRPr="003E17BB">
        <w:rPr>
          <w:lang w:val="fr-FR"/>
        </w:rPr>
        <w:tab/>
      </w:r>
      <w:r w:rsidRPr="003E17BB">
        <w:rPr>
          <w:lang w:val="fr-FR"/>
        </w:rPr>
        <w:tab/>
        <w:t>chaleur de combustion du composant i dans le produit, en (kJ/g)</w:t>
      </w:r>
      <w:r w:rsidR="00040CD9">
        <w:rPr>
          <w:lang w:val="fr-FR"/>
        </w:rPr>
        <w:t> </w:t>
      </w:r>
      <w:r w:rsidRPr="003E17BB">
        <w:rPr>
          <w:lang w:val="fr-FR"/>
        </w:rPr>
        <w:t>;</w:t>
      </w:r>
    </w:p>
    <w:p w:rsidR="003E17BB" w:rsidRPr="003E17BB" w:rsidRDefault="003E17BB" w:rsidP="00051543">
      <w:pPr>
        <w:pStyle w:val="SingleTxtG"/>
        <w:rPr>
          <w:lang w:val="fr-FR"/>
        </w:rPr>
      </w:pPr>
      <w:proofErr w:type="gramStart"/>
      <w:r w:rsidRPr="003E17BB">
        <w:rPr>
          <w:lang w:val="fr-FR"/>
        </w:rPr>
        <w:lastRenderedPageBreak/>
        <w:t>w</w:t>
      </w:r>
      <w:proofErr w:type="gramEnd"/>
      <w:r w:rsidRPr="003E17BB">
        <w:rPr>
          <w:lang w:val="fr-FR"/>
        </w:rPr>
        <w:t>(i)</w:t>
      </w:r>
      <w:r w:rsidRPr="003E17BB">
        <w:rPr>
          <w:lang w:val="fr-FR"/>
        </w:rPr>
        <w:tab/>
        <w:t>=</w:t>
      </w:r>
      <w:r w:rsidRPr="003E17BB">
        <w:rPr>
          <w:lang w:val="fr-FR"/>
        </w:rPr>
        <w:tab/>
      </w:r>
      <w:r w:rsidRPr="003E17BB">
        <w:rPr>
          <w:lang w:val="fr-FR"/>
        </w:rPr>
        <w:tab/>
        <w:t>fraction en masse du composant i dans le produit</w:t>
      </w:r>
      <w:r w:rsidR="00040CD9">
        <w:rPr>
          <w:lang w:val="fr-FR"/>
        </w:rPr>
        <w:t> </w:t>
      </w:r>
      <w:r w:rsidRPr="003E17BB">
        <w:rPr>
          <w:lang w:val="fr-FR"/>
        </w:rPr>
        <w:t>;</w:t>
      </w:r>
    </w:p>
    <w:p w:rsidR="003E17BB" w:rsidRPr="003E17BB" w:rsidRDefault="00040CD9" w:rsidP="00051543">
      <w:pPr>
        <w:pStyle w:val="SingleTxtG"/>
        <w:rPr>
          <w:lang w:val="fr-FR"/>
        </w:rPr>
      </w:pPr>
      <w:proofErr w:type="gramStart"/>
      <w:r>
        <w:rPr>
          <w:lang w:val="fr-FR"/>
        </w:rPr>
        <w:t>n</w:t>
      </w:r>
      <w:proofErr w:type="gramEnd"/>
      <w:r>
        <w:rPr>
          <w:lang w:val="fr-FR"/>
        </w:rPr>
        <w:tab/>
        <w:t>=</w:t>
      </w:r>
      <w:r>
        <w:rPr>
          <w:lang w:val="fr-FR"/>
        </w:rPr>
        <w:tab/>
      </w:r>
      <w:r>
        <w:rPr>
          <w:lang w:val="fr-FR"/>
        </w:rPr>
        <w:tab/>
      </w:r>
      <w:r w:rsidR="003E17BB" w:rsidRPr="003E17BB">
        <w:rPr>
          <w:lang w:val="fr-FR"/>
        </w:rPr>
        <w:t>nombre total de composants du produit.</w:t>
      </w:r>
    </w:p>
    <w:p w:rsidR="003E17BB" w:rsidRPr="003E17BB" w:rsidRDefault="003E17BB" w:rsidP="00051543">
      <w:pPr>
        <w:pStyle w:val="SingleTxtG"/>
        <w:rPr>
          <w:lang w:val="fr-FR"/>
        </w:rPr>
      </w:pPr>
      <w:r w:rsidRPr="003E17BB">
        <w:rPr>
          <w:lang w:val="fr-FR"/>
        </w:rPr>
        <w:t>Les valeurs de chaleur de combustion, qui sont exprimées en kilojoules par gramme (kJ/g), peuvent être tirées de la littérature, ou calculées ou déterminées par des épreuves (voir les normes ASTM D 240 et NFPA 30B). Il convient de noter que les chaleurs de combustion mesurées expérimentalement diffèrent le plus souvent des valeurs théoriques correspondantes car le rendement de la combustion est en général inférieur à 100</w:t>
      </w:r>
      <w:r w:rsidR="00040CD9">
        <w:rPr>
          <w:lang w:val="fr-FR"/>
        </w:rPr>
        <w:t> </w:t>
      </w:r>
      <w:r w:rsidRPr="003E17BB">
        <w:rPr>
          <w:lang w:val="fr-FR"/>
        </w:rPr>
        <w:t>% (ce rendement est l</w:t>
      </w:r>
      <w:r w:rsidR="007D1A87">
        <w:rPr>
          <w:lang w:val="fr-FR"/>
        </w:rPr>
        <w:t>e plus souvent de l’ordre de 95 </w:t>
      </w:r>
      <w:r w:rsidRPr="003E17BB">
        <w:rPr>
          <w:lang w:val="fr-FR"/>
        </w:rPr>
        <w:t>%).”.</w:t>
      </w:r>
    </w:p>
    <w:p w:rsidR="00446FE5" w:rsidRPr="003E17BB" w:rsidRDefault="003E17BB" w:rsidP="003E17BB">
      <w:pPr>
        <w:pStyle w:val="SingleTxtG"/>
        <w:spacing w:before="240" w:after="0"/>
        <w:jc w:val="center"/>
        <w:rPr>
          <w:u w:val="single"/>
        </w:rPr>
      </w:pPr>
      <w:r>
        <w:rPr>
          <w:u w:val="single"/>
        </w:rPr>
        <w:tab/>
      </w:r>
      <w:r>
        <w:rPr>
          <w:u w:val="single"/>
        </w:rPr>
        <w:tab/>
      </w:r>
      <w:r>
        <w:rPr>
          <w:u w:val="single"/>
        </w:rPr>
        <w:tab/>
      </w:r>
    </w:p>
    <w:sectPr w:rsidR="00446FE5" w:rsidRPr="003E17BB" w:rsidSect="003E17B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ECE" w:rsidRDefault="008C6ECE" w:rsidP="00F95C08">
      <w:pPr>
        <w:spacing w:line="240" w:lineRule="auto"/>
      </w:pPr>
    </w:p>
  </w:endnote>
  <w:endnote w:type="continuationSeparator" w:id="0">
    <w:p w:rsidR="008C6ECE" w:rsidRPr="00AC3823" w:rsidRDefault="008C6ECE" w:rsidP="00AC3823">
      <w:pPr>
        <w:pStyle w:val="Footer"/>
      </w:pPr>
    </w:p>
  </w:endnote>
  <w:endnote w:type="continuationNotice" w:id="1">
    <w:p w:rsidR="008C6ECE" w:rsidRDefault="008C6E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7BB" w:rsidRPr="003E17BB" w:rsidRDefault="003E17BB" w:rsidP="003E17BB">
    <w:pPr>
      <w:pStyle w:val="Footer"/>
      <w:tabs>
        <w:tab w:val="right" w:pos="9638"/>
      </w:tabs>
    </w:pPr>
    <w:r w:rsidRPr="003E17BB">
      <w:rPr>
        <w:b/>
        <w:sz w:val="18"/>
      </w:rPr>
      <w:fldChar w:fldCharType="begin"/>
    </w:r>
    <w:r w:rsidRPr="003E17BB">
      <w:rPr>
        <w:b/>
        <w:sz w:val="18"/>
      </w:rPr>
      <w:instrText xml:space="preserve"> PAGE  \* MERGEFORMAT </w:instrText>
    </w:r>
    <w:r w:rsidRPr="003E17BB">
      <w:rPr>
        <w:b/>
        <w:sz w:val="18"/>
      </w:rPr>
      <w:fldChar w:fldCharType="separate"/>
    </w:r>
    <w:r w:rsidR="0063656F">
      <w:rPr>
        <w:b/>
        <w:noProof/>
        <w:sz w:val="18"/>
      </w:rPr>
      <w:t>2</w:t>
    </w:r>
    <w:r w:rsidRPr="003E17BB">
      <w:rPr>
        <w:b/>
        <w:sz w:val="18"/>
      </w:rPr>
      <w:fldChar w:fldCharType="end"/>
    </w:r>
    <w:r>
      <w:rPr>
        <w:b/>
        <w:sz w:val="18"/>
      </w:rPr>
      <w:tab/>
    </w:r>
    <w:r>
      <w:t>GE.18-06240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7BB" w:rsidRPr="003E17BB" w:rsidRDefault="003E17BB" w:rsidP="003E17BB">
    <w:pPr>
      <w:pStyle w:val="Footer"/>
      <w:tabs>
        <w:tab w:val="right" w:pos="9638"/>
      </w:tabs>
      <w:rPr>
        <w:b/>
        <w:sz w:val="18"/>
      </w:rPr>
    </w:pPr>
    <w:r>
      <w:t>GE.18-06240</w:t>
    </w:r>
    <w:r>
      <w:tab/>
    </w:r>
    <w:r w:rsidRPr="003E17BB">
      <w:rPr>
        <w:b/>
        <w:sz w:val="18"/>
      </w:rPr>
      <w:fldChar w:fldCharType="begin"/>
    </w:r>
    <w:r w:rsidRPr="003E17BB">
      <w:rPr>
        <w:b/>
        <w:sz w:val="18"/>
      </w:rPr>
      <w:instrText xml:space="preserve"> PAGE  \* MERGEFORMAT </w:instrText>
    </w:r>
    <w:r w:rsidRPr="003E17BB">
      <w:rPr>
        <w:b/>
        <w:sz w:val="18"/>
      </w:rPr>
      <w:fldChar w:fldCharType="separate"/>
    </w:r>
    <w:r w:rsidR="0063656F">
      <w:rPr>
        <w:b/>
        <w:noProof/>
        <w:sz w:val="18"/>
      </w:rPr>
      <w:t>3</w:t>
    </w:r>
    <w:r w:rsidRPr="003E17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3E17BB" w:rsidRDefault="003E17BB" w:rsidP="003E17BB">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06240  (</w:t>
    </w:r>
    <w:proofErr w:type="gramEnd"/>
    <w:r>
      <w:rPr>
        <w:sz w:val="20"/>
      </w:rPr>
      <w:t>F)</w:t>
    </w:r>
    <w:r w:rsidR="00051543">
      <w:rPr>
        <w:sz w:val="20"/>
      </w:rPr>
      <w:t xml:space="preserve">    020518    180518</w:t>
    </w:r>
    <w:r>
      <w:rPr>
        <w:sz w:val="20"/>
      </w:rPr>
      <w:br/>
    </w:r>
    <w:r w:rsidRPr="003E17BB">
      <w:rPr>
        <w:rFonts w:ascii="C39T30Lfz" w:hAnsi="C39T30Lfz"/>
        <w:sz w:val="56"/>
      </w:rPr>
      <w:t></w:t>
    </w:r>
    <w:r w:rsidRPr="003E17BB">
      <w:rPr>
        <w:rFonts w:ascii="C39T30Lfz" w:hAnsi="C39T30Lfz"/>
        <w:sz w:val="56"/>
      </w:rPr>
      <w:t></w:t>
    </w:r>
    <w:r w:rsidRPr="003E17BB">
      <w:rPr>
        <w:rFonts w:ascii="C39T30Lfz" w:hAnsi="C39T30Lfz"/>
        <w:sz w:val="56"/>
      </w:rPr>
      <w:t></w:t>
    </w:r>
    <w:r w:rsidRPr="003E17BB">
      <w:rPr>
        <w:rFonts w:ascii="C39T30Lfz" w:hAnsi="C39T30Lfz"/>
        <w:sz w:val="56"/>
      </w:rPr>
      <w:t></w:t>
    </w:r>
    <w:r w:rsidRPr="003E17BB">
      <w:rPr>
        <w:rFonts w:ascii="C39T30Lfz" w:hAnsi="C39T30Lfz"/>
        <w:sz w:val="56"/>
      </w:rPr>
      <w:t></w:t>
    </w:r>
    <w:r w:rsidRPr="003E17BB">
      <w:rPr>
        <w:rFonts w:ascii="C39T30Lfz" w:hAnsi="C39T30Lfz"/>
        <w:sz w:val="56"/>
      </w:rPr>
      <w:t></w:t>
    </w:r>
    <w:r w:rsidRPr="003E17BB">
      <w:rPr>
        <w:rFonts w:ascii="C39T30Lfz" w:hAnsi="C39T30Lfz"/>
        <w:sz w:val="56"/>
      </w:rPr>
      <w:t></w:t>
    </w:r>
    <w:r w:rsidRPr="003E17BB">
      <w:rPr>
        <w:rFonts w:ascii="C39T30Lfz" w:hAnsi="C39T30Lfz"/>
        <w:sz w:val="56"/>
      </w:rPr>
      <w:t></w:t>
    </w:r>
    <w:r w:rsidRPr="003E17B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2018/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2018/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ECE" w:rsidRPr="00AC3823" w:rsidRDefault="008C6ECE" w:rsidP="00AC3823">
      <w:pPr>
        <w:pStyle w:val="Footer"/>
        <w:tabs>
          <w:tab w:val="right" w:pos="2155"/>
        </w:tabs>
        <w:spacing w:after="80" w:line="240" w:lineRule="atLeast"/>
        <w:ind w:left="680"/>
        <w:rPr>
          <w:u w:val="single"/>
        </w:rPr>
      </w:pPr>
      <w:r>
        <w:rPr>
          <w:u w:val="single"/>
        </w:rPr>
        <w:tab/>
      </w:r>
    </w:p>
  </w:footnote>
  <w:footnote w:type="continuationSeparator" w:id="0">
    <w:p w:rsidR="008C6ECE" w:rsidRPr="00AC3823" w:rsidRDefault="008C6ECE" w:rsidP="00AC3823">
      <w:pPr>
        <w:pStyle w:val="Footer"/>
        <w:tabs>
          <w:tab w:val="right" w:pos="2155"/>
        </w:tabs>
        <w:spacing w:after="80" w:line="240" w:lineRule="atLeast"/>
        <w:ind w:left="680"/>
        <w:rPr>
          <w:u w:val="single"/>
        </w:rPr>
      </w:pPr>
      <w:r>
        <w:rPr>
          <w:u w:val="single"/>
        </w:rPr>
        <w:tab/>
      </w:r>
    </w:p>
  </w:footnote>
  <w:footnote w:type="continuationNotice" w:id="1">
    <w:p w:rsidR="008C6ECE" w:rsidRPr="00AC3823" w:rsidRDefault="008C6ECE">
      <w:pPr>
        <w:spacing w:line="240" w:lineRule="auto"/>
        <w:rPr>
          <w:sz w:val="2"/>
          <w:szCs w:val="2"/>
        </w:rPr>
      </w:pPr>
    </w:p>
  </w:footnote>
  <w:footnote w:id="2">
    <w:p w:rsidR="003E17BB" w:rsidRPr="00F860FD" w:rsidRDefault="00051543" w:rsidP="00051543">
      <w:pPr>
        <w:pStyle w:val="FootnoteText"/>
      </w:pPr>
      <w:r>
        <w:rPr>
          <w:lang w:val="fr-FR"/>
        </w:rPr>
        <w:tab/>
      </w:r>
      <w:r w:rsidR="003E17BB" w:rsidRPr="00051543">
        <w:rPr>
          <w:rStyle w:val="FootnoteReference"/>
          <w:vertAlign w:val="baseline"/>
          <w:lang w:val="fr-FR"/>
        </w:rPr>
        <w:t>*</w:t>
      </w:r>
      <w:r>
        <w:rPr>
          <w:lang w:val="fr-FR"/>
        </w:rPr>
        <w:t xml:space="preserve"> </w:t>
      </w:r>
      <w:r>
        <w:rPr>
          <w:lang w:val="fr-FR"/>
        </w:rPr>
        <w:tab/>
      </w:r>
      <w:r w:rsidR="003E17BB" w:rsidRPr="000912C3">
        <w:rPr>
          <w:lang w:val="fr-FR"/>
        </w:rPr>
        <w:t>Conformément au programme de travail du Sous-Comité pour la période 2017-2018, approuvé par le Comité à sa huitième session (</w:t>
      </w:r>
      <w:r w:rsidR="003E17BB">
        <w:rPr>
          <w:lang w:val="fr-FR"/>
        </w:rPr>
        <w:t>voir</w:t>
      </w:r>
      <w:r w:rsidR="003E17BB" w:rsidRPr="000912C3">
        <w:rPr>
          <w:lang w:val="fr-FR"/>
        </w:rPr>
        <w:t xml:space="preserve"> ST/SG/AC.10/C.3/100, par</w:t>
      </w:r>
      <w:r w:rsidR="003E17BB">
        <w:rPr>
          <w:lang w:val="fr-FR"/>
        </w:rPr>
        <w:t>.</w:t>
      </w:r>
      <w:r w:rsidR="007D1A87">
        <w:rPr>
          <w:lang w:val="fr-FR"/>
        </w:rPr>
        <w:t> </w:t>
      </w:r>
      <w:r w:rsidR="003E17BB" w:rsidRPr="000912C3">
        <w:rPr>
          <w:lang w:val="fr-FR"/>
        </w:rPr>
        <w:t>98</w:t>
      </w:r>
      <w:r w:rsidR="003E17BB">
        <w:rPr>
          <w:lang w:val="fr-FR"/>
        </w:rPr>
        <w:t>, et</w:t>
      </w:r>
      <w:r w:rsidR="003E17BB" w:rsidRPr="000912C3">
        <w:rPr>
          <w:lang w:val="fr-FR"/>
        </w:rPr>
        <w:t xml:space="preserve"> ST/SG/AC.10/44, par. 14</w:t>
      </w:r>
      <w:r w:rsidR="003E17BB" w:rsidRPr="00CC3AB1">
        <w:rPr>
          <w:lang w:val="fr-FR"/>
        </w:rPr>
        <w:t>)</w:t>
      </w:r>
      <w:r w:rsidR="003E17BB" w:rsidRPr="00CC3AB1">
        <w:rPr>
          <w:color w:val="000000"/>
          <w:lang w:val="fr-FR"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7BB" w:rsidRPr="003E17BB" w:rsidRDefault="00E1704D">
    <w:pPr>
      <w:pStyle w:val="Header"/>
    </w:pPr>
    <w:fldSimple w:instr=" TITLE  \* MERGEFORMAT ">
      <w:r w:rsidR="0063656F">
        <w:t>ST/SG/AC.10/C.4/2018/12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7BB" w:rsidRPr="003E17BB" w:rsidRDefault="00E1704D" w:rsidP="003E17BB">
    <w:pPr>
      <w:pStyle w:val="Header"/>
      <w:jc w:val="right"/>
    </w:pPr>
    <w:fldSimple w:instr=" TITLE  \* MERGEFORMAT ">
      <w:r w:rsidR="0063656F">
        <w:t>ST/SG/AC.10/C.4/2018/12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CE"/>
    <w:rsid w:val="00017F94"/>
    <w:rsid w:val="00023842"/>
    <w:rsid w:val="000305D3"/>
    <w:rsid w:val="000334F9"/>
    <w:rsid w:val="00040CD9"/>
    <w:rsid w:val="00051543"/>
    <w:rsid w:val="0007796D"/>
    <w:rsid w:val="000B7790"/>
    <w:rsid w:val="00111F2F"/>
    <w:rsid w:val="00132EA9"/>
    <w:rsid w:val="0014365E"/>
    <w:rsid w:val="00176178"/>
    <w:rsid w:val="001F525A"/>
    <w:rsid w:val="00223272"/>
    <w:rsid w:val="0024779E"/>
    <w:rsid w:val="00283190"/>
    <w:rsid w:val="002832AC"/>
    <w:rsid w:val="002D7C93"/>
    <w:rsid w:val="00305C89"/>
    <w:rsid w:val="003E17BB"/>
    <w:rsid w:val="00441C3B"/>
    <w:rsid w:val="00446FE5"/>
    <w:rsid w:val="00452396"/>
    <w:rsid w:val="004E468C"/>
    <w:rsid w:val="005505B7"/>
    <w:rsid w:val="00573BE5"/>
    <w:rsid w:val="00584DC4"/>
    <w:rsid w:val="00586ED3"/>
    <w:rsid w:val="00596AA9"/>
    <w:rsid w:val="005D5649"/>
    <w:rsid w:val="0063656F"/>
    <w:rsid w:val="0068456F"/>
    <w:rsid w:val="0071601D"/>
    <w:rsid w:val="007A62E6"/>
    <w:rsid w:val="007D1A87"/>
    <w:rsid w:val="0080684C"/>
    <w:rsid w:val="008564A6"/>
    <w:rsid w:val="00871C75"/>
    <w:rsid w:val="008776DC"/>
    <w:rsid w:val="008B40CD"/>
    <w:rsid w:val="008C6ECE"/>
    <w:rsid w:val="009705C8"/>
    <w:rsid w:val="009C1CF4"/>
    <w:rsid w:val="00A30353"/>
    <w:rsid w:val="00AC3823"/>
    <w:rsid w:val="00AE323C"/>
    <w:rsid w:val="00B00181"/>
    <w:rsid w:val="00B00B0D"/>
    <w:rsid w:val="00B765F7"/>
    <w:rsid w:val="00BA0CA9"/>
    <w:rsid w:val="00C02897"/>
    <w:rsid w:val="00D3439C"/>
    <w:rsid w:val="00DB1831"/>
    <w:rsid w:val="00DC4899"/>
    <w:rsid w:val="00DD3BFD"/>
    <w:rsid w:val="00DF6678"/>
    <w:rsid w:val="00E016EC"/>
    <w:rsid w:val="00E03287"/>
    <w:rsid w:val="00E1704D"/>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60ECBC7-9590-412A-8A54-D96FD351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4589</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ST/SG/AC.10/C.4/2018/12</vt:lpstr>
      <vt:lpstr>ST/SG/AC.10/C.4/2018/12</vt:lpstr>
    </vt:vector>
  </TitlesOfParts>
  <Company>DCM</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ST/SG/AC.10/C.4/2018/12</dc:title>
  <dc:subject/>
  <dc:creator>Annie BEAUNEE</dc:creator>
  <cp:keywords/>
  <cp:lastModifiedBy>Laurence Berthet</cp:lastModifiedBy>
  <cp:revision>3</cp:revision>
  <cp:lastPrinted>2018-05-18T14:15:00Z</cp:lastPrinted>
  <dcterms:created xsi:type="dcterms:W3CDTF">2018-05-18T14:15:00Z</dcterms:created>
  <dcterms:modified xsi:type="dcterms:W3CDTF">2018-05-18T14:15:00Z</dcterms:modified>
</cp:coreProperties>
</file>