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F0592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F05922" w:rsidP="00F05922">
            <w:pPr>
              <w:jc w:val="right"/>
            </w:pPr>
            <w:r w:rsidRPr="00F05922">
              <w:rPr>
                <w:sz w:val="40"/>
              </w:rPr>
              <w:t>ST</w:t>
            </w:r>
            <w:r>
              <w:t>/SG/AC.10/C.4/2018/32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F05922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F05922" w:rsidRDefault="00F05922" w:rsidP="00F05922">
            <w:pPr>
              <w:spacing w:line="240" w:lineRule="exact"/>
            </w:pPr>
            <w:r>
              <w:t>21 septembre 2018</w:t>
            </w:r>
          </w:p>
          <w:p w:rsidR="00F05922" w:rsidRDefault="00F05922" w:rsidP="00F05922">
            <w:pPr>
              <w:spacing w:line="240" w:lineRule="exact"/>
            </w:pPr>
            <w:r>
              <w:t>Français</w:t>
            </w:r>
          </w:p>
          <w:p w:rsidR="00F05922" w:rsidRPr="00DB58B5" w:rsidRDefault="00F05922" w:rsidP="00F05922">
            <w:pPr>
              <w:spacing w:line="240" w:lineRule="exact"/>
            </w:pPr>
            <w:r>
              <w:t>Original</w:t>
            </w:r>
            <w:r w:rsidR="005353F9">
              <w:t> :</w:t>
            </w:r>
            <w:r>
              <w:t xml:space="preserve"> anglais</w:t>
            </w:r>
          </w:p>
        </w:tc>
      </w:tr>
    </w:tbl>
    <w:p w:rsidR="00F05922" w:rsidRPr="00CA0680" w:rsidRDefault="00F05922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 w:rsidR="00535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 w:rsidR="00535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F05922" w:rsidRPr="00CA0680" w:rsidRDefault="00F05922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 xml:space="preserve">Comité d’experts </w:t>
      </w:r>
      <w:r>
        <w:rPr>
          <w:b/>
        </w:rPr>
        <w:t>du Système général harmonisé</w:t>
      </w:r>
      <w:r w:rsidR="005353F9">
        <w:rPr>
          <w:b/>
        </w:rPr>
        <w:t xml:space="preserve"> </w:t>
      </w:r>
      <w:r>
        <w:rPr>
          <w:b/>
        </w:rPr>
        <w:br/>
        <w:t>de classification et d’étiquetage des produits chimiques</w:t>
      </w:r>
    </w:p>
    <w:p w:rsidR="00F05922" w:rsidRDefault="00EA2493" w:rsidP="000305D3">
      <w:pPr>
        <w:spacing w:before="120"/>
        <w:rPr>
          <w:b/>
        </w:rPr>
      </w:pPr>
      <w:r w:rsidRPr="00F05922">
        <w:rPr>
          <w:b/>
          <w:lang w:val="fr-FR"/>
        </w:rPr>
        <w:t xml:space="preserve">Trente-sixième </w:t>
      </w:r>
      <w:r w:rsidR="00F05922" w:rsidRPr="00CA0680">
        <w:rPr>
          <w:b/>
        </w:rPr>
        <w:t>session</w:t>
      </w:r>
    </w:p>
    <w:p w:rsidR="00F05922" w:rsidRDefault="00F05922" w:rsidP="000305D3">
      <w:r>
        <w:t xml:space="preserve">Genève, </w:t>
      </w:r>
      <w:r w:rsidR="00EA2493" w:rsidRPr="00F05922">
        <w:rPr>
          <w:lang w:val="fr-FR"/>
        </w:rPr>
        <w:t>5-7 décembre 2018</w:t>
      </w:r>
    </w:p>
    <w:p w:rsidR="00F05922" w:rsidRDefault="00F05922" w:rsidP="000305D3">
      <w:r>
        <w:t xml:space="preserve">Point </w:t>
      </w:r>
      <w:r w:rsidR="00EA2493" w:rsidRPr="00F05922">
        <w:rPr>
          <w:lang w:val="fr-FR"/>
        </w:rPr>
        <w:t>4 b)</w:t>
      </w:r>
      <w:r>
        <w:t xml:space="preserve"> de l’ordre du jour provisoire</w:t>
      </w:r>
    </w:p>
    <w:p w:rsidR="00F05922" w:rsidRPr="00F05922" w:rsidRDefault="00EA2493" w:rsidP="00AC3823">
      <w:pPr>
        <w:rPr>
          <w:b/>
        </w:rPr>
      </w:pPr>
      <w:r w:rsidRPr="00F05922">
        <w:rPr>
          <w:b/>
          <w:lang w:val="fr-FR"/>
        </w:rPr>
        <w:t>Questions relatives à la communication des dangers</w:t>
      </w:r>
      <w:r w:rsidR="005353F9">
        <w:rPr>
          <w:b/>
          <w:lang w:val="fr-FR"/>
        </w:rPr>
        <w:t> :</w:t>
      </w:r>
      <w:r w:rsidRPr="00F05922">
        <w:rPr>
          <w:b/>
          <w:lang w:val="fr-FR"/>
        </w:rPr>
        <w:t xml:space="preserve"> </w:t>
      </w:r>
      <w:r w:rsidR="00F05922">
        <w:rPr>
          <w:b/>
          <w:lang w:val="fr-FR"/>
        </w:rPr>
        <w:br/>
      </w:r>
      <w:r w:rsidRPr="00F05922">
        <w:rPr>
          <w:b/>
          <w:lang w:val="fr-FR"/>
        </w:rPr>
        <w:t xml:space="preserve">Amélioration des annexes 1 à 3 et poursuite </w:t>
      </w:r>
      <w:r w:rsidR="00F05922">
        <w:rPr>
          <w:b/>
          <w:lang w:val="fr-FR"/>
        </w:rPr>
        <w:br/>
      </w:r>
      <w:r w:rsidRPr="00F05922">
        <w:rPr>
          <w:b/>
          <w:lang w:val="fr-FR"/>
        </w:rPr>
        <w:t>de la rationalisation des conseils de prudence</w:t>
      </w:r>
    </w:p>
    <w:p w:rsidR="0064045E" w:rsidRPr="00F05922" w:rsidRDefault="00EA2493" w:rsidP="00EC4EBF">
      <w:pPr>
        <w:pStyle w:val="HChG"/>
        <w:spacing w:before="320" w:after="200" w:line="280" w:lineRule="exact"/>
      </w:pPr>
      <w:r w:rsidRPr="00F05922">
        <w:rPr>
          <w:lang w:val="fr-FR"/>
        </w:rPr>
        <w:tab/>
      </w:r>
      <w:r w:rsidRPr="00F05922">
        <w:rPr>
          <w:lang w:val="fr-FR"/>
        </w:rPr>
        <w:tab/>
        <w:t>Proposition d’amendements aux sections 2 à 4 de l’annexe 3</w:t>
      </w:r>
    </w:p>
    <w:p w:rsidR="0064045E" w:rsidRPr="00F05922" w:rsidRDefault="00EA2493" w:rsidP="00EC4EBF">
      <w:pPr>
        <w:pStyle w:val="H1G"/>
        <w:spacing w:before="320" w:after="200" w:line="260" w:lineRule="exact"/>
      </w:pPr>
      <w:r w:rsidRPr="00F05922">
        <w:rPr>
          <w:lang w:val="fr-FR"/>
        </w:rPr>
        <w:tab/>
      </w:r>
      <w:r w:rsidRPr="00F05922">
        <w:rPr>
          <w:lang w:val="fr-FR"/>
        </w:rPr>
        <w:tab/>
        <w:t>Communication de</w:t>
      </w:r>
      <w:r w:rsidRPr="00F05922">
        <w:rPr>
          <w:lang w:val="fr-FR"/>
        </w:rPr>
        <w:t xml:space="preserve"> l’expert du Royaume-Uni au nom du groupe </w:t>
      </w:r>
      <w:r w:rsidR="00EC4EBF">
        <w:rPr>
          <w:lang w:val="fr-FR"/>
        </w:rPr>
        <w:br/>
      </w:r>
      <w:r w:rsidRPr="00F05922">
        <w:rPr>
          <w:lang w:val="fr-FR"/>
        </w:rPr>
        <w:t>de travail informel par correspondance chargé de l</w:t>
      </w:r>
      <w:r w:rsidR="005353F9">
        <w:rPr>
          <w:lang w:val="fr-FR"/>
        </w:rPr>
        <w:t>’</w:t>
      </w:r>
      <w:r w:rsidRPr="00F05922">
        <w:rPr>
          <w:lang w:val="fr-FR"/>
        </w:rPr>
        <w:t xml:space="preserve">amélioration </w:t>
      </w:r>
      <w:r w:rsidR="00EC4EBF">
        <w:rPr>
          <w:lang w:val="fr-FR"/>
        </w:rPr>
        <w:br/>
      </w:r>
      <w:r w:rsidRPr="00F05922">
        <w:rPr>
          <w:lang w:val="fr-FR"/>
        </w:rPr>
        <w:t>des annexes 1, 2 et 3 du SGH</w:t>
      </w:r>
      <w:r w:rsidR="005353F9" w:rsidRPr="005353F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353F9" w:rsidRDefault="00EA2493" w:rsidP="00EC4EBF">
      <w:pPr>
        <w:pStyle w:val="HChG"/>
        <w:spacing w:before="320" w:after="200" w:line="280" w:lineRule="exact"/>
        <w:rPr>
          <w:lang w:val="fr-FR"/>
        </w:rPr>
      </w:pPr>
      <w:r w:rsidRPr="00F05922">
        <w:rPr>
          <w:lang w:val="fr-FR"/>
        </w:rPr>
        <w:tab/>
      </w:r>
      <w:r w:rsidRPr="00F05922">
        <w:rPr>
          <w:lang w:val="fr-FR"/>
        </w:rPr>
        <w:tab/>
        <w:t>Historique</w:t>
      </w:r>
    </w:p>
    <w:p w:rsidR="005353F9" w:rsidRDefault="00EA2493" w:rsidP="00EC4EBF">
      <w:pPr>
        <w:pStyle w:val="SingleTxtG"/>
        <w:spacing w:after="100" w:line="234" w:lineRule="exact"/>
        <w:rPr>
          <w:lang w:val="fr-FR"/>
        </w:rPr>
      </w:pPr>
      <w:r w:rsidRPr="00F05922">
        <w:rPr>
          <w:lang w:val="fr-FR"/>
        </w:rPr>
        <w:t>1.</w:t>
      </w:r>
      <w:r w:rsidRPr="00F05922">
        <w:rPr>
          <w:lang w:val="fr-FR"/>
        </w:rPr>
        <w:tab/>
        <w:t>Conformément à son mandat pour l’exercice biennal 2017-2018, le groupe de travail informel a poursuivi</w:t>
      </w:r>
      <w:r w:rsidRPr="00F05922">
        <w:rPr>
          <w:lang w:val="fr-FR"/>
        </w:rPr>
        <w:t xml:space="preserve"> ses travaux au titre du point 10 de son plan de travail (document informel INF.12/Rev.1 (trente-deuxième session)), à savoir</w:t>
      </w:r>
      <w:r w:rsidR="005353F9">
        <w:rPr>
          <w:lang w:val="fr-FR"/>
        </w:rPr>
        <w:t> :</w:t>
      </w:r>
      <w:r w:rsidRPr="00F05922">
        <w:rPr>
          <w:lang w:val="fr-FR"/>
        </w:rPr>
        <w:t xml:space="preserve"> </w:t>
      </w:r>
      <w:r w:rsidR="005353F9">
        <w:rPr>
          <w:lang w:val="fr-FR"/>
        </w:rPr>
        <w:t>« </w:t>
      </w:r>
      <w:r w:rsidRPr="00F05922">
        <w:rPr>
          <w:lang w:val="fr-FR"/>
        </w:rPr>
        <w:t>passer en revue le texte figurant avant les tableaux de la section 2 et les tableaux de la section 3, et réfléchir à l</w:t>
      </w:r>
      <w:r w:rsidR="005353F9">
        <w:rPr>
          <w:lang w:val="fr-FR"/>
        </w:rPr>
        <w:t>’</w:t>
      </w:r>
      <w:r w:rsidRPr="00F05922">
        <w:rPr>
          <w:lang w:val="fr-FR"/>
        </w:rPr>
        <w:t>opportu</w:t>
      </w:r>
      <w:r w:rsidRPr="00F05922">
        <w:rPr>
          <w:lang w:val="fr-FR"/>
        </w:rPr>
        <w:t>nité de regrouper les sections afin de réunir toutes les indications sur la façon de sélectionner et d</w:t>
      </w:r>
      <w:r w:rsidR="005353F9">
        <w:rPr>
          <w:lang w:val="fr-FR"/>
        </w:rPr>
        <w:t>’</w:t>
      </w:r>
      <w:r w:rsidRPr="00F05922">
        <w:rPr>
          <w:lang w:val="fr-FR"/>
        </w:rPr>
        <w:t>utiliser les conseils de prudence en un même endroit et de supprimer les doublons ». Le présent document donne connaissance des résultats de ces travaux.</w:t>
      </w:r>
    </w:p>
    <w:p w:rsidR="005353F9" w:rsidRDefault="00EA2493" w:rsidP="00EC4EBF">
      <w:pPr>
        <w:pStyle w:val="HChG"/>
        <w:spacing w:before="320" w:after="200" w:line="280" w:lineRule="exact"/>
        <w:rPr>
          <w:lang w:val="fr-FR"/>
        </w:rPr>
      </w:pPr>
      <w:r w:rsidRPr="00F05922">
        <w:rPr>
          <w:lang w:val="fr-FR"/>
        </w:rPr>
        <w:tab/>
      </w:r>
      <w:r w:rsidRPr="00F05922">
        <w:rPr>
          <w:lang w:val="fr-FR"/>
        </w:rPr>
        <w:tab/>
        <w:t>Examen</w:t>
      </w:r>
    </w:p>
    <w:p w:rsidR="005353F9" w:rsidRDefault="00EA2493" w:rsidP="00EC4EBF">
      <w:pPr>
        <w:pStyle w:val="SingleTxtG"/>
        <w:spacing w:after="100" w:line="234" w:lineRule="exact"/>
        <w:rPr>
          <w:lang w:val="fr-FR"/>
        </w:rPr>
      </w:pPr>
      <w:r w:rsidRPr="00F05922">
        <w:rPr>
          <w:lang w:val="fr-FR"/>
        </w:rPr>
        <w:t>2.</w:t>
      </w:r>
      <w:r w:rsidRPr="00F05922">
        <w:rPr>
          <w:lang w:val="fr-FR"/>
        </w:rPr>
        <w:tab/>
        <w:t>Dans le cadre de ses travaux sur les sections 2 et 3 de l’annexe 3, le groupe de travail a également examiné le titre de la section 4 par souci d’exhaustivité et de cohérence.</w:t>
      </w:r>
    </w:p>
    <w:p w:rsidR="005353F9" w:rsidRDefault="00EA2493" w:rsidP="00EC4EBF">
      <w:pPr>
        <w:pStyle w:val="SingleTxtG"/>
        <w:spacing w:after="100" w:line="234" w:lineRule="exact"/>
        <w:rPr>
          <w:lang w:val="fr-FR"/>
        </w:rPr>
      </w:pPr>
      <w:r w:rsidRPr="00F05922">
        <w:rPr>
          <w:lang w:val="fr-FR"/>
        </w:rPr>
        <w:t>3.</w:t>
      </w:r>
      <w:r w:rsidRPr="00F05922">
        <w:rPr>
          <w:lang w:val="fr-FR"/>
        </w:rPr>
        <w:tab/>
        <w:t>La version révisée de la section 2 regroupe les sous-sections A3</w:t>
      </w:r>
      <w:r w:rsidRPr="00F05922">
        <w:rPr>
          <w:lang w:val="fr-FR"/>
        </w:rPr>
        <w:t>.2.1, A3.2.2, A3.2.3, A3.3.1, A3.3.2 et A3.3.3.</w:t>
      </w:r>
    </w:p>
    <w:p w:rsidR="005353F9" w:rsidRPr="00EC4EBF" w:rsidRDefault="00EA2493" w:rsidP="00EC4EBF">
      <w:pPr>
        <w:pStyle w:val="SingleTxtG"/>
        <w:spacing w:after="100" w:line="234" w:lineRule="exact"/>
        <w:rPr>
          <w:spacing w:val="-2"/>
          <w:lang w:val="fr-FR"/>
        </w:rPr>
      </w:pPr>
      <w:r w:rsidRPr="00EC4EBF">
        <w:rPr>
          <w:spacing w:val="-2"/>
          <w:lang w:val="fr-FR"/>
        </w:rPr>
        <w:t>4.</w:t>
      </w:r>
      <w:r w:rsidRPr="00EC4EBF">
        <w:rPr>
          <w:spacing w:val="-2"/>
          <w:lang w:val="fr-FR"/>
        </w:rPr>
        <w:tab/>
        <w:t>D’une manière générale, le texte existant a été conservé, avec de légères modifications ou corrections, par exemple dans les sous-sections actuelles A3.3.1.5 et A3.3.2.2.2, et en supprimant les répétitions</w:t>
      </w:r>
      <w:r w:rsidRPr="00EC4EBF">
        <w:rPr>
          <w:spacing w:val="-2"/>
          <w:lang w:val="fr-FR"/>
        </w:rPr>
        <w:t xml:space="preserve">, par exemple dans les sous-sections actuelles A3.2.3.3/A3.3.4.4 et </w:t>
      </w:r>
      <w:r w:rsidRPr="00EC4EBF">
        <w:rPr>
          <w:spacing w:val="-2"/>
          <w:lang w:val="fr-FR"/>
        </w:rPr>
        <w:lastRenderedPageBreak/>
        <w:t>A3.2.3.4/A3.3.4.5. Bien que les tableaux de la section 2 et la série de tableaux de la section 3 restent inchangés, les titres des tableaux de la section 2 ont été modifiés.</w:t>
      </w:r>
    </w:p>
    <w:p w:rsidR="005353F9" w:rsidRDefault="00EA2493" w:rsidP="00356D83">
      <w:pPr>
        <w:pStyle w:val="SingleTxtG"/>
        <w:spacing w:after="100"/>
        <w:rPr>
          <w:lang w:val="fr-FR"/>
        </w:rPr>
      </w:pPr>
      <w:r w:rsidRPr="00F05922">
        <w:rPr>
          <w:lang w:val="fr-FR"/>
        </w:rPr>
        <w:t>5.</w:t>
      </w:r>
      <w:r w:rsidRPr="00F05922">
        <w:rPr>
          <w:lang w:val="fr-FR"/>
        </w:rPr>
        <w:tab/>
        <w:t xml:space="preserve">Le groupe </w:t>
      </w:r>
      <w:r w:rsidRPr="00F05922">
        <w:rPr>
          <w:lang w:val="fr-FR"/>
        </w:rPr>
        <w:t>de travail informel a estimé qu’il serait utile que l’actuelle sous-section A3.3.4 (Tableaux des conseils de prudence par classe/catégorie de danger), à l</w:t>
      </w:r>
      <w:r w:rsidR="005353F9">
        <w:rPr>
          <w:lang w:val="fr-FR"/>
        </w:rPr>
        <w:t>’</w:t>
      </w:r>
      <w:r w:rsidRPr="00F05922">
        <w:rPr>
          <w:lang w:val="fr-FR"/>
        </w:rPr>
        <w:t>exception des passages faisant double emploi (A3.3.4.3 à A3.3.4.5), demeure dans la section 3 avec le</w:t>
      </w:r>
      <w:r w:rsidRPr="00F05922">
        <w:rPr>
          <w:lang w:val="fr-FR"/>
        </w:rPr>
        <w:t>s tableaux en question. Ces tableaux ont pour fonction de donner une vue d</w:t>
      </w:r>
      <w:r w:rsidR="005353F9">
        <w:rPr>
          <w:lang w:val="fr-FR"/>
        </w:rPr>
        <w:t>’</w:t>
      </w:r>
      <w:r w:rsidRPr="00F05922">
        <w:rPr>
          <w:lang w:val="fr-FR"/>
        </w:rPr>
        <w:t>ensemble de la manière dont les différents éléments d’étiquetage tiennent compte des niveaux de gravité dans toutes les classes de danger (voir ST/SG/AC.10/C.4/2016/17). Cette quest</w:t>
      </w:r>
      <w:r w:rsidRPr="00F05922">
        <w:rPr>
          <w:lang w:val="fr-FR"/>
        </w:rPr>
        <w:t>ion va au-delà de l’examen des conseils de prudence eux-mêmes et mérite de faire l</w:t>
      </w:r>
      <w:r w:rsidR="005353F9">
        <w:rPr>
          <w:lang w:val="fr-FR"/>
        </w:rPr>
        <w:t>’</w:t>
      </w:r>
      <w:r w:rsidRPr="00F05922">
        <w:rPr>
          <w:lang w:val="fr-FR"/>
        </w:rPr>
        <w:t>objet d</w:t>
      </w:r>
      <w:r w:rsidR="005353F9">
        <w:rPr>
          <w:lang w:val="fr-FR"/>
        </w:rPr>
        <w:t>’</w:t>
      </w:r>
      <w:r w:rsidRPr="00F05922">
        <w:rPr>
          <w:lang w:val="fr-FR"/>
        </w:rPr>
        <w:t>une section distincte.</w:t>
      </w:r>
    </w:p>
    <w:p w:rsidR="0064045E" w:rsidRPr="00F05922" w:rsidRDefault="00EA2493" w:rsidP="00356D83">
      <w:pPr>
        <w:pStyle w:val="SingleTxtG"/>
        <w:spacing w:after="100"/>
      </w:pPr>
      <w:r w:rsidRPr="00F05922">
        <w:rPr>
          <w:lang w:val="fr-FR"/>
        </w:rPr>
        <w:t>6.</w:t>
      </w:r>
      <w:r w:rsidRPr="00F05922">
        <w:rPr>
          <w:lang w:val="fr-FR"/>
        </w:rPr>
        <w:tab/>
        <w:t>Les avantages de la proposition d’amendements aux sections 2 à 4 de l’annexe 3 sont les suivants</w:t>
      </w:r>
      <w:r w:rsidR="005353F9">
        <w:rPr>
          <w:lang w:val="fr-FR"/>
        </w:rPr>
        <w:t> :</w:t>
      </w:r>
    </w:p>
    <w:p w:rsidR="005353F9" w:rsidRDefault="00EA2493" w:rsidP="00356D83">
      <w:pPr>
        <w:pStyle w:val="SingleTxtG"/>
        <w:spacing w:after="100"/>
        <w:ind w:firstLine="567"/>
        <w:rPr>
          <w:lang w:val="fr-FR"/>
        </w:rPr>
      </w:pPr>
      <w:r w:rsidRPr="00F05922">
        <w:rPr>
          <w:lang w:val="fr-FR"/>
        </w:rPr>
        <w:t>a)</w:t>
      </w:r>
      <w:r w:rsidRPr="00F05922">
        <w:rPr>
          <w:lang w:val="fr-FR"/>
        </w:rPr>
        <w:tab/>
        <w:t>Toutes les informations pertinentes s</w:t>
      </w:r>
      <w:r w:rsidRPr="00F05922">
        <w:rPr>
          <w:lang w:val="fr-FR"/>
        </w:rPr>
        <w:t>ur l’utilisation et la codification des conseils de prudence figurent désormais au même endroit et dans un ordre logique, à la section 2</w:t>
      </w:r>
      <w:r w:rsidR="005353F9">
        <w:rPr>
          <w:lang w:val="fr-FR"/>
        </w:rPr>
        <w:t> ;</w:t>
      </w:r>
    </w:p>
    <w:p w:rsidR="0064045E" w:rsidRPr="00F05922" w:rsidRDefault="00EA2493" w:rsidP="00356D83">
      <w:pPr>
        <w:pStyle w:val="SingleTxtG"/>
        <w:spacing w:after="100"/>
        <w:ind w:firstLine="567"/>
      </w:pPr>
      <w:r w:rsidRPr="00F05922">
        <w:rPr>
          <w:lang w:val="fr-FR"/>
        </w:rPr>
        <w:t>b)</w:t>
      </w:r>
      <w:r w:rsidRPr="00F05922">
        <w:rPr>
          <w:lang w:val="fr-FR"/>
        </w:rPr>
        <w:tab/>
        <w:t>Le texte de la section 2 reprend largement le texte actuel des deux sections, ce qui favorise la compréhension ;</w:t>
      </w:r>
    </w:p>
    <w:p w:rsidR="005353F9" w:rsidRDefault="00EA2493" w:rsidP="00356D83">
      <w:pPr>
        <w:pStyle w:val="SingleTxtG"/>
        <w:spacing w:after="100"/>
        <w:ind w:firstLine="567"/>
        <w:rPr>
          <w:lang w:val="fr-FR"/>
        </w:rPr>
      </w:pPr>
      <w:r w:rsidRPr="00F05922">
        <w:rPr>
          <w:lang w:val="fr-FR"/>
        </w:rPr>
        <w:t>c</w:t>
      </w:r>
      <w:r w:rsidRPr="00F05922">
        <w:rPr>
          <w:lang w:val="fr-FR"/>
        </w:rPr>
        <w:t>)</w:t>
      </w:r>
      <w:r w:rsidRPr="00F05922">
        <w:rPr>
          <w:lang w:val="fr-FR"/>
        </w:rPr>
        <w:tab/>
        <w:t>La lisibilité a été améliorée, notamment grâce à</w:t>
      </w:r>
      <w:r w:rsidR="005353F9">
        <w:rPr>
          <w:lang w:val="fr-FR"/>
        </w:rPr>
        <w:t> :</w:t>
      </w:r>
    </w:p>
    <w:p w:rsidR="0064045E" w:rsidRPr="00F05922" w:rsidRDefault="00EA2493" w:rsidP="00356D83">
      <w:pPr>
        <w:pStyle w:val="SingleTxtG"/>
        <w:spacing w:after="100"/>
        <w:ind w:left="2268"/>
      </w:pPr>
      <w:r w:rsidRPr="00F05922">
        <w:rPr>
          <w:lang w:val="fr-FR"/>
        </w:rPr>
        <w:t>i)</w:t>
      </w:r>
      <w:r w:rsidRPr="00F05922">
        <w:rPr>
          <w:lang w:val="fr-FR"/>
        </w:rPr>
        <w:tab/>
        <w:t>L</w:t>
      </w:r>
      <w:r w:rsidR="005353F9">
        <w:rPr>
          <w:lang w:val="fr-FR"/>
        </w:rPr>
        <w:t>’</w:t>
      </w:r>
      <w:r w:rsidRPr="00F05922">
        <w:rPr>
          <w:lang w:val="fr-FR"/>
        </w:rPr>
        <w:t>agencement du texte dans un ordre plus logique</w:t>
      </w:r>
      <w:r w:rsidR="005353F9">
        <w:rPr>
          <w:lang w:val="fr-FR"/>
        </w:rPr>
        <w:t> ;</w:t>
      </w:r>
    </w:p>
    <w:p w:rsidR="0064045E" w:rsidRPr="00F05922" w:rsidRDefault="00EA2493" w:rsidP="00356D83">
      <w:pPr>
        <w:pStyle w:val="SingleTxtG"/>
        <w:spacing w:after="100"/>
        <w:ind w:left="2268"/>
      </w:pPr>
      <w:r w:rsidRPr="00F05922">
        <w:rPr>
          <w:lang w:val="fr-FR"/>
        </w:rPr>
        <w:t>ii)</w:t>
      </w:r>
      <w:r w:rsidRPr="00F05922">
        <w:rPr>
          <w:lang w:val="fr-FR"/>
        </w:rPr>
        <w:tab/>
        <w:t>Des modifications rédactionnelles mineures visant à rendre certains paragraphes plus clairs ;</w:t>
      </w:r>
    </w:p>
    <w:p w:rsidR="005353F9" w:rsidRDefault="00EA2493" w:rsidP="00356D83">
      <w:pPr>
        <w:pStyle w:val="SingleTxtG"/>
        <w:spacing w:after="100"/>
        <w:ind w:left="2268"/>
        <w:rPr>
          <w:lang w:val="fr-FR"/>
        </w:rPr>
      </w:pPr>
      <w:r w:rsidRPr="00F05922">
        <w:rPr>
          <w:lang w:val="fr-FR"/>
        </w:rPr>
        <w:t>iii)</w:t>
      </w:r>
      <w:r w:rsidRPr="00F05922">
        <w:rPr>
          <w:lang w:val="fr-FR"/>
        </w:rPr>
        <w:tab/>
        <w:t>La mise à jour de la terminologie (par exemple</w:t>
      </w:r>
      <w:r w:rsidRPr="00F05922">
        <w:rPr>
          <w:lang w:val="fr-FR"/>
        </w:rPr>
        <w:t xml:space="preserve">, </w:t>
      </w:r>
      <w:r w:rsidR="005353F9">
        <w:rPr>
          <w:lang w:val="fr-FR"/>
        </w:rPr>
        <w:t>« </w:t>
      </w:r>
      <w:r w:rsidRPr="00F05922">
        <w:rPr>
          <w:lang w:val="fr-FR"/>
        </w:rPr>
        <w:t>produit</w:t>
      </w:r>
      <w:r w:rsidR="005353F9">
        <w:rPr>
          <w:lang w:val="fr-FR"/>
        </w:rPr>
        <w:t> »</w:t>
      </w:r>
      <w:r w:rsidRPr="00F05922">
        <w:rPr>
          <w:lang w:val="fr-FR"/>
        </w:rPr>
        <w:t xml:space="preserve"> a été remplacé par </w:t>
      </w:r>
      <w:r w:rsidR="005353F9">
        <w:rPr>
          <w:lang w:val="fr-FR"/>
        </w:rPr>
        <w:t>« </w:t>
      </w:r>
      <w:r w:rsidRPr="00F05922">
        <w:rPr>
          <w:lang w:val="fr-FR"/>
        </w:rPr>
        <w:t>mélange</w:t>
      </w:r>
      <w:r w:rsidR="005353F9">
        <w:rPr>
          <w:lang w:val="fr-FR"/>
        </w:rPr>
        <w:t> »</w:t>
      </w:r>
      <w:r w:rsidRPr="00F05922">
        <w:rPr>
          <w:lang w:val="fr-FR"/>
        </w:rPr>
        <w:t xml:space="preserve"> et </w:t>
      </w:r>
      <w:r w:rsidR="005353F9">
        <w:rPr>
          <w:lang w:val="fr-FR"/>
        </w:rPr>
        <w:t>« </w:t>
      </w:r>
      <w:r w:rsidRPr="00F05922">
        <w:rPr>
          <w:lang w:val="fr-FR"/>
        </w:rPr>
        <w:t>phrase</w:t>
      </w:r>
      <w:r w:rsidR="005353F9">
        <w:rPr>
          <w:lang w:val="fr-FR"/>
        </w:rPr>
        <w:t> »</w:t>
      </w:r>
      <w:r w:rsidRPr="00F05922">
        <w:rPr>
          <w:lang w:val="fr-FR"/>
        </w:rPr>
        <w:t xml:space="preserve"> par </w:t>
      </w:r>
      <w:r w:rsidR="005353F9">
        <w:rPr>
          <w:lang w:val="fr-FR"/>
        </w:rPr>
        <w:t>« </w:t>
      </w:r>
      <w:r w:rsidRPr="00F05922">
        <w:rPr>
          <w:lang w:val="fr-FR"/>
        </w:rPr>
        <w:t>mention »)</w:t>
      </w:r>
      <w:r w:rsidR="005353F9">
        <w:rPr>
          <w:lang w:val="fr-FR"/>
        </w:rPr>
        <w:t> ;</w:t>
      </w:r>
    </w:p>
    <w:p w:rsidR="005353F9" w:rsidRDefault="00EA2493" w:rsidP="00356D83">
      <w:pPr>
        <w:pStyle w:val="SingleTxtG"/>
        <w:spacing w:after="100"/>
        <w:ind w:left="2268"/>
        <w:rPr>
          <w:lang w:val="fr-FR"/>
        </w:rPr>
      </w:pPr>
      <w:r w:rsidRPr="00F05922">
        <w:rPr>
          <w:lang w:val="fr-FR"/>
        </w:rPr>
        <w:t>iv)</w:t>
      </w:r>
      <w:r w:rsidRPr="00F05922">
        <w:rPr>
          <w:lang w:val="fr-FR"/>
        </w:rPr>
        <w:tab/>
        <w:t>La rectification du libellé des conseils de prudence combinés P370+P373+P380+P373 et P210+P403 du A3.2.5.2.3 (ancien A3.3.2.2.2) ;</w:t>
      </w:r>
    </w:p>
    <w:p w:rsidR="005353F9" w:rsidRDefault="00EA2493" w:rsidP="00356D83">
      <w:pPr>
        <w:pStyle w:val="SingleTxtG"/>
        <w:spacing w:after="100"/>
        <w:ind w:left="2268"/>
        <w:rPr>
          <w:lang w:val="fr-FR"/>
        </w:rPr>
      </w:pPr>
      <w:r w:rsidRPr="00F05922">
        <w:rPr>
          <w:lang w:val="fr-FR"/>
        </w:rPr>
        <w:t>v)</w:t>
      </w:r>
      <w:r w:rsidRPr="00F05922">
        <w:rPr>
          <w:lang w:val="fr-FR"/>
        </w:rPr>
        <w:tab/>
        <w:t>L</w:t>
      </w:r>
      <w:r w:rsidR="005353F9">
        <w:rPr>
          <w:lang w:val="fr-FR"/>
        </w:rPr>
        <w:t>’</w:t>
      </w:r>
      <w:r w:rsidRPr="00F05922">
        <w:rPr>
          <w:lang w:val="fr-FR"/>
        </w:rPr>
        <w:t>ajout de références croisées supplémen</w:t>
      </w:r>
      <w:r w:rsidRPr="00F05922">
        <w:rPr>
          <w:lang w:val="fr-FR"/>
        </w:rPr>
        <w:t>taires pour aider les lecteurs à trouver plus facilement les sections, les paragraphes et les tableaux ;</w:t>
      </w:r>
    </w:p>
    <w:p w:rsidR="0064045E" w:rsidRPr="00F05922" w:rsidRDefault="00EA2493" w:rsidP="00356D83">
      <w:pPr>
        <w:pStyle w:val="SingleTxtG"/>
        <w:spacing w:after="100"/>
        <w:ind w:firstLine="567"/>
      </w:pPr>
      <w:r w:rsidRPr="00F05922">
        <w:rPr>
          <w:lang w:val="fr-FR"/>
        </w:rPr>
        <w:t>d)</w:t>
      </w:r>
      <w:r w:rsidRPr="00F05922">
        <w:rPr>
          <w:lang w:val="fr-FR"/>
        </w:rPr>
        <w:tab/>
        <w:t>Les répétitions et les informations obsolètes ont été supprimées, notamment</w:t>
      </w:r>
      <w:r w:rsidR="005353F9">
        <w:rPr>
          <w:lang w:val="fr-FR"/>
        </w:rPr>
        <w:t> :</w:t>
      </w:r>
    </w:p>
    <w:p w:rsidR="0064045E" w:rsidRPr="00F05922" w:rsidRDefault="00EA2493" w:rsidP="00356D83">
      <w:pPr>
        <w:pStyle w:val="SingleTxtG"/>
        <w:spacing w:after="100"/>
        <w:ind w:left="2268"/>
      </w:pPr>
      <w:r w:rsidRPr="00F05922">
        <w:rPr>
          <w:lang w:val="fr-FR"/>
        </w:rPr>
        <w:t>i)</w:t>
      </w:r>
      <w:r w:rsidRPr="00F05922">
        <w:rPr>
          <w:lang w:val="fr-FR"/>
        </w:rPr>
        <w:tab/>
        <w:t xml:space="preserve">Le texte du A3.3.4.4, qui figure déjà au A3.2.4.2 (ancien </w:t>
      </w:r>
      <w:r w:rsidRPr="00F05922">
        <w:rPr>
          <w:lang w:val="fr-FR"/>
        </w:rPr>
        <w:t>A3.2.3.3) ;</w:t>
      </w:r>
    </w:p>
    <w:p w:rsidR="0064045E" w:rsidRPr="00F05922" w:rsidRDefault="00EA2493" w:rsidP="00356D83">
      <w:pPr>
        <w:pStyle w:val="SingleTxtG"/>
        <w:spacing w:after="100"/>
        <w:ind w:left="2268"/>
      </w:pPr>
      <w:r w:rsidRPr="00F05922">
        <w:rPr>
          <w:lang w:val="fr-FR"/>
        </w:rPr>
        <w:t>ii)</w:t>
      </w:r>
      <w:r w:rsidRPr="00F05922">
        <w:rPr>
          <w:lang w:val="fr-FR"/>
        </w:rPr>
        <w:tab/>
        <w:t>Le texte du A3.3.4.5, qui figure déjà au A3.2.4.3 (ancien A3.2.3.4) ;</w:t>
      </w:r>
    </w:p>
    <w:p w:rsidR="005353F9" w:rsidRPr="00356D83" w:rsidRDefault="00EA2493" w:rsidP="00356D83">
      <w:pPr>
        <w:pStyle w:val="SingleTxtG"/>
        <w:spacing w:after="100"/>
        <w:ind w:left="2268"/>
        <w:rPr>
          <w:spacing w:val="-2"/>
          <w:lang w:val="fr-FR"/>
        </w:rPr>
      </w:pPr>
      <w:r w:rsidRPr="00356D83">
        <w:rPr>
          <w:spacing w:val="-2"/>
          <w:lang w:val="fr-FR"/>
        </w:rPr>
        <w:t>iii)</w:t>
      </w:r>
      <w:r w:rsidRPr="00356D83">
        <w:rPr>
          <w:spacing w:val="-2"/>
          <w:lang w:val="fr-FR"/>
        </w:rPr>
        <w:tab/>
        <w:t xml:space="preserve">La deuxième phrase de l’actuel A3.3.1.5 commençant par </w:t>
      </w:r>
      <w:r w:rsidR="005353F9" w:rsidRPr="00356D83">
        <w:rPr>
          <w:spacing w:val="-2"/>
          <w:lang w:val="fr-FR"/>
        </w:rPr>
        <w:t>« </w:t>
      </w:r>
      <w:r w:rsidRPr="00356D83">
        <w:rPr>
          <w:spacing w:val="-2"/>
          <w:lang w:val="fr-FR"/>
        </w:rPr>
        <w:t>Les sources principales étaient …</w:t>
      </w:r>
      <w:r w:rsidR="005353F9" w:rsidRPr="00356D83">
        <w:rPr>
          <w:spacing w:val="-2"/>
          <w:lang w:val="fr-FR"/>
        </w:rPr>
        <w:t> »</w:t>
      </w:r>
      <w:r w:rsidRPr="00356D83">
        <w:rPr>
          <w:spacing w:val="-2"/>
          <w:lang w:val="fr-FR"/>
        </w:rPr>
        <w:t>, qui n</w:t>
      </w:r>
      <w:r w:rsidR="005353F9" w:rsidRPr="00356D83">
        <w:rPr>
          <w:spacing w:val="-2"/>
          <w:lang w:val="fr-FR"/>
        </w:rPr>
        <w:t>’</w:t>
      </w:r>
      <w:r w:rsidRPr="00356D83">
        <w:rPr>
          <w:spacing w:val="-2"/>
          <w:lang w:val="fr-FR"/>
        </w:rPr>
        <w:t>est plus considérée comme pertinente au vu du grand nombre de mod</w:t>
      </w:r>
      <w:r w:rsidRPr="00356D83">
        <w:rPr>
          <w:spacing w:val="-2"/>
          <w:lang w:val="fr-FR"/>
        </w:rPr>
        <w:t>ifications apportées aux conseils de prudence depuis 2003 et des propositions d’amendements à la septième édition révisée du SGH.</w:t>
      </w:r>
    </w:p>
    <w:p w:rsidR="0064045E" w:rsidRPr="00F05922" w:rsidRDefault="00EA2493" w:rsidP="00356D83">
      <w:pPr>
        <w:pStyle w:val="SingleTxtG"/>
        <w:spacing w:after="100"/>
        <w:ind w:firstLine="567"/>
      </w:pPr>
      <w:r w:rsidRPr="00F05922">
        <w:rPr>
          <w:lang w:val="fr-FR"/>
        </w:rPr>
        <w:t>e)</w:t>
      </w:r>
      <w:r w:rsidRPr="00F05922">
        <w:rPr>
          <w:lang w:val="fr-FR"/>
        </w:rPr>
        <w:tab/>
        <w:t>Des titres plus clairs ont été établis pour les sections 3 et 4, afin qu</w:t>
      </w:r>
      <w:r w:rsidR="005353F9">
        <w:rPr>
          <w:lang w:val="fr-FR"/>
        </w:rPr>
        <w:t>’</w:t>
      </w:r>
      <w:r w:rsidRPr="00F05922">
        <w:rPr>
          <w:lang w:val="fr-FR"/>
        </w:rPr>
        <w:t>ils correspondent mieux à la teneur de ces section</w:t>
      </w:r>
      <w:r w:rsidRPr="00F05922">
        <w:rPr>
          <w:lang w:val="fr-FR"/>
        </w:rPr>
        <w:t xml:space="preserve">s. </w:t>
      </w:r>
      <w:r w:rsidRPr="00F05922">
        <w:rPr>
          <w:lang w:val="fr-FR"/>
        </w:rPr>
        <w:tab/>
      </w:r>
    </w:p>
    <w:p w:rsidR="0064045E" w:rsidRPr="00F05922" w:rsidRDefault="00EA2493" w:rsidP="00356D83">
      <w:pPr>
        <w:pStyle w:val="SingleTxtG"/>
        <w:spacing w:after="100"/>
      </w:pPr>
      <w:r w:rsidRPr="00F05922">
        <w:rPr>
          <w:lang w:val="fr-FR"/>
        </w:rPr>
        <w:t>7.</w:t>
      </w:r>
      <w:r w:rsidRPr="00F05922">
        <w:rPr>
          <w:lang w:val="fr-FR"/>
        </w:rPr>
        <w:tab/>
        <w:t>Tout en étant conscient que les économies réalisées grâce à l</w:t>
      </w:r>
      <w:r w:rsidR="005353F9">
        <w:rPr>
          <w:lang w:val="fr-FR"/>
        </w:rPr>
        <w:t>’</w:t>
      </w:r>
      <w:r w:rsidRPr="00F05922">
        <w:rPr>
          <w:lang w:val="fr-FR"/>
        </w:rPr>
        <w:t>allégement du texte seraient relativement modestes, le groupe de travail informel estime que les avantages ci-dessus justifient les modifications qu</w:t>
      </w:r>
      <w:r w:rsidR="005353F9">
        <w:rPr>
          <w:lang w:val="fr-FR"/>
        </w:rPr>
        <w:t>’</w:t>
      </w:r>
      <w:r w:rsidRPr="00F05922">
        <w:rPr>
          <w:lang w:val="fr-FR"/>
        </w:rPr>
        <w:t>il propose d</w:t>
      </w:r>
      <w:r w:rsidR="005353F9">
        <w:rPr>
          <w:lang w:val="fr-FR"/>
        </w:rPr>
        <w:t>’</w:t>
      </w:r>
      <w:r w:rsidRPr="00F05922">
        <w:rPr>
          <w:lang w:val="fr-FR"/>
        </w:rPr>
        <w:t xml:space="preserve">apporter aux sections </w:t>
      </w:r>
      <w:r w:rsidRPr="00F05922">
        <w:rPr>
          <w:lang w:val="fr-FR"/>
        </w:rPr>
        <w:t>concernées de l’annexe 3, lesquelles sont très utilisées par les professionnels de l’étiquetage.</w:t>
      </w:r>
    </w:p>
    <w:p w:rsidR="0064045E" w:rsidRPr="00F05922" w:rsidRDefault="00EA2493" w:rsidP="00356D83">
      <w:pPr>
        <w:pStyle w:val="HChG"/>
        <w:spacing w:before="320" w:after="200"/>
      </w:pPr>
      <w:r w:rsidRPr="00F05922">
        <w:rPr>
          <w:lang w:val="fr-FR"/>
        </w:rPr>
        <w:tab/>
      </w:r>
      <w:r w:rsidRPr="00F05922">
        <w:rPr>
          <w:lang w:val="fr-FR"/>
        </w:rPr>
        <w:tab/>
        <w:t>Proposition</w:t>
      </w:r>
    </w:p>
    <w:p w:rsidR="0064045E" w:rsidRPr="00F05922" w:rsidRDefault="00EA2493" w:rsidP="00356D83">
      <w:pPr>
        <w:pStyle w:val="SingleTxtG"/>
        <w:spacing w:after="100"/>
      </w:pPr>
      <w:r w:rsidRPr="00F05922">
        <w:rPr>
          <w:lang w:val="fr-FR"/>
        </w:rPr>
        <w:t>8.</w:t>
      </w:r>
      <w:r w:rsidRPr="00F05922">
        <w:rPr>
          <w:lang w:val="fr-FR"/>
        </w:rPr>
        <w:tab/>
        <w:t xml:space="preserve">Le document informel INF.9 détaille la totalité des modifications proposées. Les ajouts figurent en rouge et le texte supprimé en caractères </w:t>
      </w:r>
      <w:r w:rsidRPr="00FC601F">
        <w:rPr>
          <w:strike/>
          <w:lang w:val="fr-FR"/>
        </w:rPr>
        <w:t>b</w:t>
      </w:r>
      <w:r w:rsidRPr="00FC601F">
        <w:rPr>
          <w:strike/>
          <w:lang w:val="fr-FR"/>
        </w:rPr>
        <w:t>iffés</w:t>
      </w:r>
      <w:r w:rsidRPr="00F05922">
        <w:rPr>
          <w:lang w:val="fr-FR"/>
        </w:rPr>
        <w:t xml:space="preserve">. Afin de faciliter la lecture, les paragraphes qui ont été déplacés figurent en noir avec leur numéro de paragraphe actuel </w:t>
      </w:r>
      <w:r w:rsidRPr="00FC601F">
        <w:rPr>
          <w:strike/>
          <w:lang w:val="fr-FR"/>
        </w:rPr>
        <w:t>biffé</w:t>
      </w:r>
      <w:r w:rsidRPr="00F05922">
        <w:rPr>
          <w:lang w:val="fr-FR"/>
        </w:rPr>
        <w:t>, tandis que le nouveau numéro de paragraphe et les éventuels ajouts sont en rouge.</w:t>
      </w:r>
    </w:p>
    <w:p w:rsidR="0064045E" w:rsidRPr="00F05922" w:rsidRDefault="00EA2493" w:rsidP="00356D83">
      <w:pPr>
        <w:pStyle w:val="HChG"/>
        <w:spacing w:before="320" w:after="200"/>
      </w:pPr>
      <w:r w:rsidRPr="00F05922">
        <w:rPr>
          <w:lang w:val="fr-FR"/>
        </w:rPr>
        <w:tab/>
      </w:r>
      <w:r w:rsidRPr="00F05922">
        <w:rPr>
          <w:lang w:val="fr-FR"/>
        </w:rPr>
        <w:tab/>
        <w:t>Mesures à prendre</w:t>
      </w:r>
    </w:p>
    <w:p w:rsidR="00446FE5" w:rsidRDefault="00EA2493" w:rsidP="00356D83">
      <w:pPr>
        <w:pStyle w:val="SingleTxtG"/>
        <w:spacing w:after="100"/>
        <w:rPr>
          <w:lang w:val="fr-FR"/>
        </w:rPr>
      </w:pPr>
      <w:r w:rsidRPr="00F05922">
        <w:rPr>
          <w:lang w:val="fr-FR"/>
        </w:rPr>
        <w:t>9.</w:t>
      </w:r>
      <w:r w:rsidRPr="00F05922">
        <w:rPr>
          <w:lang w:val="fr-FR"/>
        </w:rPr>
        <w:tab/>
        <w:t xml:space="preserve">Le Sous-Comité </w:t>
      </w:r>
      <w:r w:rsidRPr="00F05922">
        <w:rPr>
          <w:lang w:val="fr-FR"/>
        </w:rPr>
        <w:t>est invité à approuver les modifications proposées aux section 2, 3 et 4 de l’annexe 3, qui figurent dans le document informel INF.9.</w:t>
      </w:r>
    </w:p>
    <w:p w:rsidR="00851D4F" w:rsidRPr="00851D4F" w:rsidRDefault="00851D4F" w:rsidP="00851D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1D4F" w:rsidRPr="00851D4F" w:rsidSect="00F059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41" w:rsidRDefault="00DF6341" w:rsidP="00F95C08">
      <w:pPr>
        <w:spacing w:line="240" w:lineRule="auto"/>
      </w:pPr>
    </w:p>
  </w:endnote>
  <w:endnote w:type="continuationSeparator" w:id="0">
    <w:p w:rsidR="00DF6341" w:rsidRPr="00AC3823" w:rsidRDefault="00DF6341" w:rsidP="00AC3823">
      <w:pPr>
        <w:pStyle w:val="Footer"/>
      </w:pPr>
    </w:p>
  </w:endnote>
  <w:endnote w:type="continuationNotice" w:id="1">
    <w:p w:rsidR="00DF6341" w:rsidRDefault="00DF63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922" w:rsidRPr="00F05922" w:rsidRDefault="00F05922" w:rsidP="00F05922">
    <w:pPr>
      <w:pStyle w:val="Footer"/>
      <w:tabs>
        <w:tab w:val="right" w:pos="9638"/>
      </w:tabs>
    </w:pPr>
    <w:r w:rsidRPr="00F05922">
      <w:rPr>
        <w:b/>
        <w:sz w:val="18"/>
      </w:rPr>
      <w:fldChar w:fldCharType="begin"/>
    </w:r>
    <w:r w:rsidRPr="00F05922">
      <w:rPr>
        <w:b/>
        <w:sz w:val="18"/>
      </w:rPr>
      <w:instrText xml:space="preserve"> PAGE  \* MERGEFORMAT </w:instrText>
    </w:r>
    <w:r w:rsidRPr="00F05922">
      <w:rPr>
        <w:b/>
        <w:sz w:val="18"/>
      </w:rPr>
      <w:fldChar w:fldCharType="separate"/>
    </w:r>
    <w:r w:rsidR="00483DC6">
      <w:rPr>
        <w:b/>
        <w:noProof/>
        <w:sz w:val="18"/>
      </w:rPr>
      <w:t>2</w:t>
    </w:r>
    <w:r w:rsidRPr="00F05922">
      <w:rPr>
        <w:b/>
        <w:sz w:val="18"/>
      </w:rPr>
      <w:fldChar w:fldCharType="end"/>
    </w:r>
    <w:r>
      <w:rPr>
        <w:b/>
        <w:sz w:val="18"/>
      </w:rPr>
      <w:tab/>
    </w:r>
    <w:r>
      <w:t>GE.18-15668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922" w:rsidRPr="00F05922" w:rsidRDefault="00F05922" w:rsidP="00F05922">
    <w:pPr>
      <w:pStyle w:val="Footer"/>
      <w:tabs>
        <w:tab w:val="right" w:pos="9638"/>
      </w:tabs>
      <w:rPr>
        <w:b/>
        <w:sz w:val="18"/>
      </w:rPr>
    </w:pPr>
    <w:r>
      <w:t>GE.18-15668</w:t>
    </w:r>
    <w:r>
      <w:tab/>
    </w:r>
    <w:r w:rsidRPr="00F05922">
      <w:rPr>
        <w:b/>
        <w:sz w:val="18"/>
      </w:rPr>
      <w:fldChar w:fldCharType="begin"/>
    </w:r>
    <w:r w:rsidRPr="00F05922">
      <w:rPr>
        <w:b/>
        <w:sz w:val="18"/>
      </w:rPr>
      <w:instrText xml:space="preserve"> PAGE  \* MERGEFORMAT </w:instrText>
    </w:r>
    <w:r w:rsidRPr="00F05922">
      <w:rPr>
        <w:b/>
        <w:sz w:val="18"/>
      </w:rPr>
      <w:fldChar w:fldCharType="separate"/>
    </w:r>
    <w:r w:rsidR="00FC601F">
      <w:rPr>
        <w:b/>
        <w:noProof/>
        <w:sz w:val="18"/>
      </w:rPr>
      <w:t>2</w:t>
    </w:r>
    <w:r w:rsidRPr="00F059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F05922" w:rsidRDefault="00F05922" w:rsidP="00F05922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15668  (</w:t>
    </w:r>
    <w:proofErr w:type="gramEnd"/>
    <w:r>
      <w:rPr>
        <w:sz w:val="20"/>
      </w:rPr>
      <w:t>F)</w:t>
    </w:r>
    <w:r w:rsidR="00923780">
      <w:rPr>
        <w:sz w:val="20"/>
      </w:rPr>
      <w:t xml:space="preserve">    091018    231018</w:t>
    </w:r>
    <w:r>
      <w:rPr>
        <w:sz w:val="20"/>
      </w:rPr>
      <w:br/>
    </w:r>
    <w:r w:rsidRPr="00F05922">
      <w:rPr>
        <w:rFonts w:ascii="C39T30Lfz" w:hAnsi="C39T30Lfz"/>
        <w:sz w:val="56"/>
      </w:rPr>
      <w:t></w:t>
    </w:r>
    <w:r w:rsidRPr="00F05922">
      <w:rPr>
        <w:rFonts w:ascii="C39T30Lfz" w:hAnsi="C39T30Lfz"/>
        <w:sz w:val="56"/>
      </w:rPr>
      <w:t></w:t>
    </w:r>
    <w:r w:rsidRPr="00F05922">
      <w:rPr>
        <w:rFonts w:ascii="C39T30Lfz" w:hAnsi="C39T30Lfz"/>
        <w:sz w:val="56"/>
      </w:rPr>
      <w:t></w:t>
    </w:r>
    <w:r w:rsidRPr="00F05922">
      <w:rPr>
        <w:rFonts w:ascii="C39T30Lfz" w:hAnsi="C39T30Lfz"/>
        <w:sz w:val="56"/>
      </w:rPr>
      <w:t></w:t>
    </w:r>
    <w:r w:rsidRPr="00F05922">
      <w:rPr>
        <w:rFonts w:ascii="C39T30Lfz" w:hAnsi="C39T30Lfz"/>
        <w:sz w:val="56"/>
      </w:rPr>
      <w:t></w:t>
    </w:r>
    <w:r w:rsidRPr="00F05922">
      <w:rPr>
        <w:rFonts w:ascii="C39T30Lfz" w:hAnsi="C39T30Lfz"/>
        <w:sz w:val="56"/>
      </w:rPr>
      <w:t></w:t>
    </w:r>
    <w:r w:rsidRPr="00F05922">
      <w:rPr>
        <w:rFonts w:ascii="C39T30Lfz" w:hAnsi="C39T30Lfz"/>
        <w:sz w:val="56"/>
      </w:rPr>
      <w:t></w:t>
    </w:r>
    <w:r w:rsidRPr="00F05922">
      <w:rPr>
        <w:rFonts w:ascii="C39T30Lfz" w:hAnsi="C39T30Lfz"/>
        <w:sz w:val="56"/>
      </w:rPr>
      <w:t></w:t>
    </w:r>
    <w:r w:rsidRPr="00F0592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s://undocs.org/fr/ST/SG/AC.10/C.4/2018/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ST/SG/AC.10/C.4/2018/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41" w:rsidRPr="00AC3823" w:rsidRDefault="00DF63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6341" w:rsidRPr="00AC3823" w:rsidRDefault="00DF63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F6341" w:rsidRPr="00AC3823" w:rsidRDefault="00DF6341">
      <w:pPr>
        <w:spacing w:line="240" w:lineRule="auto"/>
        <w:rPr>
          <w:sz w:val="2"/>
          <w:szCs w:val="2"/>
        </w:rPr>
      </w:pPr>
    </w:p>
  </w:footnote>
  <w:footnote w:id="2">
    <w:p w:rsidR="005353F9" w:rsidRPr="005353F9" w:rsidRDefault="005353F9">
      <w:pPr>
        <w:pStyle w:val="FootnoteText"/>
      </w:pPr>
      <w:r>
        <w:rPr>
          <w:rStyle w:val="FootnoteReference"/>
        </w:rPr>
        <w:tab/>
      </w:r>
      <w:r w:rsidRPr="005353F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pour la période biennale 2017-2018, 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922" w:rsidRPr="00F05922" w:rsidRDefault="00EA249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ST/SG/AC.10/C.4/2018/32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922" w:rsidRPr="00F05922" w:rsidRDefault="00EA2493" w:rsidP="00F0592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ST/SG/AC.10/C.4/2018/32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41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931CA"/>
    <w:rsid w:val="002D7C93"/>
    <w:rsid w:val="00356D83"/>
    <w:rsid w:val="00441C3B"/>
    <w:rsid w:val="00446FE5"/>
    <w:rsid w:val="00452396"/>
    <w:rsid w:val="00483DC6"/>
    <w:rsid w:val="004E468C"/>
    <w:rsid w:val="005353F9"/>
    <w:rsid w:val="005505B7"/>
    <w:rsid w:val="00573BE5"/>
    <w:rsid w:val="00584DC4"/>
    <w:rsid w:val="00586ED3"/>
    <w:rsid w:val="00596AA9"/>
    <w:rsid w:val="0068456F"/>
    <w:rsid w:val="0071601D"/>
    <w:rsid w:val="007A59BF"/>
    <w:rsid w:val="007A62E6"/>
    <w:rsid w:val="0080684C"/>
    <w:rsid w:val="00851D4F"/>
    <w:rsid w:val="00871C75"/>
    <w:rsid w:val="008776DC"/>
    <w:rsid w:val="008B40CD"/>
    <w:rsid w:val="00923780"/>
    <w:rsid w:val="009705C8"/>
    <w:rsid w:val="009C1CF4"/>
    <w:rsid w:val="00A043A2"/>
    <w:rsid w:val="00A30353"/>
    <w:rsid w:val="00AC3823"/>
    <w:rsid w:val="00AE323C"/>
    <w:rsid w:val="00B00181"/>
    <w:rsid w:val="00B00B0D"/>
    <w:rsid w:val="00B765F7"/>
    <w:rsid w:val="00BA0CA9"/>
    <w:rsid w:val="00C02897"/>
    <w:rsid w:val="00C871A2"/>
    <w:rsid w:val="00D3439C"/>
    <w:rsid w:val="00DB1831"/>
    <w:rsid w:val="00DD3BFD"/>
    <w:rsid w:val="00DF6341"/>
    <w:rsid w:val="00DF6678"/>
    <w:rsid w:val="00EA2493"/>
    <w:rsid w:val="00EC4EBF"/>
    <w:rsid w:val="00EF2E22"/>
    <w:rsid w:val="00F01738"/>
    <w:rsid w:val="00F05922"/>
    <w:rsid w:val="00F660DF"/>
    <w:rsid w:val="00F730C8"/>
    <w:rsid w:val="00F95C08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4AF2BB-A962-4FCE-82E2-C1870A3F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ST/SG/AC.10/C.4/2018/32</vt:lpstr>
      <vt:lpstr>ST/SG/AC.10/C.4/2018/32</vt:lpstr>
    </vt:vector>
  </TitlesOfParts>
  <Company>DCM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ST/SG/AC.10/C.4/2018/32</dc:title>
  <dc:subject/>
  <dc:creator>Pascale BEYSARD</dc:creator>
  <cp:keywords/>
  <cp:lastModifiedBy>Laurence Berthet</cp:lastModifiedBy>
  <cp:revision>3</cp:revision>
  <cp:lastPrinted>2018-10-23T12:43:00Z</cp:lastPrinted>
  <dcterms:created xsi:type="dcterms:W3CDTF">2018-10-23T12:43:00Z</dcterms:created>
  <dcterms:modified xsi:type="dcterms:W3CDTF">2018-10-23T12:43:00Z</dcterms:modified>
</cp:coreProperties>
</file>