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033BC">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033BC" w:rsidP="00C033BC">
            <w:pPr>
              <w:jc w:val="right"/>
            </w:pPr>
            <w:r w:rsidRPr="00C033BC">
              <w:rPr>
                <w:sz w:val="40"/>
              </w:rPr>
              <w:t>ST</w:t>
            </w:r>
            <w:r>
              <w:t>/SG/AC.10/C.4/68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033BC" w:rsidP="00F01738">
            <w:pPr>
              <w:spacing w:before="240"/>
            </w:pPr>
            <w:r>
              <w:t>Distr. générale</w:t>
            </w:r>
          </w:p>
          <w:p w:rsidR="00C033BC" w:rsidRDefault="00C033BC" w:rsidP="00C033BC">
            <w:pPr>
              <w:spacing w:line="240" w:lineRule="exact"/>
            </w:pPr>
            <w:r>
              <w:t>21 décembre 2017</w:t>
            </w:r>
          </w:p>
          <w:p w:rsidR="00C033BC" w:rsidRDefault="00C033BC" w:rsidP="00C033BC">
            <w:pPr>
              <w:spacing w:line="240" w:lineRule="exact"/>
            </w:pPr>
            <w:r>
              <w:t>Français</w:t>
            </w:r>
          </w:p>
          <w:p w:rsidR="00C033BC" w:rsidRPr="00DB58B5" w:rsidRDefault="00C033BC" w:rsidP="00C033BC">
            <w:pPr>
              <w:spacing w:line="240" w:lineRule="exact"/>
            </w:pPr>
            <w:r>
              <w:t>Original</w:t>
            </w:r>
            <w:r w:rsidR="00041630">
              <w:t> :</w:t>
            </w:r>
            <w:r>
              <w:t xml:space="preserve"> anglais</w:t>
            </w:r>
          </w:p>
        </w:tc>
      </w:tr>
    </w:tbl>
    <w:p w:rsidR="00A13180" w:rsidRPr="00CA0680" w:rsidRDefault="00A1318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A13180" w:rsidRPr="00CA0680" w:rsidRDefault="00A13180"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rsidR="00B627DC" w:rsidRPr="008D0AEE" w:rsidRDefault="00B627DC" w:rsidP="00B627DC">
      <w:pPr>
        <w:keepNext/>
        <w:keepLines/>
        <w:tabs>
          <w:tab w:val="right" w:pos="851"/>
        </w:tabs>
        <w:spacing w:before="360" w:after="240" w:line="300" w:lineRule="exact"/>
        <w:ind w:left="1134" w:right="1134" w:hanging="1134"/>
        <w:rPr>
          <w:b/>
          <w:sz w:val="28"/>
          <w:lang w:val="fr-FR"/>
        </w:rPr>
      </w:pPr>
      <w:r w:rsidRPr="008D0AEE">
        <w:rPr>
          <w:b/>
          <w:sz w:val="28"/>
          <w:lang w:val="fr-FR"/>
        </w:rPr>
        <w:tab/>
      </w:r>
      <w:r w:rsidRPr="008D0AEE">
        <w:rPr>
          <w:b/>
          <w:sz w:val="28"/>
          <w:lang w:val="fr-FR"/>
        </w:rPr>
        <w:tab/>
        <w:t>Rapport du Sous-Comité d</w:t>
      </w:r>
      <w:r>
        <w:rPr>
          <w:b/>
          <w:sz w:val="28"/>
          <w:lang w:val="fr-FR"/>
        </w:rPr>
        <w:t>’</w:t>
      </w:r>
      <w:r w:rsidRPr="008D0AEE">
        <w:rPr>
          <w:b/>
          <w:sz w:val="28"/>
          <w:lang w:val="fr-FR"/>
        </w:rPr>
        <w:t>experts du Système général harmonisé de classification et d</w:t>
      </w:r>
      <w:r>
        <w:rPr>
          <w:b/>
          <w:sz w:val="28"/>
          <w:lang w:val="fr-FR"/>
        </w:rPr>
        <w:t>’</w:t>
      </w:r>
      <w:r w:rsidRPr="008D0AEE">
        <w:rPr>
          <w:b/>
          <w:sz w:val="28"/>
          <w:lang w:val="fr-FR"/>
        </w:rPr>
        <w:t>étiquetage des produits chimiques sur sa trente-quatrième session</w:t>
      </w:r>
    </w:p>
    <w:p w:rsidR="00B627DC" w:rsidRDefault="00B627DC" w:rsidP="00435A52">
      <w:pPr>
        <w:pStyle w:val="H56G"/>
        <w:rPr>
          <w:lang w:val="fr-FR"/>
        </w:rPr>
      </w:pPr>
      <w:r w:rsidRPr="008D0AEE">
        <w:rPr>
          <w:lang w:val="fr-FR"/>
        </w:rPr>
        <w:tab/>
      </w:r>
      <w:r w:rsidRPr="008D0AEE">
        <w:rPr>
          <w:lang w:val="fr-FR"/>
        </w:rPr>
        <w:tab/>
      </w:r>
      <w:r w:rsidR="00435A52">
        <w:rPr>
          <w:lang w:val="fr-FR"/>
        </w:rPr>
        <w:t>T</w:t>
      </w:r>
      <w:r w:rsidRPr="008D0AEE">
        <w:rPr>
          <w:lang w:val="fr-FR"/>
        </w:rPr>
        <w:t>enue à Genève du 6 au 8 décembre 2017</w:t>
      </w:r>
    </w:p>
    <w:p w:rsidR="00DC29F1" w:rsidRPr="00DC29F1" w:rsidRDefault="00DC29F1" w:rsidP="00DC29F1">
      <w:pPr>
        <w:spacing w:after="120"/>
        <w:rPr>
          <w:sz w:val="28"/>
        </w:rPr>
      </w:pPr>
      <w:r w:rsidRPr="00DC29F1">
        <w:rPr>
          <w:sz w:val="28"/>
        </w:rPr>
        <w:t>Table des matières</w:t>
      </w:r>
    </w:p>
    <w:p w:rsidR="00B627DC" w:rsidRPr="008D0AEE" w:rsidRDefault="00B627DC" w:rsidP="00B627DC">
      <w:pPr>
        <w:tabs>
          <w:tab w:val="right" w:pos="8929"/>
          <w:tab w:val="right" w:pos="9638"/>
        </w:tabs>
        <w:spacing w:after="120"/>
        <w:ind w:left="283"/>
        <w:rPr>
          <w:i/>
          <w:sz w:val="18"/>
          <w:lang w:val="fr-FR"/>
        </w:rPr>
      </w:pPr>
      <w:r w:rsidRPr="008D0AEE">
        <w:rPr>
          <w:i/>
          <w:sz w:val="18"/>
          <w:lang w:val="fr-FR"/>
        </w:rPr>
        <w:tab/>
        <w:t>Paragraphes</w:t>
      </w:r>
      <w:r w:rsidRPr="008D0AEE">
        <w:rPr>
          <w:i/>
          <w:sz w:val="18"/>
          <w:lang w:val="fr-FR"/>
        </w:rPr>
        <w:tab/>
        <w:t>Page</w:t>
      </w:r>
    </w:p>
    <w:p w:rsidR="00B627DC" w:rsidRPr="003E6CD1" w:rsidRDefault="00B627DC" w:rsidP="00B627DC">
      <w:pPr>
        <w:tabs>
          <w:tab w:val="right" w:pos="850"/>
          <w:tab w:val="right" w:leader="dot" w:pos="7654"/>
          <w:tab w:val="right" w:pos="8929"/>
          <w:tab w:val="right" w:pos="9638"/>
        </w:tabs>
        <w:spacing w:after="120"/>
        <w:ind w:left="1134" w:hanging="1134"/>
        <w:rPr>
          <w:lang w:val="fr-FR"/>
        </w:rPr>
      </w:pPr>
      <w:r w:rsidRPr="003E6CD1">
        <w:rPr>
          <w:lang w:val="fr-FR"/>
        </w:rPr>
        <w:tab/>
        <w:t>I.</w:t>
      </w:r>
      <w:r w:rsidRPr="003E6CD1">
        <w:rPr>
          <w:lang w:val="fr-FR"/>
        </w:rPr>
        <w:tab/>
        <w:t>Participation</w:t>
      </w:r>
      <w:r w:rsidRPr="003E6CD1">
        <w:rPr>
          <w:lang w:val="fr-FR"/>
        </w:rPr>
        <w:tab/>
      </w:r>
      <w:r w:rsidRPr="003E6CD1">
        <w:rPr>
          <w:lang w:val="fr-FR"/>
        </w:rPr>
        <w:tab/>
        <w:t>1</w:t>
      </w:r>
      <w:r w:rsidR="00FC6D72">
        <w:rPr>
          <w:lang w:val="fr-FR"/>
        </w:rPr>
        <w:t>−</w:t>
      </w:r>
      <w:r w:rsidRPr="003E6CD1">
        <w:rPr>
          <w:lang w:val="fr-FR"/>
        </w:rPr>
        <w:t>6</w:t>
      </w:r>
      <w:r w:rsidRPr="003E6CD1">
        <w:rPr>
          <w:lang w:val="fr-FR"/>
        </w:rPr>
        <w:tab/>
      </w:r>
      <w:r w:rsidR="00A97809">
        <w:rPr>
          <w:lang w:val="fr-FR"/>
        </w:rPr>
        <w:t>3</w:t>
      </w:r>
    </w:p>
    <w:p w:rsidR="00B627DC" w:rsidRPr="003E6CD1" w:rsidRDefault="00B627DC" w:rsidP="00B627DC">
      <w:pPr>
        <w:tabs>
          <w:tab w:val="right" w:pos="850"/>
          <w:tab w:val="right" w:leader="dot" w:pos="7654"/>
          <w:tab w:val="right" w:pos="8929"/>
          <w:tab w:val="right" w:pos="9638"/>
        </w:tabs>
        <w:spacing w:after="120"/>
        <w:ind w:left="1134" w:hanging="1134"/>
        <w:rPr>
          <w:lang w:val="fr-FR"/>
        </w:rPr>
      </w:pPr>
      <w:r w:rsidRPr="003E6CD1">
        <w:rPr>
          <w:lang w:val="fr-FR"/>
        </w:rPr>
        <w:tab/>
        <w:t>II.</w:t>
      </w:r>
      <w:r w:rsidRPr="003E6CD1">
        <w:rPr>
          <w:lang w:val="fr-FR"/>
        </w:rPr>
        <w:tab/>
        <w:t>Adoption de l</w:t>
      </w:r>
      <w:r>
        <w:rPr>
          <w:lang w:val="fr-FR"/>
        </w:rPr>
        <w:t>’</w:t>
      </w:r>
      <w:r w:rsidRPr="003E6CD1">
        <w:rPr>
          <w:lang w:val="fr-FR"/>
        </w:rPr>
        <w:t>ordre du jour (point 1 de l</w:t>
      </w:r>
      <w:r>
        <w:rPr>
          <w:lang w:val="fr-FR"/>
        </w:rPr>
        <w:t>’</w:t>
      </w:r>
      <w:r w:rsidRPr="003E6CD1">
        <w:rPr>
          <w:lang w:val="fr-FR"/>
        </w:rPr>
        <w:t>ordre du jour)</w:t>
      </w:r>
      <w:r w:rsidRPr="003E6CD1">
        <w:rPr>
          <w:lang w:val="fr-FR"/>
        </w:rPr>
        <w:tab/>
      </w:r>
      <w:r w:rsidRPr="003E6CD1">
        <w:rPr>
          <w:lang w:val="fr-FR"/>
        </w:rPr>
        <w:tab/>
        <w:t>7</w:t>
      </w:r>
      <w:r w:rsidRPr="003E6CD1">
        <w:rPr>
          <w:lang w:val="fr-FR"/>
        </w:rPr>
        <w:tab/>
      </w:r>
      <w:r w:rsidR="00A97809">
        <w:rPr>
          <w:lang w:val="fr-FR"/>
        </w:rPr>
        <w:t>3</w:t>
      </w:r>
    </w:p>
    <w:p w:rsidR="00B627DC" w:rsidRPr="003E6CD1" w:rsidRDefault="00B627DC" w:rsidP="00B627DC">
      <w:pPr>
        <w:tabs>
          <w:tab w:val="right" w:pos="850"/>
          <w:tab w:val="right" w:leader="dot" w:pos="7654"/>
          <w:tab w:val="right" w:pos="8929"/>
          <w:tab w:val="right" w:pos="9638"/>
        </w:tabs>
        <w:spacing w:after="120"/>
        <w:ind w:left="1134" w:hanging="1134"/>
        <w:rPr>
          <w:lang w:val="fr-FR"/>
        </w:rPr>
      </w:pPr>
      <w:r w:rsidRPr="003E6CD1">
        <w:rPr>
          <w:lang w:val="fr-FR"/>
        </w:rPr>
        <w:tab/>
        <w:t>III.</w:t>
      </w:r>
      <w:r w:rsidRPr="003E6CD1">
        <w:rPr>
          <w:lang w:val="fr-FR"/>
        </w:rPr>
        <w:tab/>
        <w:t>Critères de classement et communication des dangers</w:t>
      </w:r>
      <w:r w:rsidRPr="003E6CD1">
        <w:rPr>
          <w:lang w:val="fr-FR"/>
        </w:rPr>
        <w:br/>
        <w:t xml:space="preserve"> (point 2 de l</w:t>
      </w:r>
      <w:r>
        <w:rPr>
          <w:lang w:val="fr-FR"/>
        </w:rPr>
        <w:t>’</w:t>
      </w:r>
      <w:r w:rsidRPr="003E6CD1">
        <w:rPr>
          <w:lang w:val="fr-FR"/>
        </w:rPr>
        <w:t>ordre du jour)</w:t>
      </w:r>
      <w:r w:rsidRPr="003E6CD1">
        <w:rPr>
          <w:lang w:val="fr-FR"/>
        </w:rPr>
        <w:tab/>
      </w:r>
      <w:r w:rsidRPr="003E6CD1">
        <w:rPr>
          <w:lang w:val="fr-FR"/>
        </w:rPr>
        <w:tab/>
        <w:t>8−</w:t>
      </w:r>
      <w:r w:rsidR="00FC6D72">
        <w:rPr>
          <w:lang w:val="fr-FR"/>
        </w:rPr>
        <w:t>41</w:t>
      </w:r>
      <w:r w:rsidRPr="003E6CD1">
        <w:rPr>
          <w:lang w:val="fr-FR"/>
        </w:rPr>
        <w:tab/>
      </w:r>
      <w:r w:rsidR="00A97809">
        <w:rPr>
          <w:lang w:val="fr-FR"/>
        </w:rPr>
        <w:t>3</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A.</w:t>
      </w:r>
      <w:r w:rsidRPr="003E6CD1">
        <w:rPr>
          <w:lang w:val="fr-FR"/>
        </w:rPr>
        <w:tab/>
      </w:r>
      <w:bookmarkStart w:id="1" w:name="_Hlk506472316"/>
      <w:r w:rsidRPr="003E6CD1">
        <w:rPr>
          <w:lang w:val="fr-FR"/>
        </w:rPr>
        <w:t xml:space="preserve">Travaux du Sous-Comité TMD sur des questions intéressant </w:t>
      </w:r>
      <w:r w:rsidRPr="003E6CD1">
        <w:rPr>
          <w:lang w:val="fr-FR"/>
        </w:rPr>
        <w:br/>
        <w:t>le Sous-Comité SGH</w:t>
      </w:r>
      <w:bookmarkEnd w:id="1"/>
      <w:r w:rsidRPr="003E6CD1">
        <w:rPr>
          <w:lang w:val="fr-FR"/>
        </w:rPr>
        <w:tab/>
      </w:r>
      <w:r w:rsidRPr="003E6CD1">
        <w:rPr>
          <w:lang w:val="fr-FR"/>
        </w:rPr>
        <w:tab/>
        <w:t>8−1</w:t>
      </w:r>
      <w:r w:rsidR="00FC6D72">
        <w:rPr>
          <w:lang w:val="fr-FR"/>
        </w:rPr>
        <w:t>3</w:t>
      </w:r>
      <w:r w:rsidRPr="003E6CD1">
        <w:rPr>
          <w:lang w:val="fr-FR"/>
        </w:rPr>
        <w:tab/>
      </w:r>
      <w:r w:rsidR="00A97809">
        <w:rPr>
          <w:lang w:val="fr-FR"/>
        </w:rPr>
        <w:t>3</w:t>
      </w:r>
    </w:p>
    <w:p w:rsidR="00B627DC" w:rsidRPr="003E6CD1" w:rsidRDefault="00B627DC" w:rsidP="00B47F28">
      <w:pPr>
        <w:tabs>
          <w:tab w:val="right" w:leader="dot" w:pos="7654"/>
          <w:tab w:val="right" w:pos="8929"/>
          <w:tab w:val="right" w:pos="9638"/>
        </w:tabs>
        <w:spacing w:after="120"/>
        <w:ind w:left="1984" w:hanging="425"/>
        <w:rPr>
          <w:lang w:val="fr-FR"/>
        </w:rPr>
      </w:pPr>
      <w:r w:rsidRPr="008D0AEE">
        <w:rPr>
          <w:lang w:val="fr-FR"/>
        </w:rPr>
        <w:t>1</w:t>
      </w:r>
      <w:r w:rsidRPr="003E6CD1">
        <w:rPr>
          <w:lang w:val="fr-FR"/>
        </w:rPr>
        <w:t>.</w:t>
      </w:r>
      <w:r w:rsidRPr="003E6CD1">
        <w:rPr>
          <w:lang w:val="fr-FR"/>
        </w:rPr>
        <w:tab/>
      </w:r>
      <w:bookmarkStart w:id="2" w:name="_Hlk506472332"/>
      <w:r w:rsidRPr="003E6CD1">
        <w:rPr>
          <w:lang w:val="fr-FR"/>
        </w:rPr>
        <w:t>Épreuves de stabilité pour la nitrocellulose industrielle</w:t>
      </w:r>
      <w:bookmarkEnd w:id="2"/>
      <w:r w:rsidR="00FC6D72">
        <w:rPr>
          <w:lang w:val="fr-FR"/>
        </w:rPr>
        <w:tab/>
      </w:r>
      <w:r w:rsidR="00FC6D72">
        <w:rPr>
          <w:lang w:val="fr-FR"/>
        </w:rPr>
        <w:tab/>
        <w:t>8</w:t>
      </w:r>
      <w:r w:rsidRPr="003E6CD1">
        <w:rPr>
          <w:lang w:val="fr-FR"/>
        </w:rPr>
        <w:tab/>
      </w:r>
      <w:r w:rsidR="00A97809">
        <w:rPr>
          <w:lang w:val="fr-FR"/>
        </w:rPr>
        <w:t>4</w:t>
      </w:r>
    </w:p>
    <w:p w:rsidR="00B627DC" w:rsidRPr="003E6CD1" w:rsidRDefault="00B627DC" w:rsidP="00B627DC">
      <w:pPr>
        <w:tabs>
          <w:tab w:val="right" w:leader="dot" w:pos="7654"/>
          <w:tab w:val="right" w:pos="8929"/>
          <w:tab w:val="right" w:pos="9638"/>
        </w:tabs>
        <w:spacing w:after="120"/>
        <w:ind w:left="1984" w:hanging="425"/>
        <w:rPr>
          <w:lang w:val="fr-FR"/>
        </w:rPr>
      </w:pPr>
      <w:r w:rsidRPr="008D0AEE">
        <w:rPr>
          <w:lang w:val="fr-FR"/>
        </w:rPr>
        <w:t>2</w:t>
      </w:r>
      <w:r w:rsidRPr="003E6CD1">
        <w:rPr>
          <w:lang w:val="fr-FR"/>
        </w:rPr>
        <w:t>.</w:t>
      </w:r>
      <w:r w:rsidRPr="003E6CD1">
        <w:rPr>
          <w:lang w:val="fr-FR"/>
        </w:rPr>
        <w:tab/>
      </w:r>
      <w:bookmarkStart w:id="3" w:name="_Hlk506472350"/>
      <w:r w:rsidRPr="003E6CD1">
        <w:rPr>
          <w:lang w:val="fr-FR"/>
        </w:rPr>
        <w:t>Épreuves relatives aux matières comburantes</w:t>
      </w:r>
      <w:bookmarkEnd w:id="3"/>
      <w:r w:rsidRPr="003E6CD1">
        <w:rPr>
          <w:lang w:val="fr-FR"/>
        </w:rPr>
        <w:tab/>
      </w:r>
      <w:r w:rsidRPr="003E6CD1">
        <w:rPr>
          <w:lang w:val="fr-FR"/>
        </w:rPr>
        <w:tab/>
      </w:r>
      <w:r w:rsidR="00FC6D72">
        <w:rPr>
          <w:lang w:val="fr-FR"/>
        </w:rPr>
        <w:t>9</w:t>
      </w:r>
      <w:r w:rsidRPr="003E6CD1">
        <w:rPr>
          <w:lang w:val="fr-FR"/>
        </w:rPr>
        <w:tab/>
      </w:r>
      <w:r w:rsidR="00A97809">
        <w:rPr>
          <w:lang w:val="fr-FR"/>
        </w:rPr>
        <w:t>4</w:t>
      </w:r>
    </w:p>
    <w:p w:rsidR="00B627DC" w:rsidRPr="003E6CD1" w:rsidRDefault="00B627DC" w:rsidP="00B627DC">
      <w:pPr>
        <w:tabs>
          <w:tab w:val="right" w:leader="dot" w:pos="7654"/>
          <w:tab w:val="right" w:pos="8929"/>
          <w:tab w:val="right" w:pos="9638"/>
        </w:tabs>
        <w:spacing w:after="120"/>
        <w:ind w:left="1984" w:hanging="425"/>
        <w:rPr>
          <w:lang w:val="fr-FR"/>
        </w:rPr>
      </w:pPr>
      <w:r w:rsidRPr="008D0AEE">
        <w:rPr>
          <w:lang w:val="fr-FR"/>
        </w:rPr>
        <w:t>3</w:t>
      </w:r>
      <w:r w:rsidRPr="003E6CD1">
        <w:rPr>
          <w:lang w:val="fr-FR"/>
        </w:rPr>
        <w:t>.</w:t>
      </w:r>
      <w:r w:rsidRPr="003E6CD1">
        <w:rPr>
          <w:lang w:val="fr-FR"/>
        </w:rPr>
        <w:tab/>
      </w:r>
      <w:bookmarkStart w:id="4" w:name="_Hlk506472365"/>
      <w:r w:rsidRPr="003E6CD1">
        <w:rPr>
          <w:lang w:val="fr-FR"/>
        </w:rPr>
        <w:t>Utilisation du Manuel d</w:t>
      </w:r>
      <w:r>
        <w:rPr>
          <w:lang w:val="fr-FR"/>
        </w:rPr>
        <w:t>’</w:t>
      </w:r>
      <w:r w:rsidRPr="003E6CD1">
        <w:rPr>
          <w:lang w:val="fr-FR"/>
        </w:rPr>
        <w:t xml:space="preserve">épreuves et de critères dans le contexte </w:t>
      </w:r>
      <w:r w:rsidRPr="003E6CD1">
        <w:rPr>
          <w:lang w:val="fr-FR"/>
        </w:rPr>
        <w:br/>
        <w:t>du SGH</w:t>
      </w:r>
      <w:bookmarkEnd w:id="4"/>
      <w:r w:rsidRPr="003E6CD1">
        <w:rPr>
          <w:lang w:val="fr-FR"/>
        </w:rPr>
        <w:tab/>
      </w:r>
      <w:r w:rsidRPr="003E6CD1">
        <w:rPr>
          <w:lang w:val="fr-FR"/>
        </w:rPr>
        <w:tab/>
      </w:r>
      <w:r w:rsidR="00FC6D72">
        <w:rPr>
          <w:lang w:val="fr-FR"/>
        </w:rPr>
        <w:t>10−11</w:t>
      </w:r>
      <w:r w:rsidRPr="003E6CD1">
        <w:rPr>
          <w:lang w:val="fr-FR"/>
        </w:rPr>
        <w:tab/>
      </w:r>
      <w:r w:rsidR="00A97809">
        <w:rPr>
          <w:lang w:val="fr-FR"/>
        </w:rPr>
        <w:t>4</w:t>
      </w:r>
    </w:p>
    <w:p w:rsidR="00B627DC" w:rsidRPr="003E6CD1" w:rsidRDefault="00B627DC" w:rsidP="00B627DC">
      <w:pPr>
        <w:tabs>
          <w:tab w:val="right" w:leader="dot" w:pos="7654"/>
          <w:tab w:val="right" w:pos="8929"/>
          <w:tab w:val="right" w:pos="9638"/>
        </w:tabs>
        <w:spacing w:after="120"/>
        <w:ind w:left="1984" w:hanging="425"/>
        <w:rPr>
          <w:lang w:val="fr-FR"/>
        </w:rPr>
      </w:pPr>
      <w:r w:rsidRPr="008D0AEE">
        <w:rPr>
          <w:lang w:val="fr-FR"/>
        </w:rPr>
        <w:t>4</w:t>
      </w:r>
      <w:r w:rsidRPr="003E6CD1">
        <w:rPr>
          <w:lang w:val="fr-FR"/>
        </w:rPr>
        <w:t>.</w:t>
      </w:r>
      <w:r w:rsidRPr="003E6CD1">
        <w:rPr>
          <w:lang w:val="fr-FR"/>
        </w:rPr>
        <w:tab/>
      </w:r>
      <w:bookmarkStart w:id="5" w:name="_Hlk506472382"/>
      <w:r w:rsidRPr="003E6CD1">
        <w:rPr>
          <w:lang w:val="fr-FR"/>
        </w:rPr>
        <w:t>Classement des explosifs désensibilisés</w:t>
      </w:r>
      <w:r w:rsidRPr="008D0AEE">
        <w:rPr>
          <w:lang w:val="fr-FR"/>
        </w:rPr>
        <w:t xml:space="preserve"> aux fins de la distribution </w:t>
      </w:r>
      <w:r w:rsidRPr="008D0AEE">
        <w:rPr>
          <w:lang w:val="fr-FR"/>
        </w:rPr>
        <w:br/>
        <w:t xml:space="preserve">et </w:t>
      </w:r>
      <w:r>
        <w:rPr>
          <w:lang w:val="fr-FR"/>
        </w:rPr>
        <w:t xml:space="preserve">de </w:t>
      </w:r>
      <w:r w:rsidRPr="008D0AEE">
        <w:rPr>
          <w:lang w:val="fr-FR"/>
        </w:rPr>
        <w:t>l</w:t>
      </w:r>
      <w:r>
        <w:rPr>
          <w:lang w:val="fr-FR"/>
        </w:rPr>
        <w:t>’</w:t>
      </w:r>
      <w:r w:rsidRPr="008D0AEE">
        <w:rPr>
          <w:lang w:val="fr-FR"/>
        </w:rPr>
        <w:t xml:space="preserve">utilisation conformément aux résultats des épreuves </w:t>
      </w:r>
      <w:r w:rsidR="005F3BFE">
        <w:rPr>
          <w:lang w:val="fr-FR"/>
        </w:rPr>
        <w:br/>
      </w:r>
      <w:r w:rsidRPr="008D0AEE">
        <w:rPr>
          <w:lang w:val="fr-FR"/>
        </w:rPr>
        <w:t>du chapitre</w:t>
      </w:r>
      <w:r w:rsidR="005F3BFE">
        <w:rPr>
          <w:lang w:val="fr-FR"/>
        </w:rPr>
        <w:t xml:space="preserve"> </w:t>
      </w:r>
      <w:r w:rsidRPr="008D0AEE">
        <w:rPr>
          <w:lang w:val="fr-FR"/>
        </w:rPr>
        <w:t>2.17 du SGH applicables à la nitrocellulose industrielle</w:t>
      </w:r>
      <w:bookmarkEnd w:id="5"/>
      <w:r w:rsidRPr="003E6CD1">
        <w:rPr>
          <w:lang w:val="fr-FR"/>
        </w:rPr>
        <w:tab/>
      </w:r>
      <w:r w:rsidRPr="003E6CD1">
        <w:rPr>
          <w:lang w:val="fr-FR"/>
        </w:rPr>
        <w:tab/>
      </w:r>
      <w:r w:rsidR="00FC6D72">
        <w:rPr>
          <w:lang w:val="fr-FR"/>
        </w:rPr>
        <w:t>12−13</w:t>
      </w:r>
      <w:r w:rsidRPr="003E6CD1">
        <w:rPr>
          <w:lang w:val="fr-FR"/>
        </w:rPr>
        <w:tab/>
      </w:r>
      <w:r w:rsidR="00A97809">
        <w:rPr>
          <w:lang w:val="fr-FR"/>
        </w:rPr>
        <w:t>4</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B.</w:t>
      </w:r>
      <w:r w:rsidRPr="003E6CD1">
        <w:rPr>
          <w:lang w:val="fr-FR"/>
        </w:rPr>
        <w:tab/>
      </w:r>
      <w:bookmarkStart w:id="6" w:name="_Hlk506472409"/>
      <w:r w:rsidRPr="003E6CD1">
        <w:rPr>
          <w:lang w:val="fr-FR"/>
        </w:rPr>
        <w:t xml:space="preserve">Révision du chapitre </w:t>
      </w:r>
      <w:bookmarkEnd w:id="6"/>
      <w:r w:rsidRPr="003E6CD1">
        <w:rPr>
          <w:lang w:val="fr-FR"/>
        </w:rPr>
        <w:t>2.1</w:t>
      </w:r>
      <w:r w:rsidRPr="003E6CD1">
        <w:rPr>
          <w:lang w:val="fr-FR"/>
        </w:rPr>
        <w:tab/>
      </w:r>
      <w:r w:rsidRPr="003E6CD1">
        <w:rPr>
          <w:lang w:val="fr-FR"/>
        </w:rPr>
        <w:tab/>
      </w:r>
      <w:r w:rsidR="005F3BFE">
        <w:rPr>
          <w:lang w:val="fr-FR"/>
        </w:rPr>
        <w:t>14−19</w:t>
      </w:r>
      <w:r w:rsidRPr="003E6CD1">
        <w:rPr>
          <w:lang w:val="fr-FR"/>
        </w:rPr>
        <w:tab/>
      </w:r>
      <w:r w:rsidR="00A97809">
        <w:rPr>
          <w:lang w:val="fr-FR"/>
        </w:rPr>
        <w:t>4</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C.</w:t>
      </w:r>
      <w:r w:rsidRPr="003E6CD1">
        <w:rPr>
          <w:lang w:val="fr-FR"/>
        </w:rPr>
        <w:tab/>
      </w:r>
      <w:bookmarkStart w:id="7" w:name="_Hlk506472436"/>
      <w:r w:rsidRPr="003E6CD1">
        <w:rPr>
          <w:lang w:val="fr-FR"/>
        </w:rPr>
        <w:t>Danger d</w:t>
      </w:r>
      <w:r>
        <w:rPr>
          <w:lang w:val="fr-FR"/>
        </w:rPr>
        <w:t>’</w:t>
      </w:r>
      <w:r w:rsidRPr="003E6CD1">
        <w:rPr>
          <w:lang w:val="fr-FR"/>
        </w:rPr>
        <w:t>explosion de poussières</w:t>
      </w:r>
      <w:bookmarkEnd w:id="7"/>
      <w:r w:rsidRPr="003E6CD1">
        <w:rPr>
          <w:lang w:val="fr-FR"/>
        </w:rPr>
        <w:tab/>
      </w:r>
      <w:r w:rsidRPr="003E6CD1">
        <w:rPr>
          <w:lang w:val="fr-FR"/>
        </w:rPr>
        <w:tab/>
      </w:r>
      <w:r w:rsidR="005F3BFE">
        <w:rPr>
          <w:lang w:val="fr-FR"/>
        </w:rPr>
        <w:t>20</w:t>
      </w:r>
      <w:r w:rsidRPr="003E6CD1">
        <w:rPr>
          <w:lang w:val="fr-FR"/>
        </w:rPr>
        <w:tab/>
      </w:r>
      <w:r w:rsidR="00A97809">
        <w:rPr>
          <w:lang w:val="fr-FR"/>
        </w:rPr>
        <w:t>5</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D.</w:t>
      </w:r>
      <w:r w:rsidRPr="003E6CD1">
        <w:rPr>
          <w:lang w:val="fr-FR"/>
        </w:rPr>
        <w:tab/>
      </w:r>
      <w:bookmarkStart w:id="8" w:name="_Hlk506472453"/>
      <w:r w:rsidRPr="003E6CD1">
        <w:rPr>
          <w:lang w:val="fr-FR"/>
        </w:rPr>
        <w:t>Utilisation de méthodes d</w:t>
      </w:r>
      <w:r>
        <w:rPr>
          <w:lang w:val="fr-FR"/>
        </w:rPr>
        <w:t>’</w:t>
      </w:r>
      <w:r w:rsidRPr="003E6CD1">
        <w:rPr>
          <w:lang w:val="fr-FR"/>
        </w:rPr>
        <w:t xml:space="preserve">expérimentation non animales </w:t>
      </w:r>
      <w:r w:rsidR="00BC7732">
        <w:rPr>
          <w:lang w:val="fr-FR"/>
        </w:rPr>
        <w:br/>
      </w:r>
      <w:r w:rsidRPr="003E6CD1">
        <w:rPr>
          <w:lang w:val="fr-FR"/>
        </w:rPr>
        <w:t>pour le classement des dangers pour la santé</w:t>
      </w:r>
      <w:bookmarkEnd w:id="8"/>
      <w:r w:rsidRPr="003E6CD1">
        <w:rPr>
          <w:lang w:val="fr-FR"/>
        </w:rPr>
        <w:tab/>
      </w:r>
      <w:r w:rsidRPr="003E6CD1">
        <w:rPr>
          <w:lang w:val="fr-FR"/>
        </w:rPr>
        <w:tab/>
      </w:r>
      <w:r w:rsidR="005F3BFE">
        <w:rPr>
          <w:lang w:val="fr-FR"/>
        </w:rPr>
        <w:t>21−24</w:t>
      </w:r>
      <w:r w:rsidRPr="003E6CD1">
        <w:rPr>
          <w:lang w:val="fr-FR"/>
        </w:rPr>
        <w:tab/>
      </w:r>
      <w:r w:rsidR="00A97809">
        <w:rPr>
          <w:lang w:val="fr-FR"/>
        </w:rPr>
        <w:t>5</w:t>
      </w:r>
    </w:p>
    <w:p w:rsidR="00B627DC" w:rsidRPr="008D0AEE" w:rsidRDefault="00B627DC" w:rsidP="00B627DC">
      <w:pPr>
        <w:tabs>
          <w:tab w:val="right" w:leader="dot" w:pos="7654"/>
          <w:tab w:val="right" w:pos="8929"/>
          <w:tab w:val="right" w:pos="9638"/>
        </w:tabs>
        <w:spacing w:after="120"/>
        <w:ind w:left="1559" w:hanging="425"/>
        <w:rPr>
          <w:lang w:val="fr-FR"/>
        </w:rPr>
      </w:pPr>
      <w:r w:rsidRPr="003E6CD1">
        <w:rPr>
          <w:lang w:val="fr-FR"/>
        </w:rPr>
        <w:t>E.</w:t>
      </w:r>
      <w:r w:rsidRPr="003E6CD1">
        <w:rPr>
          <w:lang w:val="fr-FR"/>
        </w:rPr>
        <w:tab/>
      </w:r>
      <w:bookmarkStart w:id="9" w:name="_Hlk506472468"/>
      <w:r w:rsidRPr="003E6CD1">
        <w:rPr>
          <w:lang w:val="fr-FR"/>
        </w:rPr>
        <w:t>Questions pratiques de classement</w:t>
      </w:r>
      <w:bookmarkEnd w:id="9"/>
      <w:r w:rsidRPr="003E6CD1">
        <w:rPr>
          <w:lang w:val="fr-FR"/>
        </w:rPr>
        <w:tab/>
      </w:r>
      <w:r w:rsidRPr="003E6CD1">
        <w:rPr>
          <w:lang w:val="fr-FR"/>
        </w:rPr>
        <w:tab/>
      </w:r>
      <w:r w:rsidR="005F3BFE">
        <w:rPr>
          <w:lang w:val="fr-FR"/>
        </w:rPr>
        <w:t>25−29</w:t>
      </w:r>
      <w:r w:rsidRPr="003E6CD1">
        <w:rPr>
          <w:lang w:val="fr-FR"/>
        </w:rPr>
        <w:tab/>
      </w:r>
      <w:r w:rsidR="00A97809">
        <w:rPr>
          <w:lang w:val="fr-FR"/>
        </w:rPr>
        <w:t>6</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F.</w:t>
      </w:r>
      <w:r w:rsidRPr="003E6CD1">
        <w:rPr>
          <w:lang w:val="fr-FR"/>
        </w:rPr>
        <w:tab/>
      </w:r>
      <w:bookmarkStart w:id="10" w:name="_Hlk506472481"/>
      <w:r w:rsidRPr="003E6CD1">
        <w:rPr>
          <w:lang w:val="fr-FR"/>
        </w:rPr>
        <w:t>Danger par aspiration</w:t>
      </w:r>
      <w:bookmarkEnd w:id="10"/>
      <w:r w:rsidRPr="003E6CD1">
        <w:rPr>
          <w:lang w:val="fr-FR"/>
        </w:rPr>
        <w:tab/>
      </w:r>
      <w:r w:rsidRPr="003E6CD1">
        <w:rPr>
          <w:lang w:val="fr-FR"/>
        </w:rPr>
        <w:tab/>
      </w:r>
      <w:r w:rsidR="005F3BFE">
        <w:rPr>
          <w:lang w:val="fr-FR"/>
        </w:rPr>
        <w:t>30</w:t>
      </w:r>
      <w:r w:rsidRPr="003E6CD1">
        <w:rPr>
          <w:lang w:val="fr-FR"/>
        </w:rPr>
        <w:tab/>
      </w:r>
      <w:r w:rsidR="00A97809">
        <w:rPr>
          <w:lang w:val="fr-FR"/>
        </w:rPr>
        <w:t>7</w:t>
      </w:r>
    </w:p>
    <w:p w:rsidR="00B627DC" w:rsidRPr="003E6CD1" w:rsidRDefault="00B627DC" w:rsidP="00B627DC">
      <w:pPr>
        <w:tabs>
          <w:tab w:val="right" w:leader="dot" w:pos="7654"/>
          <w:tab w:val="right" w:pos="8929"/>
          <w:tab w:val="right" w:pos="9638"/>
        </w:tabs>
        <w:spacing w:after="120"/>
        <w:ind w:left="1559" w:hanging="425"/>
        <w:rPr>
          <w:lang w:val="fr-FR"/>
        </w:rPr>
      </w:pPr>
      <w:r w:rsidRPr="008D0AEE">
        <w:rPr>
          <w:lang w:val="fr-FR"/>
        </w:rPr>
        <w:tab/>
        <w:t xml:space="preserve">Élaboration de critères </w:t>
      </w:r>
      <w:r>
        <w:rPr>
          <w:lang w:val="fr-FR"/>
        </w:rPr>
        <w:t>de substitution pour la détermination</w:t>
      </w:r>
      <w:r w:rsidRPr="008D0AEE">
        <w:rPr>
          <w:lang w:val="fr-FR"/>
        </w:rPr>
        <w:t xml:space="preserve"> de</w:t>
      </w:r>
      <w:r>
        <w:rPr>
          <w:lang w:val="fr-FR"/>
        </w:rPr>
        <w:t xml:space="preserve"> la</w:t>
      </w:r>
      <w:r w:rsidRPr="008D0AEE">
        <w:rPr>
          <w:lang w:val="fr-FR"/>
        </w:rPr>
        <w:t xml:space="preserve"> viscosité </w:t>
      </w:r>
      <w:r>
        <w:rPr>
          <w:lang w:val="fr-FR"/>
        </w:rPr>
        <w:br/>
        <w:t>des </w:t>
      </w:r>
      <w:r w:rsidRPr="008D0AEE">
        <w:rPr>
          <w:lang w:val="fr-FR"/>
        </w:rPr>
        <w:t>mélanges à</w:t>
      </w:r>
      <w:r>
        <w:rPr>
          <w:lang w:val="fr-FR"/>
        </w:rPr>
        <w:t> </w:t>
      </w:r>
      <w:r w:rsidRPr="008D0AEE">
        <w:rPr>
          <w:lang w:val="fr-FR"/>
        </w:rPr>
        <w:t>la température ambiante (23 °C)</w:t>
      </w:r>
      <w:r w:rsidRPr="008D0AEE">
        <w:rPr>
          <w:lang w:val="fr-FR"/>
        </w:rPr>
        <w:tab/>
      </w:r>
      <w:r w:rsidRPr="008D0AEE">
        <w:rPr>
          <w:lang w:val="fr-FR"/>
        </w:rPr>
        <w:tab/>
      </w:r>
      <w:r w:rsidR="005F3BFE">
        <w:rPr>
          <w:lang w:val="fr-FR"/>
        </w:rPr>
        <w:t>30</w:t>
      </w:r>
      <w:r w:rsidRPr="008D0AEE">
        <w:rPr>
          <w:lang w:val="fr-FR"/>
        </w:rPr>
        <w:tab/>
      </w:r>
      <w:r w:rsidR="00A97809">
        <w:rPr>
          <w:lang w:val="fr-FR"/>
        </w:rPr>
        <w:t>7</w:t>
      </w:r>
    </w:p>
    <w:p w:rsidR="00B627DC" w:rsidRPr="003E6CD1" w:rsidRDefault="00B627DC" w:rsidP="004C7C11">
      <w:pPr>
        <w:keepNext/>
        <w:tabs>
          <w:tab w:val="right" w:leader="dot" w:pos="7654"/>
          <w:tab w:val="right" w:pos="8929"/>
          <w:tab w:val="right" w:pos="9638"/>
        </w:tabs>
        <w:spacing w:after="120"/>
        <w:ind w:left="1559" w:hanging="425"/>
        <w:rPr>
          <w:lang w:val="fr-FR"/>
        </w:rPr>
      </w:pPr>
      <w:r w:rsidRPr="003E6CD1">
        <w:rPr>
          <w:lang w:val="fr-FR"/>
        </w:rPr>
        <w:lastRenderedPageBreak/>
        <w:t>G.</w:t>
      </w:r>
      <w:r w:rsidRPr="003E6CD1">
        <w:rPr>
          <w:lang w:val="fr-FR"/>
        </w:rPr>
        <w:tab/>
      </w:r>
      <w:bookmarkStart w:id="11" w:name="_Hlk506472527"/>
      <w:r w:rsidRPr="003E6CD1">
        <w:rPr>
          <w:lang w:val="fr-FR"/>
        </w:rPr>
        <w:t>Nanomatériaux</w:t>
      </w:r>
      <w:bookmarkEnd w:id="11"/>
      <w:r w:rsidRPr="003E6CD1">
        <w:rPr>
          <w:lang w:val="fr-FR"/>
        </w:rPr>
        <w:tab/>
      </w:r>
      <w:r w:rsidRPr="003E6CD1">
        <w:rPr>
          <w:lang w:val="fr-FR"/>
        </w:rPr>
        <w:tab/>
      </w:r>
      <w:r w:rsidR="004C7C11">
        <w:rPr>
          <w:lang w:val="fr-FR"/>
        </w:rPr>
        <w:t>31</w:t>
      </w:r>
      <w:r w:rsidRPr="003E6CD1">
        <w:rPr>
          <w:lang w:val="fr-FR"/>
        </w:rPr>
        <w:tab/>
      </w:r>
      <w:r w:rsidR="00A97809">
        <w:rPr>
          <w:lang w:val="fr-FR"/>
        </w:rPr>
        <w:t>7</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H.</w:t>
      </w:r>
      <w:r w:rsidRPr="003E6CD1">
        <w:rPr>
          <w:lang w:val="fr-FR"/>
        </w:rPr>
        <w:tab/>
      </w:r>
      <w:bookmarkStart w:id="12" w:name="_Hlk506472538"/>
      <w:r w:rsidRPr="003E6CD1">
        <w:rPr>
          <w:lang w:val="fr-FR"/>
        </w:rPr>
        <w:t>Autres questions</w:t>
      </w:r>
      <w:bookmarkEnd w:id="12"/>
      <w:r w:rsidR="004C7C11">
        <w:rPr>
          <w:lang w:val="fr-FR"/>
        </w:rPr>
        <w:tab/>
      </w:r>
      <w:r w:rsidR="004C7C11">
        <w:rPr>
          <w:lang w:val="fr-FR"/>
        </w:rPr>
        <w:tab/>
        <w:t>32−41</w:t>
      </w:r>
      <w:r w:rsidRPr="003E6CD1">
        <w:rPr>
          <w:lang w:val="fr-FR"/>
        </w:rPr>
        <w:tab/>
      </w:r>
      <w:r w:rsidR="00146D47">
        <w:rPr>
          <w:lang w:val="fr-FR"/>
        </w:rPr>
        <w:t>7</w:t>
      </w:r>
    </w:p>
    <w:p w:rsidR="00B627DC" w:rsidRPr="008D0AEE" w:rsidRDefault="00B627DC" w:rsidP="00B47F28">
      <w:pPr>
        <w:tabs>
          <w:tab w:val="right" w:leader="dot" w:pos="7654"/>
          <w:tab w:val="right" w:pos="8929"/>
          <w:tab w:val="right" w:pos="9638"/>
        </w:tabs>
        <w:spacing w:after="120"/>
        <w:ind w:left="1984" w:hanging="425"/>
        <w:rPr>
          <w:lang w:val="fr-FR"/>
        </w:rPr>
      </w:pPr>
      <w:r w:rsidRPr="008D0AEE">
        <w:rPr>
          <w:lang w:val="fr-FR"/>
        </w:rPr>
        <w:t>1.</w:t>
      </w:r>
      <w:r w:rsidRPr="008D0AEE">
        <w:rPr>
          <w:lang w:val="fr-FR"/>
        </w:rPr>
        <w:tab/>
      </w:r>
      <w:bookmarkStart w:id="13" w:name="_Hlk506472553"/>
      <w:r w:rsidRPr="008D0AEE">
        <w:rPr>
          <w:lang w:val="fr-FR"/>
        </w:rPr>
        <w:t>Classement des dangers physiques selon le SGH</w:t>
      </w:r>
      <w:bookmarkEnd w:id="13"/>
      <w:r w:rsidRPr="008D0AEE">
        <w:rPr>
          <w:lang w:val="fr-FR"/>
        </w:rPr>
        <w:tab/>
      </w:r>
      <w:r w:rsidRPr="008D0AEE">
        <w:rPr>
          <w:lang w:val="fr-FR"/>
        </w:rPr>
        <w:tab/>
      </w:r>
      <w:r w:rsidR="004C7C11">
        <w:rPr>
          <w:lang w:val="fr-FR"/>
        </w:rPr>
        <w:t>32−33</w:t>
      </w:r>
      <w:r w:rsidRPr="008D0AEE">
        <w:rPr>
          <w:lang w:val="fr-FR"/>
        </w:rPr>
        <w:tab/>
      </w:r>
      <w:r w:rsidR="00146D47">
        <w:rPr>
          <w:lang w:val="fr-FR"/>
        </w:rPr>
        <w:t>7</w:t>
      </w:r>
    </w:p>
    <w:p w:rsidR="00B627DC" w:rsidRPr="008D0AEE" w:rsidRDefault="00B627DC" w:rsidP="00B47F28">
      <w:pPr>
        <w:tabs>
          <w:tab w:val="right" w:leader="dot" w:pos="7654"/>
          <w:tab w:val="right" w:pos="8929"/>
          <w:tab w:val="right" w:pos="9638"/>
        </w:tabs>
        <w:spacing w:after="120"/>
        <w:ind w:left="1984" w:hanging="425"/>
        <w:rPr>
          <w:lang w:val="fr-FR"/>
        </w:rPr>
      </w:pPr>
      <w:r w:rsidRPr="008D0AEE">
        <w:rPr>
          <w:lang w:val="fr-FR"/>
        </w:rPr>
        <w:t>2.</w:t>
      </w:r>
      <w:r w:rsidRPr="008D0AEE">
        <w:rPr>
          <w:lang w:val="fr-FR"/>
        </w:rPr>
        <w:tab/>
      </w:r>
      <w:bookmarkStart w:id="14" w:name="_Hlk506472567"/>
      <w:r w:rsidRPr="008D0AEE">
        <w:rPr>
          <w:lang w:val="fr-FR"/>
        </w:rPr>
        <w:t>Rectificatifs à la septième édition révisée du SGH</w:t>
      </w:r>
      <w:bookmarkEnd w:id="14"/>
      <w:r w:rsidRPr="008D0AEE">
        <w:rPr>
          <w:lang w:val="fr-FR"/>
        </w:rPr>
        <w:tab/>
      </w:r>
      <w:r w:rsidRPr="008D0AEE">
        <w:rPr>
          <w:lang w:val="fr-FR"/>
        </w:rPr>
        <w:tab/>
      </w:r>
      <w:r w:rsidR="004C7C11">
        <w:rPr>
          <w:lang w:val="fr-FR"/>
        </w:rPr>
        <w:t>35</w:t>
      </w:r>
      <w:r w:rsidRPr="008D0AEE">
        <w:rPr>
          <w:lang w:val="fr-FR"/>
        </w:rPr>
        <w:tab/>
      </w:r>
      <w:r w:rsidR="00146D47">
        <w:rPr>
          <w:lang w:val="fr-FR"/>
        </w:rPr>
        <w:t>7</w:t>
      </w:r>
    </w:p>
    <w:p w:rsidR="00B627DC" w:rsidRPr="008D0AEE" w:rsidRDefault="00B627DC" w:rsidP="00B47F28">
      <w:pPr>
        <w:tabs>
          <w:tab w:val="right" w:leader="dot" w:pos="7654"/>
          <w:tab w:val="right" w:pos="8929"/>
          <w:tab w:val="right" w:pos="9638"/>
        </w:tabs>
        <w:spacing w:after="120"/>
        <w:ind w:left="1984" w:hanging="425"/>
        <w:rPr>
          <w:lang w:val="fr-FR"/>
        </w:rPr>
      </w:pPr>
      <w:r w:rsidRPr="008D0AEE">
        <w:rPr>
          <w:lang w:val="fr-FR"/>
        </w:rPr>
        <w:t>3</w:t>
      </w:r>
      <w:r w:rsidR="00146D47">
        <w:rPr>
          <w:lang w:val="fr-FR"/>
        </w:rPr>
        <w:t>.</w:t>
      </w:r>
      <w:r w:rsidRPr="008D0AEE">
        <w:rPr>
          <w:lang w:val="fr-FR"/>
        </w:rPr>
        <w:tab/>
      </w:r>
      <w:bookmarkStart w:id="15" w:name="_Hlk506472579"/>
      <w:r w:rsidRPr="008D0AEE">
        <w:rPr>
          <w:lang w:val="fr-FR"/>
        </w:rPr>
        <w:t>Traitement de la gestion des risques dans le SGH</w:t>
      </w:r>
      <w:bookmarkEnd w:id="15"/>
      <w:r w:rsidRPr="008D0AEE">
        <w:rPr>
          <w:lang w:val="fr-FR"/>
        </w:rPr>
        <w:tab/>
      </w:r>
      <w:r w:rsidRPr="008D0AEE">
        <w:rPr>
          <w:lang w:val="fr-FR"/>
        </w:rPr>
        <w:tab/>
      </w:r>
      <w:r w:rsidR="004C7C11">
        <w:rPr>
          <w:lang w:val="fr-FR"/>
        </w:rPr>
        <w:t>36−37</w:t>
      </w:r>
      <w:r w:rsidRPr="008D0AEE">
        <w:rPr>
          <w:lang w:val="fr-FR"/>
        </w:rPr>
        <w:tab/>
      </w:r>
      <w:r w:rsidR="00146D47">
        <w:rPr>
          <w:lang w:val="fr-FR"/>
        </w:rPr>
        <w:t>7</w:t>
      </w:r>
    </w:p>
    <w:p w:rsidR="00B627DC" w:rsidRPr="008D0AEE" w:rsidRDefault="00B627DC" w:rsidP="00B47F28">
      <w:pPr>
        <w:tabs>
          <w:tab w:val="right" w:leader="dot" w:pos="7654"/>
          <w:tab w:val="right" w:pos="8929"/>
          <w:tab w:val="right" w:pos="9638"/>
        </w:tabs>
        <w:spacing w:after="120"/>
        <w:ind w:left="1984" w:hanging="425"/>
        <w:rPr>
          <w:lang w:val="fr-FR"/>
        </w:rPr>
      </w:pPr>
      <w:r w:rsidRPr="008D0AEE">
        <w:rPr>
          <w:lang w:val="fr-FR"/>
        </w:rPr>
        <w:t>4.</w:t>
      </w:r>
      <w:r w:rsidRPr="008D0AEE">
        <w:rPr>
          <w:lang w:val="fr-FR"/>
        </w:rPr>
        <w:tab/>
      </w:r>
      <w:bookmarkStart w:id="16" w:name="_Hlk506472593"/>
      <w:r w:rsidRPr="003E6CD1">
        <w:rPr>
          <w:lang w:val="fr-FR"/>
        </w:rPr>
        <w:t>Produits chimiques sous pression</w:t>
      </w:r>
      <w:bookmarkEnd w:id="16"/>
      <w:r w:rsidRPr="003E6CD1">
        <w:rPr>
          <w:lang w:val="fr-FR"/>
        </w:rPr>
        <w:tab/>
      </w:r>
      <w:r w:rsidRPr="003E6CD1">
        <w:rPr>
          <w:lang w:val="fr-FR"/>
        </w:rPr>
        <w:tab/>
      </w:r>
      <w:r w:rsidR="004C7C11">
        <w:rPr>
          <w:lang w:val="fr-FR"/>
        </w:rPr>
        <w:t>38−39</w:t>
      </w:r>
      <w:r w:rsidRPr="003E6CD1">
        <w:rPr>
          <w:lang w:val="fr-FR"/>
        </w:rPr>
        <w:tab/>
      </w:r>
      <w:r w:rsidR="00146D47">
        <w:rPr>
          <w:lang w:val="fr-FR"/>
        </w:rPr>
        <w:t>8</w:t>
      </w:r>
    </w:p>
    <w:p w:rsidR="00B627DC" w:rsidRPr="003E6CD1" w:rsidRDefault="00B627DC" w:rsidP="00B47F28">
      <w:pPr>
        <w:tabs>
          <w:tab w:val="right" w:leader="dot" w:pos="7654"/>
          <w:tab w:val="right" w:pos="8929"/>
          <w:tab w:val="right" w:pos="9638"/>
        </w:tabs>
        <w:spacing w:after="120"/>
        <w:ind w:left="1984" w:hanging="425"/>
        <w:rPr>
          <w:lang w:val="fr-FR"/>
        </w:rPr>
      </w:pPr>
      <w:r w:rsidRPr="008D0AEE">
        <w:rPr>
          <w:lang w:val="fr-FR"/>
        </w:rPr>
        <w:t>5.</w:t>
      </w:r>
      <w:r w:rsidRPr="008D0AEE">
        <w:rPr>
          <w:lang w:val="fr-FR"/>
        </w:rPr>
        <w:tab/>
      </w:r>
      <w:bookmarkStart w:id="17" w:name="_Hlk506472606"/>
      <w:r w:rsidRPr="008D0AEE">
        <w:rPr>
          <w:lang w:val="fr-FR"/>
        </w:rPr>
        <w:t>Conversion des diagrammes de décision en texte</w:t>
      </w:r>
      <w:bookmarkEnd w:id="17"/>
      <w:r w:rsidRPr="008D0AEE">
        <w:rPr>
          <w:lang w:val="fr-FR"/>
        </w:rPr>
        <w:tab/>
      </w:r>
      <w:r w:rsidRPr="008D0AEE">
        <w:rPr>
          <w:lang w:val="fr-FR"/>
        </w:rPr>
        <w:tab/>
      </w:r>
      <w:r w:rsidR="004C7C11">
        <w:rPr>
          <w:lang w:val="fr-FR"/>
        </w:rPr>
        <w:t>40−41</w:t>
      </w:r>
      <w:r w:rsidRPr="008D0AEE">
        <w:rPr>
          <w:lang w:val="fr-FR"/>
        </w:rPr>
        <w:tab/>
      </w:r>
      <w:r w:rsidR="00146D47">
        <w:rPr>
          <w:lang w:val="fr-FR"/>
        </w:rPr>
        <w:t>8</w:t>
      </w:r>
    </w:p>
    <w:p w:rsidR="00B627DC" w:rsidRPr="003E6CD1" w:rsidRDefault="00B627DC" w:rsidP="00DC29F1">
      <w:pPr>
        <w:tabs>
          <w:tab w:val="right" w:pos="850"/>
          <w:tab w:val="right" w:leader="dot" w:pos="7654"/>
          <w:tab w:val="right" w:pos="8929"/>
          <w:tab w:val="right" w:pos="9638"/>
        </w:tabs>
        <w:spacing w:after="120"/>
        <w:ind w:left="1134" w:hanging="1134"/>
        <w:rPr>
          <w:lang w:val="fr-FR"/>
        </w:rPr>
      </w:pPr>
      <w:r w:rsidRPr="003E6CD1">
        <w:rPr>
          <w:lang w:val="fr-FR"/>
        </w:rPr>
        <w:tab/>
        <w:t>IV.</w:t>
      </w:r>
      <w:r w:rsidRPr="003E6CD1">
        <w:rPr>
          <w:lang w:val="fr-FR"/>
        </w:rPr>
        <w:tab/>
      </w:r>
      <w:bookmarkStart w:id="18" w:name="_Hlk506472621"/>
      <w:r w:rsidRPr="003E6CD1">
        <w:rPr>
          <w:lang w:val="fr-FR"/>
        </w:rPr>
        <w:t xml:space="preserve">Communication des dangers </w:t>
      </w:r>
      <w:bookmarkStart w:id="19" w:name="_Hlk506472637"/>
      <w:bookmarkEnd w:id="18"/>
      <w:r w:rsidRPr="003E6CD1">
        <w:rPr>
          <w:lang w:val="fr-FR"/>
        </w:rPr>
        <w:t>(point 3 de l</w:t>
      </w:r>
      <w:r>
        <w:rPr>
          <w:lang w:val="fr-FR"/>
        </w:rPr>
        <w:t>’</w:t>
      </w:r>
      <w:r w:rsidRPr="003E6CD1">
        <w:rPr>
          <w:lang w:val="fr-FR"/>
        </w:rPr>
        <w:t>ordre du jour</w:t>
      </w:r>
      <w:bookmarkEnd w:id="19"/>
      <w:r w:rsidRPr="003E6CD1">
        <w:rPr>
          <w:lang w:val="fr-FR"/>
        </w:rPr>
        <w:t>)</w:t>
      </w:r>
      <w:r w:rsidRPr="003E6CD1">
        <w:rPr>
          <w:lang w:val="fr-FR"/>
        </w:rPr>
        <w:tab/>
      </w:r>
      <w:r w:rsidRPr="003E6CD1">
        <w:rPr>
          <w:lang w:val="fr-FR"/>
        </w:rPr>
        <w:tab/>
      </w:r>
      <w:r w:rsidR="004C7C11">
        <w:rPr>
          <w:lang w:val="fr-FR"/>
        </w:rPr>
        <w:t>42−51</w:t>
      </w:r>
      <w:r w:rsidRPr="003E6CD1">
        <w:rPr>
          <w:lang w:val="fr-FR"/>
        </w:rPr>
        <w:tab/>
      </w:r>
      <w:r w:rsidR="00146D47">
        <w:rPr>
          <w:lang w:val="fr-FR"/>
        </w:rPr>
        <w:t>8</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A.</w:t>
      </w:r>
      <w:r w:rsidRPr="003E6CD1">
        <w:rPr>
          <w:lang w:val="fr-FR"/>
        </w:rPr>
        <w:tab/>
      </w:r>
      <w:bookmarkStart w:id="20" w:name="_Hlk506472649"/>
      <w:r w:rsidRPr="003E6CD1">
        <w:rPr>
          <w:lang w:val="fr-FR"/>
        </w:rPr>
        <w:t>Étiquetage de petits emballages</w:t>
      </w:r>
      <w:bookmarkEnd w:id="20"/>
      <w:r w:rsidR="004C7C11">
        <w:rPr>
          <w:lang w:val="fr-FR"/>
        </w:rPr>
        <w:tab/>
      </w:r>
      <w:r w:rsidR="004C7C11">
        <w:rPr>
          <w:lang w:val="fr-FR"/>
        </w:rPr>
        <w:tab/>
        <w:t>4</w:t>
      </w:r>
      <w:r w:rsidR="005B64F3">
        <w:rPr>
          <w:lang w:val="fr-FR"/>
        </w:rPr>
        <w:t>2−43</w:t>
      </w:r>
      <w:r w:rsidRPr="003E6CD1">
        <w:rPr>
          <w:lang w:val="fr-FR"/>
        </w:rPr>
        <w:tab/>
      </w:r>
      <w:r w:rsidR="00146D47">
        <w:rPr>
          <w:lang w:val="fr-FR"/>
        </w:rPr>
        <w:t>8</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B.</w:t>
      </w:r>
      <w:r w:rsidRPr="003E6CD1">
        <w:rPr>
          <w:lang w:val="fr-FR"/>
        </w:rPr>
        <w:tab/>
      </w:r>
      <w:bookmarkStart w:id="21" w:name="_Hlk506472677"/>
      <w:r w:rsidRPr="003E6CD1">
        <w:rPr>
          <w:lang w:val="fr-FR"/>
        </w:rPr>
        <w:t xml:space="preserve">Amélioration des annexes 1 à 3 et poursuite de la rationalisation </w:t>
      </w:r>
      <w:r w:rsidRPr="003E6CD1">
        <w:rPr>
          <w:lang w:val="fr-FR"/>
        </w:rPr>
        <w:br/>
        <w:t>des conseils de prudence</w:t>
      </w:r>
      <w:bookmarkEnd w:id="21"/>
      <w:r w:rsidRPr="003E6CD1">
        <w:rPr>
          <w:lang w:val="fr-FR"/>
        </w:rPr>
        <w:tab/>
      </w:r>
      <w:r w:rsidRPr="003E6CD1">
        <w:rPr>
          <w:lang w:val="fr-FR"/>
        </w:rPr>
        <w:tab/>
      </w:r>
      <w:r w:rsidR="005B64F3">
        <w:rPr>
          <w:lang w:val="fr-FR"/>
        </w:rPr>
        <w:t>44−47</w:t>
      </w:r>
      <w:r w:rsidRPr="003E6CD1">
        <w:rPr>
          <w:lang w:val="fr-FR"/>
        </w:rPr>
        <w:tab/>
      </w:r>
      <w:r w:rsidR="00146D47">
        <w:rPr>
          <w:lang w:val="fr-FR"/>
        </w:rPr>
        <w:t>8</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C.</w:t>
      </w:r>
      <w:r w:rsidRPr="003E6CD1">
        <w:rPr>
          <w:lang w:val="fr-FR"/>
        </w:rPr>
        <w:tab/>
      </w:r>
      <w:bookmarkStart w:id="22" w:name="_Hlk506472703"/>
      <w:r w:rsidRPr="003E6CD1">
        <w:rPr>
          <w:lang w:val="fr-FR"/>
        </w:rPr>
        <w:t>Utilisation des « plages de proportion »</w:t>
      </w:r>
      <w:r w:rsidR="00041630">
        <w:rPr>
          <w:lang w:val="fr-FR"/>
        </w:rPr>
        <w:t> :</w:t>
      </w:r>
      <w:r w:rsidRPr="003E6CD1">
        <w:rPr>
          <w:lang w:val="fr-FR"/>
        </w:rPr>
        <w:t xml:space="preserve"> révision </w:t>
      </w:r>
      <w:r w:rsidRPr="003E6CD1">
        <w:rPr>
          <w:lang w:val="fr-FR"/>
        </w:rPr>
        <w:br/>
        <w:t>du paragraphe A4.3.3.2.3 de l</w:t>
      </w:r>
      <w:r>
        <w:rPr>
          <w:lang w:val="fr-FR"/>
        </w:rPr>
        <w:t>’</w:t>
      </w:r>
      <w:r w:rsidRPr="003E6CD1">
        <w:rPr>
          <w:lang w:val="fr-FR"/>
        </w:rPr>
        <w:t>annexe 4</w:t>
      </w:r>
      <w:bookmarkEnd w:id="22"/>
      <w:r w:rsidRPr="003E6CD1">
        <w:rPr>
          <w:lang w:val="fr-FR"/>
        </w:rPr>
        <w:tab/>
      </w:r>
      <w:r w:rsidRPr="003E6CD1">
        <w:rPr>
          <w:lang w:val="fr-FR"/>
        </w:rPr>
        <w:tab/>
      </w:r>
      <w:r w:rsidR="005B64F3">
        <w:rPr>
          <w:lang w:val="fr-FR"/>
        </w:rPr>
        <w:t>48</w:t>
      </w:r>
      <w:r w:rsidRPr="003E6CD1">
        <w:rPr>
          <w:lang w:val="fr-FR"/>
        </w:rPr>
        <w:tab/>
      </w:r>
      <w:r w:rsidR="00146D47">
        <w:rPr>
          <w:lang w:val="fr-FR"/>
        </w:rPr>
        <w:t>9</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D.</w:t>
      </w:r>
      <w:r w:rsidRPr="003E6CD1">
        <w:rPr>
          <w:lang w:val="fr-FR"/>
        </w:rPr>
        <w:tab/>
      </w:r>
      <w:bookmarkStart w:id="23" w:name="_Hlk506472718"/>
      <w:r w:rsidRPr="003E6CD1">
        <w:rPr>
          <w:lang w:val="fr-FR"/>
        </w:rPr>
        <w:t>Autres questions</w:t>
      </w:r>
      <w:bookmarkEnd w:id="23"/>
      <w:r w:rsidRPr="003E6CD1">
        <w:rPr>
          <w:lang w:val="fr-FR"/>
        </w:rPr>
        <w:tab/>
      </w:r>
      <w:r w:rsidRPr="003E6CD1">
        <w:rPr>
          <w:lang w:val="fr-FR"/>
        </w:rPr>
        <w:tab/>
      </w:r>
      <w:r w:rsidR="005B64F3">
        <w:rPr>
          <w:lang w:val="fr-FR"/>
        </w:rPr>
        <w:t>49−51</w:t>
      </w:r>
      <w:r w:rsidRPr="003E6CD1">
        <w:rPr>
          <w:lang w:val="fr-FR"/>
        </w:rPr>
        <w:tab/>
      </w:r>
      <w:r w:rsidR="00146D47">
        <w:rPr>
          <w:lang w:val="fr-FR"/>
        </w:rPr>
        <w:t>9</w:t>
      </w:r>
    </w:p>
    <w:p w:rsidR="00B627DC" w:rsidRPr="008D0AEE" w:rsidRDefault="00B627DC" w:rsidP="00B627DC">
      <w:pPr>
        <w:tabs>
          <w:tab w:val="right" w:leader="dot" w:pos="7654"/>
          <w:tab w:val="right" w:pos="8929"/>
          <w:tab w:val="right" w:pos="9638"/>
        </w:tabs>
        <w:spacing w:after="120"/>
        <w:ind w:left="1984" w:hanging="425"/>
        <w:rPr>
          <w:lang w:val="fr-FR"/>
        </w:rPr>
      </w:pPr>
      <w:r w:rsidRPr="003E6CD1">
        <w:rPr>
          <w:lang w:val="fr-FR"/>
        </w:rPr>
        <w:t>1.</w:t>
      </w:r>
      <w:r w:rsidRPr="003E6CD1">
        <w:rPr>
          <w:lang w:val="fr-FR"/>
        </w:rPr>
        <w:tab/>
      </w:r>
      <w:bookmarkStart w:id="24" w:name="_Hlk506472729"/>
      <w:r w:rsidRPr="008D0AEE">
        <w:rPr>
          <w:lang w:val="fr-FR"/>
        </w:rPr>
        <w:t>Étiquetage des biens de consommation</w:t>
      </w:r>
      <w:bookmarkEnd w:id="24"/>
      <w:r w:rsidR="00B47F28">
        <w:rPr>
          <w:lang w:val="fr-FR"/>
        </w:rPr>
        <w:tab/>
      </w:r>
      <w:r w:rsidR="00B47F28">
        <w:rPr>
          <w:lang w:val="fr-FR"/>
        </w:rPr>
        <w:tab/>
      </w:r>
      <w:r w:rsidR="005B64F3">
        <w:rPr>
          <w:lang w:val="fr-FR"/>
        </w:rPr>
        <w:t>49</w:t>
      </w:r>
      <w:r w:rsidR="00B47F28">
        <w:rPr>
          <w:lang w:val="fr-FR"/>
        </w:rPr>
        <w:tab/>
      </w:r>
      <w:r w:rsidR="00146D47">
        <w:rPr>
          <w:lang w:val="fr-FR"/>
        </w:rPr>
        <w:t>9</w:t>
      </w:r>
    </w:p>
    <w:p w:rsidR="00B627DC" w:rsidRPr="003E6CD1" w:rsidRDefault="00B627DC" w:rsidP="00B627DC">
      <w:pPr>
        <w:tabs>
          <w:tab w:val="right" w:leader="dot" w:pos="7654"/>
          <w:tab w:val="right" w:pos="8929"/>
          <w:tab w:val="right" w:pos="9638"/>
        </w:tabs>
        <w:spacing w:after="120"/>
        <w:ind w:left="1984" w:hanging="425"/>
        <w:rPr>
          <w:lang w:val="fr-FR"/>
        </w:rPr>
      </w:pPr>
      <w:r w:rsidRPr="008D0AEE">
        <w:rPr>
          <w:lang w:val="fr-FR"/>
        </w:rPr>
        <w:t>2.</w:t>
      </w:r>
      <w:r w:rsidRPr="008D0AEE">
        <w:rPr>
          <w:lang w:val="fr-FR"/>
        </w:rPr>
        <w:tab/>
      </w:r>
      <w:bookmarkStart w:id="25" w:name="_Hlk506472749"/>
      <w:r w:rsidRPr="003E6CD1">
        <w:rPr>
          <w:lang w:val="fr-FR"/>
        </w:rPr>
        <w:t>Amendements à l</w:t>
      </w:r>
      <w:r>
        <w:rPr>
          <w:lang w:val="fr-FR"/>
        </w:rPr>
        <w:t>’</w:t>
      </w:r>
      <w:r w:rsidRPr="003E6CD1">
        <w:rPr>
          <w:lang w:val="fr-FR"/>
        </w:rPr>
        <w:t>annexe 7</w:t>
      </w:r>
      <w:r w:rsidR="00041630">
        <w:rPr>
          <w:lang w:val="fr-FR"/>
        </w:rPr>
        <w:t> :</w:t>
      </w:r>
      <w:r w:rsidRPr="003E6CD1">
        <w:rPr>
          <w:lang w:val="fr-FR"/>
        </w:rPr>
        <w:t xml:space="preserve"> </w:t>
      </w:r>
      <w:r w:rsidRPr="008D0AEE">
        <w:rPr>
          <w:lang w:val="fr-FR"/>
        </w:rPr>
        <w:t>exemples 1 à 7</w:t>
      </w:r>
      <w:bookmarkEnd w:id="25"/>
      <w:r w:rsidRPr="003E6CD1">
        <w:rPr>
          <w:lang w:val="fr-FR"/>
        </w:rPr>
        <w:tab/>
      </w:r>
      <w:r w:rsidRPr="003E6CD1">
        <w:rPr>
          <w:lang w:val="fr-FR"/>
        </w:rPr>
        <w:tab/>
      </w:r>
      <w:r w:rsidR="005B64F3">
        <w:rPr>
          <w:lang w:val="fr-FR"/>
        </w:rPr>
        <w:t>50</w:t>
      </w:r>
      <w:r w:rsidRPr="003E6CD1">
        <w:rPr>
          <w:lang w:val="fr-FR"/>
        </w:rPr>
        <w:tab/>
      </w:r>
      <w:r w:rsidR="00146D47">
        <w:rPr>
          <w:lang w:val="fr-FR"/>
        </w:rPr>
        <w:t>9</w:t>
      </w:r>
    </w:p>
    <w:p w:rsidR="00B627DC" w:rsidRPr="003E6CD1" w:rsidRDefault="00146D47" w:rsidP="00B627DC">
      <w:pPr>
        <w:tabs>
          <w:tab w:val="right" w:leader="dot" w:pos="7654"/>
          <w:tab w:val="right" w:pos="8929"/>
          <w:tab w:val="right" w:pos="9638"/>
        </w:tabs>
        <w:spacing w:after="120"/>
        <w:ind w:left="1984" w:hanging="425"/>
        <w:rPr>
          <w:lang w:val="fr-FR"/>
        </w:rPr>
      </w:pPr>
      <w:r>
        <w:rPr>
          <w:lang w:val="fr-FR"/>
        </w:rPr>
        <w:t>3</w:t>
      </w:r>
      <w:r w:rsidR="00B627DC" w:rsidRPr="003E6CD1">
        <w:rPr>
          <w:lang w:val="fr-FR"/>
        </w:rPr>
        <w:t>.</w:t>
      </w:r>
      <w:r w:rsidR="00B627DC" w:rsidRPr="003E6CD1">
        <w:rPr>
          <w:lang w:val="fr-FR"/>
        </w:rPr>
        <w:tab/>
      </w:r>
      <w:bookmarkStart w:id="26" w:name="_Hlk506472765"/>
      <w:r w:rsidR="00B627DC" w:rsidRPr="003E6CD1">
        <w:rPr>
          <w:lang w:val="fr-FR"/>
        </w:rPr>
        <w:t>Numérotation des sous-titres dans les fiches de données de sécurité</w:t>
      </w:r>
      <w:bookmarkEnd w:id="26"/>
      <w:r w:rsidR="00B627DC" w:rsidRPr="003E6CD1">
        <w:rPr>
          <w:lang w:val="fr-FR"/>
        </w:rPr>
        <w:tab/>
      </w:r>
      <w:r w:rsidR="00B627DC" w:rsidRPr="003E6CD1">
        <w:rPr>
          <w:lang w:val="fr-FR"/>
        </w:rPr>
        <w:tab/>
      </w:r>
      <w:r w:rsidR="005B64F3">
        <w:rPr>
          <w:lang w:val="fr-FR"/>
        </w:rPr>
        <w:t>51</w:t>
      </w:r>
      <w:r w:rsidR="00B627DC" w:rsidRPr="003E6CD1">
        <w:rPr>
          <w:lang w:val="fr-FR"/>
        </w:rPr>
        <w:tab/>
      </w:r>
      <w:r>
        <w:rPr>
          <w:lang w:val="fr-FR"/>
        </w:rPr>
        <w:t>9</w:t>
      </w:r>
    </w:p>
    <w:p w:rsidR="00B627DC" w:rsidRPr="003E6CD1" w:rsidRDefault="00B627DC" w:rsidP="00B627DC">
      <w:pPr>
        <w:tabs>
          <w:tab w:val="right" w:pos="850"/>
          <w:tab w:val="right" w:leader="dot" w:pos="7654"/>
          <w:tab w:val="right" w:pos="8929"/>
          <w:tab w:val="right" w:pos="9638"/>
        </w:tabs>
        <w:spacing w:after="120"/>
        <w:ind w:left="1134" w:hanging="1134"/>
        <w:rPr>
          <w:lang w:val="fr-FR"/>
        </w:rPr>
      </w:pPr>
      <w:r w:rsidRPr="003E6CD1">
        <w:rPr>
          <w:lang w:val="fr-FR"/>
        </w:rPr>
        <w:tab/>
        <w:t>V.</w:t>
      </w:r>
      <w:r w:rsidRPr="003E6CD1">
        <w:rPr>
          <w:lang w:val="fr-FR"/>
        </w:rPr>
        <w:tab/>
      </w:r>
      <w:bookmarkStart w:id="27" w:name="_Hlk506472778"/>
      <w:r w:rsidRPr="003E6CD1">
        <w:rPr>
          <w:lang w:val="fr-FR"/>
        </w:rPr>
        <w:t>Mise en œuvre du SGH (point 4 de l</w:t>
      </w:r>
      <w:r>
        <w:rPr>
          <w:lang w:val="fr-FR"/>
        </w:rPr>
        <w:t>’</w:t>
      </w:r>
      <w:r w:rsidRPr="003E6CD1">
        <w:rPr>
          <w:lang w:val="fr-FR"/>
        </w:rPr>
        <w:t>ordre du jour</w:t>
      </w:r>
      <w:bookmarkEnd w:id="27"/>
      <w:r w:rsidRPr="003E6CD1">
        <w:rPr>
          <w:lang w:val="fr-FR"/>
        </w:rPr>
        <w:t>)</w:t>
      </w:r>
      <w:r w:rsidRPr="003E6CD1">
        <w:rPr>
          <w:lang w:val="fr-FR"/>
        </w:rPr>
        <w:tab/>
      </w:r>
      <w:r w:rsidRPr="003E6CD1">
        <w:rPr>
          <w:lang w:val="fr-FR"/>
        </w:rPr>
        <w:tab/>
      </w:r>
      <w:r w:rsidR="005B64F3">
        <w:rPr>
          <w:lang w:val="fr-FR"/>
        </w:rPr>
        <w:t>52−58</w:t>
      </w:r>
      <w:r w:rsidRPr="003E6CD1">
        <w:rPr>
          <w:lang w:val="fr-FR"/>
        </w:rPr>
        <w:tab/>
      </w:r>
      <w:r w:rsidR="00146D47">
        <w:rPr>
          <w:lang w:val="fr-FR"/>
        </w:rPr>
        <w:t>9</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A.</w:t>
      </w:r>
      <w:r w:rsidRPr="003E6CD1">
        <w:rPr>
          <w:lang w:val="fr-FR"/>
        </w:rPr>
        <w:tab/>
      </w:r>
      <w:bookmarkStart w:id="28" w:name="_Hlk506472791"/>
      <w:r w:rsidRPr="003E6CD1">
        <w:rPr>
          <w:lang w:val="fr-FR"/>
        </w:rPr>
        <w:t>Élaboration d</w:t>
      </w:r>
      <w:r>
        <w:rPr>
          <w:lang w:val="fr-FR"/>
        </w:rPr>
        <w:t>’</w:t>
      </w:r>
      <w:r w:rsidRPr="003E6CD1">
        <w:rPr>
          <w:lang w:val="fr-FR"/>
        </w:rPr>
        <w:t xml:space="preserve">une liste de produits chimiques classés conformément </w:t>
      </w:r>
      <w:r w:rsidRPr="003E6CD1">
        <w:rPr>
          <w:lang w:val="fr-FR"/>
        </w:rPr>
        <w:br/>
        <w:t>au SGH</w:t>
      </w:r>
      <w:bookmarkEnd w:id="28"/>
      <w:r w:rsidRPr="003E6CD1">
        <w:rPr>
          <w:lang w:val="fr-FR"/>
        </w:rPr>
        <w:tab/>
      </w:r>
      <w:r w:rsidRPr="003E6CD1">
        <w:rPr>
          <w:lang w:val="fr-FR"/>
        </w:rPr>
        <w:tab/>
      </w:r>
      <w:r w:rsidR="005B64F3">
        <w:rPr>
          <w:lang w:val="fr-FR"/>
        </w:rPr>
        <w:t>52−54</w:t>
      </w:r>
      <w:r w:rsidRPr="003E6CD1">
        <w:rPr>
          <w:lang w:val="fr-FR"/>
        </w:rPr>
        <w:tab/>
      </w:r>
      <w:r w:rsidR="00146D47">
        <w:rPr>
          <w:lang w:val="fr-FR"/>
        </w:rPr>
        <w:t>9</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B.</w:t>
      </w:r>
      <w:r w:rsidRPr="003E6CD1">
        <w:rPr>
          <w:lang w:val="fr-FR"/>
        </w:rPr>
        <w:tab/>
      </w:r>
      <w:bookmarkStart w:id="29" w:name="_Hlk506472816"/>
      <w:r w:rsidRPr="003E6CD1">
        <w:rPr>
          <w:lang w:val="fr-FR"/>
        </w:rPr>
        <w:t>Rapports relatifs à l</w:t>
      </w:r>
      <w:r>
        <w:rPr>
          <w:lang w:val="fr-FR"/>
        </w:rPr>
        <w:t>’</w:t>
      </w:r>
      <w:r w:rsidRPr="003E6CD1">
        <w:rPr>
          <w:lang w:val="fr-FR"/>
        </w:rPr>
        <w:t>état de la mise en œuvre</w:t>
      </w:r>
      <w:bookmarkEnd w:id="29"/>
      <w:r w:rsidRPr="003E6CD1">
        <w:rPr>
          <w:lang w:val="fr-FR"/>
        </w:rPr>
        <w:tab/>
      </w:r>
      <w:r w:rsidRPr="003E6CD1">
        <w:rPr>
          <w:lang w:val="fr-FR"/>
        </w:rPr>
        <w:tab/>
      </w:r>
      <w:r w:rsidR="001F1EA4">
        <w:rPr>
          <w:lang w:val="fr-FR"/>
        </w:rPr>
        <w:t>55−56</w:t>
      </w:r>
      <w:r w:rsidRPr="003E6CD1">
        <w:rPr>
          <w:lang w:val="fr-FR"/>
        </w:rPr>
        <w:tab/>
      </w:r>
      <w:r w:rsidR="00146D47">
        <w:rPr>
          <w:lang w:val="fr-FR"/>
        </w:rPr>
        <w:t>10</w:t>
      </w:r>
    </w:p>
    <w:p w:rsidR="00B627DC" w:rsidRPr="003E6CD1" w:rsidRDefault="00B627DC" w:rsidP="00B627DC">
      <w:pPr>
        <w:tabs>
          <w:tab w:val="right" w:leader="dot" w:pos="7654"/>
          <w:tab w:val="right" w:pos="8929"/>
          <w:tab w:val="right" w:pos="9638"/>
        </w:tabs>
        <w:spacing w:after="120"/>
        <w:ind w:left="1984" w:hanging="425"/>
        <w:rPr>
          <w:lang w:val="fr-FR"/>
        </w:rPr>
      </w:pPr>
      <w:r w:rsidRPr="003E6CD1">
        <w:rPr>
          <w:lang w:val="fr-FR"/>
        </w:rPr>
        <w:t>1.</w:t>
      </w:r>
      <w:r w:rsidRPr="003E6CD1">
        <w:rPr>
          <w:lang w:val="fr-FR"/>
        </w:rPr>
        <w:tab/>
      </w:r>
      <w:bookmarkStart w:id="30" w:name="_Hlk506472829"/>
      <w:r w:rsidRPr="008D0AEE">
        <w:rPr>
          <w:lang w:val="fr-FR"/>
        </w:rPr>
        <w:t>SGH</w:t>
      </w:r>
      <w:r w:rsidR="00041630">
        <w:rPr>
          <w:lang w:val="fr-FR"/>
        </w:rPr>
        <w:t> :</w:t>
      </w:r>
      <w:r w:rsidRPr="003E6CD1">
        <w:rPr>
          <w:lang w:val="fr-FR"/>
        </w:rPr>
        <w:t xml:space="preserve"> </w:t>
      </w:r>
      <w:r w:rsidRPr="008D0AEE">
        <w:rPr>
          <w:lang w:val="fr-FR"/>
        </w:rPr>
        <w:t xml:space="preserve">expliquer les lacunes de </w:t>
      </w:r>
      <w:r w:rsidRPr="003E6CD1">
        <w:rPr>
          <w:lang w:val="fr-FR"/>
        </w:rPr>
        <w:t>la mise en œuvre</w:t>
      </w:r>
      <w:bookmarkEnd w:id="30"/>
      <w:r w:rsidRPr="003E6CD1">
        <w:rPr>
          <w:lang w:val="fr-FR"/>
        </w:rPr>
        <w:tab/>
      </w:r>
      <w:r w:rsidRPr="003E6CD1">
        <w:rPr>
          <w:lang w:val="fr-FR"/>
        </w:rPr>
        <w:tab/>
      </w:r>
      <w:r w:rsidR="001F1EA4">
        <w:rPr>
          <w:lang w:val="fr-FR"/>
        </w:rPr>
        <w:t>55</w:t>
      </w:r>
      <w:r w:rsidRPr="003E6CD1">
        <w:rPr>
          <w:lang w:val="fr-FR"/>
        </w:rPr>
        <w:tab/>
      </w:r>
      <w:r w:rsidR="00146D47">
        <w:rPr>
          <w:lang w:val="fr-FR"/>
        </w:rPr>
        <w:t>10</w:t>
      </w:r>
    </w:p>
    <w:p w:rsidR="00B627DC" w:rsidRPr="003E6CD1" w:rsidRDefault="00B627DC" w:rsidP="00B627DC">
      <w:pPr>
        <w:tabs>
          <w:tab w:val="right" w:leader="dot" w:pos="7654"/>
          <w:tab w:val="right" w:pos="8929"/>
          <w:tab w:val="right" w:pos="9638"/>
        </w:tabs>
        <w:spacing w:after="120"/>
        <w:ind w:left="1984" w:hanging="425"/>
        <w:rPr>
          <w:lang w:val="fr-FR"/>
        </w:rPr>
      </w:pPr>
      <w:r w:rsidRPr="003E6CD1">
        <w:rPr>
          <w:lang w:val="fr-FR"/>
        </w:rPr>
        <w:t>2.</w:t>
      </w:r>
      <w:r w:rsidRPr="003E6CD1">
        <w:rPr>
          <w:lang w:val="fr-FR"/>
        </w:rPr>
        <w:tab/>
      </w:r>
      <w:r w:rsidRPr="008D0AEE">
        <w:rPr>
          <w:lang w:val="fr-FR"/>
        </w:rPr>
        <w:t>Costa Rica</w:t>
      </w:r>
      <w:r w:rsidRPr="008D0AEE">
        <w:rPr>
          <w:lang w:val="fr-FR"/>
        </w:rPr>
        <w:tab/>
      </w:r>
      <w:r w:rsidRPr="008D0AEE">
        <w:rPr>
          <w:lang w:val="fr-FR"/>
        </w:rPr>
        <w:tab/>
      </w:r>
      <w:r w:rsidR="001F1EA4">
        <w:rPr>
          <w:lang w:val="fr-FR"/>
        </w:rPr>
        <w:t>56</w:t>
      </w:r>
      <w:r w:rsidRPr="008D0AEE">
        <w:rPr>
          <w:lang w:val="fr-FR"/>
        </w:rPr>
        <w:tab/>
      </w:r>
      <w:r w:rsidR="00146D47">
        <w:rPr>
          <w:lang w:val="fr-FR"/>
        </w:rPr>
        <w:t>10</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C.</w:t>
      </w:r>
      <w:r w:rsidRPr="003E6CD1">
        <w:rPr>
          <w:lang w:val="fr-FR"/>
        </w:rPr>
        <w:tab/>
        <w:t>Coopération avec d</w:t>
      </w:r>
      <w:r>
        <w:rPr>
          <w:lang w:val="fr-FR"/>
        </w:rPr>
        <w:t>’</w:t>
      </w:r>
      <w:r w:rsidRPr="003E6CD1">
        <w:rPr>
          <w:lang w:val="fr-FR"/>
        </w:rPr>
        <w:t>autres organes ou organisations internationales</w:t>
      </w:r>
      <w:r w:rsidRPr="003E6CD1">
        <w:rPr>
          <w:lang w:val="fr-FR"/>
        </w:rPr>
        <w:tab/>
      </w:r>
      <w:r w:rsidRPr="003E6CD1">
        <w:rPr>
          <w:lang w:val="fr-FR"/>
        </w:rPr>
        <w:tab/>
      </w:r>
      <w:r w:rsidR="001F1EA4">
        <w:rPr>
          <w:lang w:val="fr-FR"/>
        </w:rPr>
        <w:t>57</w:t>
      </w:r>
      <w:r w:rsidRPr="003E6CD1">
        <w:rPr>
          <w:lang w:val="fr-FR"/>
        </w:rPr>
        <w:tab/>
      </w:r>
      <w:r w:rsidR="00146D47">
        <w:rPr>
          <w:lang w:val="fr-FR"/>
        </w:rPr>
        <w:t>10</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D.</w:t>
      </w:r>
      <w:r w:rsidRPr="003E6CD1">
        <w:rPr>
          <w:lang w:val="fr-FR"/>
        </w:rPr>
        <w:tab/>
        <w:t>Divers</w:t>
      </w:r>
      <w:r w:rsidRPr="003E6CD1">
        <w:rPr>
          <w:lang w:val="fr-FR"/>
        </w:rPr>
        <w:tab/>
      </w:r>
      <w:r w:rsidRPr="003E6CD1">
        <w:rPr>
          <w:lang w:val="fr-FR"/>
        </w:rPr>
        <w:tab/>
      </w:r>
      <w:r w:rsidR="001F1EA4">
        <w:rPr>
          <w:lang w:val="fr-FR"/>
        </w:rPr>
        <w:t>58</w:t>
      </w:r>
      <w:r w:rsidRPr="003E6CD1">
        <w:rPr>
          <w:lang w:val="fr-FR"/>
        </w:rPr>
        <w:tab/>
      </w:r>
      <w:r w:rsidR="00146D47">
        <w:rPr>
          <w:lang w:val="fr-FR"/>
        </w:rPr>
        <w:t>1</w:t>
      </w:r>
      <w:r w:rsidR="00B2296C">
        <w:rPr>
          <w:lang w:val="fr-FR"/>
        </w:rPr>
        <w:t>1</w:t>
      </w:r>
    </w:p>
    <w:p w:rsidR="00B627DC" w:rsidRPr="003E6CD1" w:rsidRDefault="00B627DC" w:rsidP="00B627DC">
      <w:pPr>
        <w:tabs>
          <w:tab w:val="right" w:pos="850"/>
          <w:tab w:val="right" w:leader="dot" w:pos="7654"/>
          <w:tab w:val="right" w:pos="8929"/>
          <w:tab w:val="right" w:pos="9638"/>
        </w:tabs>
        <w:spacing w:after="120"/>
        <w:ind w:left="1134" w:hanging="1134"/>
        <w:rPr>
          <w:lang w:val="fr-FR"/>
        </w:rPr>
      </w:pPr>
      <w:r w:rsidRPr="003E6CD1">
        <w:rPr>
          <w:lang w:val="fr-FR"/>
        </w:rPr>
        <w:tab/>
        <w:t>VI.</w:t>
      </w:r>
      <w:r w:rsidRPr="003E6CD1">
        <w:rPr>
          <w:lang w:val="fr-FR"/>
        </w:rPr>
        <w:tab/>
      </w:r>
      <w:bookmarkStart w:id="31" w:name="_Hlk506472904"/>
      <w:r w:rsidRPr="003E6CD1">
        <w:rPr>
          <w:lang w:val="fr-FR"/>
        </w:rPr>
        <w:t>Mise au point de directives pour l</w:t>
      </w:r>
      <w:r>
        <w:rPr>
          <w:lang w:val="fr-FR"/>
        </w:rPr>
        <w:t>’</w:t>
      </w:r>
      <w:r w:rsidRPr="003E6CD1">
        <w:rPr>
          <w:lang w:val="fr-FR"/>
        </w:rPr>
        <w:t xml:space="preserve">application des critères du SGH </w:t>
      </w:r>
      <w:r w:rsidRPr="003E6CD1">
        <w:rPr>
          <w:lang w:val="fr-FR"/>
        </w:rPr>
        <w:br/>
        <w:t>(point 5 de l</w:t>
      </w:r>
      <w:r>
        <w:rPr>
          <w:lang w:val="fr-FR"/>
        </w:rPr>
        <w:t>’</w:t>
      </w:r>
      <w:r w:rsidRPr="003E6CD1">
        <w:rPr>
          <w:lang w:val="fr-FR"/>
        </w:rPr>
        <w:t>ordre du jour</w:t>
      </w:r>
      <w:bookmarkEnd w:id="31"/>
      <w:r w:rsidRPr="003E6CD1">
        <w:rPr>
          <w:lang w:val="fr-FR"/>
        </w:rPr>
        <w:t>)</w:t>
      </w:r>
      <w:r w:rsidRPr="003E6CD1">
        <w:rPr>
          <w:lang w:val="fr-FR"/>
        </w:rPr>
        <w:tab/>
      </w:r>
      <w:r w:rsidRPr="003E6CD1">
        <w:rPr>
          <w:lang w:val="fr-FR"/>
        </w:rPr>
        <w:tab/>
      </w:r>
      <w:r w:rsidR="001F1EA4">
        <w:rPr>
          <w:lang w:val="fr-FR"/>
        </w:rPr>
        <w:t>59</w:t>
      </w:r>
      <w:r w:rsidRPr="003E6CD1">
        <w:rPr>
          <w:lang w:val="fr-FR"/>
        </w:rPr>
        <w:tab/>
      </w:r>
      <w:r w:rsidR="00B2296C">
        <w:rPr>
          <w:lang w:val="fr-FR"/>
        </w:rPr>
        <w:t>11</w:t>
      </w:r>
    </w:p>
    <w:p w:rsidR="00B627DC" w:rsidRPr="003E6CD1" w:rsidRDefault="00B627DC" w:rsidP="00B627DC">
      <w:pPr>
        <w:tabs>
          <w:tab w:val="right" w:pos="850"/>
          <w:tab w:val="right" w:leader="dot" w:pos="7654"/>
          <w:tab w:val="right" w:pos="8929"/>
          <w:tab w:val="right" w:pos="9638"/>
        </w:tabs>
        <w:spacing w:after="120"/>
        <w:ind w:left="1134" w:hanging="1134"/>
        <w:rPr>
          <w:lang w:val="fr-FR"/>
        </w:rPr>
      </w:pPr>
      <w:r w:rsidRPr="003E6CD1">
        <w:rPr>
          <w:lang w:val="fr-FR"/>
        </w:rPr>
        <w:tab/>
        <w:t>VII.</w:t>
      </w:r>
      <w:r w:rsidRPr="003E6CD1">
        <w:rPr>
          <w:lang w:val="fr-FR"/>
        </w:rPr>
        <w:tab/>
      </w:r>
      <w:bookmarkStart w:id="32" w:name="_Hlk506472927"/>
      <w:r w:rsidRPr="003E6CD1">
        <w:rPr>
          <w:lang w:val="fr-FR"/>
        </w:rPr>
        <w:t>Renforcement des capacités (point 6 de l</w:t>
      </w:r>
      <w:r>
        <w:rPr>
          <w:lang w:val="fr-FR"/>
        </w:rPr>
        <w:t>’</w:t>
      </w:r>
      <w:r w:rsidRPr="003E6CD1">
        <w:rPr>
          <w:lang w:val="fr-FR"/>
        </w:rPr>
        <w:t>ordre du jour</w:t>
      </w:r>
      <w:bookmarkEnd w:id="32"/>
      <w:r w:rsidRPr="003E6CD1">
        <w:rPr>
          <w:lang w:val="fr-FR"/>
        </w:rPr>
        <w:t>)</w:t>
      </w:r>
      <w:r w:rsidRPr="003E6CD1">
        <w:rPr>
          <w:lang w:val="fr-FR"/>
        </w:rPr>
        <w:tab/>
      </w:r>
      <w:r w:rsidRPr="003E6CD1">
        <w:rPr>
          <w:lang w:val="fr-FR"/>
        </w:rPr>
        <w:tab/>
      </w:r>
      <w:r w:rsidR="001F1EA4">
        <w:rPr>
          <w:lang w:val="fr-FR"/>
        </w:rPr>
        <w:t>60</w:t>
      </w:r>
      <w:r w:rsidRPr="003E6CD1">
        <w:rPr>
          <w:lang w:val="fr-FR"/>
        </w:rPr>
        <w:tab/>
      </w:r>
      <w:r w:rsidR="00B2296C">
        <w:rPr>
          <w:lang w:val="fr-FR"/>
        </w:rPr>
        <w:t>11</w:t>
      </w:r>
    </w:p>
    <w:p w:rsidR="00B627DC" w:rsidRPr="003E6CD1" w:rsidRDefault="00B627DC" w:rsidP="00B627DC">
      <w:pPr>
        <w:tabs>
          <w:tab w:val="right" w:pos="850"/>
          <w:tab w:val="right" w:leader="dot" w:pos="7654"/>
          <w:tab w:val="right" w:pos="8929"/>
          <w:tab w:val="right" w:pos="9638"/>
        </w:tabs>
        <w:spacing w:after="120"/>
        <w:ind w:left="1134" w:hanging="1134"/>
        <w:rPr>
          <w:lang w:val="fr-FR"/>
        </w:rPr>
      </w:pPr>
      <w:r w:rsidRPr="003E6CD1">
        <w:rPr>
          <w:lang w:val="fr-FR"/>
        </w:rPr>
        <w:tab/>
        <w:t>VIII.</w:t>
      </w:r>
      <w:r w:rsidRPr="003E6CD1">
        <w:rPr>
          <w:lang w:val="fr-FR"/>
        </w:rPr>
        <w:tab/>
      </w:r>
      <w:bookmarkStart w:id="33" w:name="_Hlk506472943"/>
      <w:r w:rsidRPr="003E6CD1">
        <w:rPr>
          <w:lang w:val="fr-FR"/>
        </w:rPr>
        <w:t>Questions diverses (point 7 de l</w:t>
      </w:r>
      <w:r>
        <w:rPr>
          <w:lang w:val="fr-FR"/>
        </w:rPr>
        <w:t>’</w:t>
      </w:r>
      <w:r w:rsidRPr="003E6CD1">
        <w:rPr>
          <w:lang w:val="fr-FR"/>
        </w:rPr>
        <w:t>ordre du jour</w:t>
      </w:r>
      <w:bookmarkEnd w:id="33"/>
      <w:r w:rsidRPr="003E6CD1">
        <w:rPr>
          <w:lang w:val="fr-FR"/>
        </w:rPr>
        <w:t>)</w:t>
      </w:r>
      <w:r w:rsidRPr="003E6CD1">
        <w:rPr>
          <w:lang w:val="fr-FR"/>
        </w:rPr>
        <w:tab/>
      </w:r>
      <w:r w:rsidRPr="003E6CD1">
        <w:rPr>
          <w:lang w:val="fr-FR"/>
        </w:rPr>
        <w:tab/>
      </w:r>
      <w:r w:rsidR="001F1EA4">
        <w:rPr>
          <w:lang w:val="fr-FR"/>
        </w:rPr>
        <w:t>61−66</w:t>
      </w:r>
      <w:r w:rsidRPr="003E6CD1">
        <w:rPr>
          <w:lang w:val="fr-FR"/>
        </w:rPr>
        <w:tab/>
      </w:r>
      <w:r w:rsidR="00B2296C">
        <w:rPr>
          <w:lang w:val="fr-FR"/>
        </w:rPr>
        <w:t>11</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A.</w:t>
      </w:r>
      <w:r w:rsidRPr="003E6CD1">
        <w:rPr>
          <w:lang w:val="fr-FR"/>
        </w:rPr>
        <w:tab/>
      </w:r>
      <w:bookmarkStart w:id="34" w:name="_Hlk506472958"/>
      <w:r w:rsidRPr="008D0AEE">
        <w:rPr>
          <w:lang w:val="fr-FR"/>
        </w:rPr>
        <w:t>Travaux des groupes de travail informels</w:t>
      </w:r>
      <w:bookmarkEnd w:id="34"/>
      <w:r w:rsidRPr="003E6CD1">
        <w:rPr>
          <w:lang w:val="fr-FR"/>
        </w:rPr>
        <w:tab/>
      </w:r>
      <w:r w:rsidRPr="003E6CD1">
        <w:rPr>
          <w:lang w:val="fr-FR"/>
        </w:rPr>
        <w:tab/>
      </w:r>
      <w:r w:rsidR="001F1EA4">
        <w:rPr>
          <w:lang w:val="fr-FR"/>
        </w:rPr>
        <w:t>61</w:t>
      </w:r>
      <w:r w:rsidRPr="003E6CD1">
        <w:rPr>
          <w:lang w:val="fr-FR"/>
        </w:rPr>
        <w:tab/>
      </w:r>
      <w:r w:rsidR="00B2296C">
        <w:rPr>
          <w:lang w:val="fr-FR"/>
        </w:rPr>
        <w:t>11</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B.</w:t>
      </w:r>
      <w:r w:rsidRPr="003E6CD1">
        <w:rPr>
          <w:lang w:val="fr-FR"/>
        </w:rPr>
        <w:tab/>
      </w:r>
      <w:bookmarkStart w:id="35" w:name="_Hlk506472970"/>
      <w:r w:rsidRPr="008D0AEE">
        <w:rPr>
          <w:lang w:val="fr-FR"/>
        </w:rPr>
        <w:t>Session conjointe des Sous-Comités TMD et SGH</w:t>
      </w:r>
      <w:bookmarkEnd w:id="35"/>
      <w:r w:rsidRPr="003E6CD1">
        <w:rPr>
          <w:lang w:val="fr-FR"/>
        </w:rPr>
        <w:tab/>
      </w:r>
      <w:r w:rsidRPr="003E6CD1">
        <w:rPr>
          <w:lang w:val="fr-FR"/>
        </w:rPr>
        <w:tab/>
      </w:r>
      <w:r w:rsidR="001F1EA4">
        <w:rPr>
          <w:lang w:val="fr-FR"/>
        </w:rPr>
        <w:t>62</w:t>
      </w:r>
      <w:r w:rsidRPr="003E6CD1">
        <w:rPr>
          <w:lang w:val="fr-FR"/>
        </w:rPr>
        <w:tab/>
      </w:r>
      <w:r w:rsidR="00B2296C">
        <w:rPr>
          <w:lang w:val="fr-FR"/>
        </w:rPr>
        <w:t>11</w:t>
      </w:r>
    </w:p>
    <w:p w:rsidR="00B627DC" w:rsidRPr="003E6CD1" w:rsidRDefault="00B627DC" w:rsidP="00B627DC">
      <w:pPr>
        <w:tabs>
          <w:tab w:val="right" w:leader="dot" w:pos="7654"/>
          <w:tab w:val="right" w:pos="8929"/>
          <w:tab w:val="right" w:pos="9638"/>
        </w:tabs>
        <w:spacing w:after="120"/>
        <w:ind w:left="1559" w:hanging="425"/>
        <w:rPr>
          <w:lang w:val="fr-FR"/>
        </w:rPr>
      </w:pPr>
      <w:r w:rsidRPr="003E6CD1">
        <w:rPr>
          <w:lang w:val="fr-FR"/>
        </w:rPr>
        <w:t>C.</w:t>
      </w:r>
      <w:r w:rsidRPr="003E6CD1">
        <w:rPr>
          <w:lang w:val="fr-FR"/>
        </w:rPr>
        <w:tab/>
      </w:r>
      <w:bookmarkStart w:id="36" w:name="_Hlk506472991"/>
      <w:r w:rsidRPr="003E6CD1">
        <w:rPr>
          <w:lang w:val="fr-FR"/>
        </w:rPr>
        <w:t>Hommage à</w:t>
      </w:r>
      <w:r w:rsidRPr="008D0AEE">
        <w:rPr>
          <w:lang w:val="fr-FR"/>
        </w:rPr>
        <w:t xml:space="preserve"> M. O. Kervella (secrétariat) et à</w:t>
      </w:r>
      <w:r w:rsidRPr="003E6CD1">
        <w:rPr>
          <w:lang w:val="fr-FR"/>
        </w:rPr>
        <w:t xml:space="preserve"> M</w:t>
      </w:r>
      <w:r w:rsidRPr="003E6CD1">
        <w:rPr>
          <w:vertAlign w:val="superscript"/>
          <w:lang w:val="fr-FR"/>
        </w:rPr>
        <w:t>me</w:t>
      </w:r>
      <w:r w:rsidRPr="003E6CD1">
        <w:rPr>
          <w:lang w:val="fr-FR"/>
        </w:rPr>
        <w:t> </w:t>
      </w:r>
      <w:r w:rsidRPr="008D0AEE">
        <w:rPr>
          <w:lang w:val="fr-FR"/>
        </w:rPr>
        <w:t>G. Ericsson</w:t>
      </w:r>
      <w:r w:rsidRPr="008D0AEE">
        <w:rPr>
          <w:lang w:val="fr-FR"/>
        </w:rPr>
        <w:br/>
      </w:r>
      <w:r w:rsidRPr="003E6CD1">
        <w:rPr>
          <w:lang w:val="fr-FR"/>
        </w:rPr>
        <w:t>(</w:t>
      </w:r>
      <w:r w:rsidRPr="008D0AEE">
        <w:rPr>
          <w:lang w:val="fr-FR"/>
        </w:rPr>
        <w:t>Union européenne</w:t>
      </w:r>
      <w:bookmarkEnd w:id="36"/>
      <w:r w:rsidRPr="003E6CD1">
        <w:rPr>
          <w:lang w:val="fr-FR"/>
        </w:rPr>
        <w:t>)</w:t>
      </w:r>
      <w:r w:rsidRPr="003E6CD1">
        <w:rPr>
          <w:lang w:val="fr-FR"/>
        </w:rPr>
        <w:tab/>
      </w:r>
      <w:r w:rsidRPr="003E6CD1">
        <w:rPr>
          <w:lang w:val="fr-FR"/>
        </w:rPr>
        <w:tab/>
      </w:r>
      <w:r w:rsidR="001F1EA4">
        <w:rPr>
          <w:lang w:val="fr-FR"/>
        </w:rPr>
        <w:t>63−66</w:t>
      </w:r>
      <w:r w:rsidRPr="003E6CD1">
        <w:rPr>
          <w:lang w:val="fr-FR"/>
        </w:rPr>
        <w:tab/>
      </w:r>
      <w:r w:rsidR="00B2296C">
        <w:rPr>
          <w:lang w:val="fr-FR"/>
        </w:rPr>
        <w:t>11</w:t>
      </w:r>
    </w:p>
    <w:p w:rsidR="00B627DC" w:rsidRPr="003E6CD1" w:rsidRDefault="00B627DC" w:rsidP="00DC29F1">
      <w:pPr>
        <w:tabs>
          <w:tab w:val="right" w:pos="850"/>
          <w:tab w:val="right" w:leader="dot" w:pos="7654"/>
          <w:tab w:val="right" w:pos="8929"/>
          <w:tab w:val="right" w:pos="9638"/>
        </w:tabs>
        <w:spacing w:after="120"/>
        <w:ind w:left="1134" w:hanging="1134"/>
        <w:rPr>
          <w:lang w:val="fr-FR"/>
        </w:rPr>
      </w:pPr>
      <w:r w:rsidRPr="003E6CD1">
        <w:rPr>
          <w:lang w:val="fr-FR"/>
        </w:rPr>
        <w:tab/>
        <w:t>IX.</w:t>
      </w:r>
      <w:r w:rsidRPr="003E6CD1">
        <w:rPr>
          <w:lang w:val="fr-FR"/>
        </w:rPr>
        <w:tab/>
        <w:t>Adoption du rapport (point 8 de l</w:t>
      </w:r>
      <w:r>
        <w:rPr>
          <w:lang w:val="fr-FR"/>
        </w:rPr>
        <w:t>’</w:t>
      </w:r>
      <w:r w:rsidR="001F1EA4">
        <w:rPr>
          <w:lang w:val="fr-FR"/>
        </w:rPr>
        <w:t>ordre du jour)</w:t>
      </w:r>
      <w:r w:rsidR="001F1EA4">
        <w:rPr>
          <w:lang w:val="fr-FR"/>
        </w:rPr>
        <w:tab/>
      </w:r>
      <w:r w:rsidR="001F1EA4">
        <w:rPr>
          <w:lang w:val="fr-FR"/>
        </w:rPr>
        <w:tab/>
        <w:t>67</w:t>
      </w:r>
      <w:r w:rsidRPr="003E6CD1">
        <w:rPr>
          <w:lang w:val="fr-FR"/>
        </w:rPr>
        <w:tab/>
      </w:r>
      <w:r w:rsidR="00B2296C">
        <w:rPr>
          <w:lang w:val="fr-FR"/>
        </w:rPr>
        <w:t>12</w:t>
      </w:r>
    </w:p>
    <w:p w:rsidR="00B627DC" w:rsidRPr="00FA2613" w:rsidRDefault="00B627DC" w:rsidP="00B627DC">
      <w:pPr>
        <w:tabs>
          <w:tab w:val="right" w:pos="850"/>
        </w:tabs>
        <w:spacing w:after="120"/>
        <w:rPr>
          <w:lang w:val="en-US"/>
        </w:rPr>
      </w:pPr>
      <w:r w:rsidRPr="003E6CD1">
        <w:rPr>
          <w:lang w:val="fr-FR"/>
        </w:rPr>
        <w:tab/>
      </w:r>
      <w:r w:rsidRPr="00FA2613">
        <w:rPr>
          <w:lang w:val="en-US"/>
        </w:rPr>
        <w:t>Annexe</w:t>
      </w:r>
    </w:p>
    <w:p w:rsidR="001F1EA4" w:rsidRDefault="00B627DC" w:rsidP="00B627DC">
      <w:pPr>
        <w:tabs>
          <w:tab w:val="right" w:pos="850"/>
          <w:tab w:val="right" w:leader="dot" w:pos="8929"/>
          <w:tab w:val="right" w:pos="9638"/>
        </w:tabs>
        <w:spacing w:after="120"/>
        <w:ind w:left="1134" w:hanging="1134"/>
        <w:rPr>
          <w:lang w:val="en-US"/>
        </w:rPr>
      </w:pPr>
      <w:r w:rsidRPr="00FA2613">
        <w:rPr>
          <w:lang w:val="en-US"/>
        </w:rPr>
        <w:tab/>
      </w:r>
      <w:r w:rsidRPr="00FA2613">
        <w:rPr>
          <w:lang w:val="en-US"/>
        </w:rPr>
        <w:tab/>
        <w:t>Corrections to the seventh revised edition of the GHS (ST/SG/AC.10/30/Rev.7)</w:t>
      </w:r>
      <w:r w:rsidRPr="00FA2613">
        <w:rPr>
          <w:lang w:val="en-US"/>
        </w:rPr>
        <w:tab/>
      </w:r>
      <w:r w:rsidRPr="00FA2613">
        <w:rPr>
          <w:lang w:val="en-US"/>
        </w:rPr>
        <w:tab/>
      </w:r>
      <w:r w:rsidR="00B2296C">
        <w:rPr>
          <w:lang w:val="en-US"/>
        </w:rPr>
        <w:t>13</w:t>
      </w:r>
    </w:p>
    <w:p w:rsidR="00B627DC" w:rsidRPr="008D0AEE" w:rsidRDefault="00B627DC" w:rsidP="0074138C">
      <w:pPr>
        <w:pStyle w:val="HChG"/>
        <w:rPr>
          <w:lang w:val="fr-FR"/>
        </w:rPr>
      </w:pPr>
      <w:r w:rsidRPr="00FA2613">
        <w:rPr>
          <w:lang w:val="en-US"/>
        </w:rPr>
        <w:br w:type="page"/>
      </w:r>
      <w:r w:rsidRPr="00FA2613">
        <w:rPr>
          <w:lang w:val="en-US"/>
        </w:rPr>
        <w:lastRenderedPageBreak/>
        <w:tab/>
      </w:r>
      <w:r w:rsidRPr="008D0AEE">
        <w:rPr>
          <w:lang w:val="fr-FR"/>
        </w:rPr>
        <w:t>I.</w:t>
      </w:r>
      <w:r w:rsidRPr="008D0AEE">
        <w:rPr>
          <w:lang w:val="fr-FR"/>
        </w:rPr>
        <w:tab/>
        <w:t>Participation</w:t>
      </w:r>
    </w:p>
    <w:p w:rsidR="00B627DC" w:rsidRPr="00ED70D8" w:rsidRDefault="00B627DC" w:rsidP="0074138C">
      <w:pPr>
        <w:pStyle w:val="SingleTxtG"/>
        <w:rPr>
          <w:lang w:val="fr-FR"/>
        </w:rPr>
      </w:pPr>
      <w:r w:rsidRPr="00ED70D8">
        <w:rPr>
          <w:lang w:val="fr-FR"/>
        </w:rPr>
        <w:t>1.</w:t>
      </w:r>
      <w:r w:rsidRPr="00ED70D8">
        <w:rPr>
          <w:lang w:val="fr-FR"/>
        </w:rPr>
        <w:tab/>
        <w:t>Le Sous-Comité d</w:t>
      </w:r>
      <w:r>
        <w:rPr>
          <w:lang w:val="fr-FR"/>
        </w:rPr>
        <w:t>’</w:t>
      </w:r>
      <w:r w:rsidRPr="00ED70D8">
        <w:rPr>
          <w:lang w:val="fr-FR"/>
        </w:rPr>
        <w:t>experts du Système général harmonisé de classification et d</w:t>
      </w:r>
      <w:r>
        <w:rPr>
          <w:lang w:val="fr-FR"/>
        </w:rPr>
        <w:t>’</w:t>
      </w:r>
      <w:r w:rsidRPr="00ED70D8">
        <w:rPr>
          <w:lang w:val="fr-FR"/>
        </w:rPr>
        <w:t>étiquetage des produits chimiques a tenu sa trente-</w:t>
      </w:r>
      <w:r w:rsidRPr="008D0AEE">
        <w:rPr>
          <w:lang w:val="fr-FR"/>
        </w:rPr>
        <w:t>quatr</w:t>
      </w:r>
      <w:r w:rsidRPr="00ED70D8">
        <w:rPr>
          <w:lang w:val="fr-FR"/>
        </w:rPr>
        <w:t xml:space="preserve">ième session du </w:t>
      </w:r>
      <w:r w:rsidRPr="008D0AEE">
        <w:rPr>
          <w:lang w:val="fr-FR"/>
        </w:rPr>
        <w:t>6 au 8</w:t>
      </w:r>
      <w:r w:rsidR="00402507">
        <w:rPr>
          <w:lang w:val="fr-FR"/>
        </w:rPr>
        <w:t xml:space="preserve"> décembre </w:t>
      </w:r>
      <w:r w:rsidRPr="00ED70D8">
        <w:rPr>
          <w:lang w:val="fr-FR"/>
        </w:rPr>
        <w:t>201</w:t>
      </w:r>
      <w:r w:rsidRPr="008D0AEE">
        <w:rPr>
          <w:lang w:val="fr-FR"/>
        </w:rPr>
        <w:t>7</w:t>
      </w:r>
      <w:r w:rsidRPr="00ED70D8">
        <w:rPr>
          <w:lang w:val="fr-FR"/>
        </w:rPr>
        <w:t>, sous la présidence de M</w:t>
      </w:r>
      <w:r w:rsidRPr="00ED70D8">
        <w:rPr>
          <w:vertAlign w:val="superscript"/>
          <w:lang w:val="fr-FR"/>
        </w:rPr>
        <w:t>me</w:t>
      </w:r>
      <w:r w:rsidRPr="00ED70D8">
        <w:rPr>
          <w:lang w:val="fr-FR"/>
        </w:rPr>
        <w:t> Maureen Ruskin (États-Unis d</w:t>
      </w:r>
      <w:r>
        <w:rPr>
          <w:lang w:val="fr-FR"/>
        </w:rPr>
        <w:t>’</w:t>
      </w:r>
      <w:r w:rsidRPr="00ED70D8">
        <w:rPr>
          <w:lang w:val="fr-FR"/>
        </w:rPr>
        <w:t>Amérique) et la vice</w:t>
      </w:r>
      <w:r w:rsidR="0042663F">
        <w:rPr>
          <w:lang w:val="fr-FR"/>
        </w:rPr>
        <w:noBreakHyphen/>
      </w:r>
      <w:r w:rsidRPr="00ED70D8">
        <w:rPr>
          <w:lang w:val="fr-FR"/>
        </w:rPr>
        <w:t>présidence de M. Robin Foster (Royaume-Uni).</w:t>
      </w:r>
    </w:p>
    <w:p w:rsidR="00B627DC" w:rsidRPr="00ED70D8" w:rsidRDefault="00B627DC" w:rsidP="0074138C">
      <w:pPr>
        <w:pStyle w:val="SingleTxtG"/>
        <w:rPr>
          <w:lang w:val="fr-FR"/>
        </w:rPr>
      </w:pPr>
      <w:r w:rsidRPr="00ED70D8">
        <w:rPr>
          <w:lang w:val="fr-FR"/>
        </w:rPr>
        <w:t>2.</w:t>
      </w:r>
      <w:r w:rsidRPr="00ED70D8">
        <w:rPr>
          <w:lang w:val="fr-FR"/>
        </w:rPr>
        <w:tab/>
        <w:t>Ont participé à cette session des experts des pays suivants</w:t>
      </w:r>
      <w:r w:rsidR="00041630">
        <w:rPr>
          <w:lang w:val="fr-FR"/>
        </w:rPr>
        <w:t> :</w:t>
      </w:r>
      <w:r w:rsidRPr="00ED70D8">
        <w:rPr>
          <w:lang w:val="fr-FR"/>
        </w:rPr>
        <w:t xml:space="preserve"> Allemagne, Argentine, Australie, Autriche, Belgique, Brésil, Canada, Chine, États-Unis d</w:t>
      </w:r>
      <w:r>
        <w:rPr>
          <w:lang w:val="fr-FR"/>
        </w:rPr>
        <w:t>’</w:t>
      </w:r>
      <w:r w:rsidRPr="00ED70D8">
        <w:rPr>
          <w:lang w:val="fr-FR"/>
        </w:rPr>
        <w:t xml:space="preserve">Amérique, Fédération de Russie, Finlande, France, Italie, Japon, </w:t>
      </w:r>
      <w:r w:rsidRPr="008D0AEE">
        <w:rPr>
          <w:lang w:val="fr-FR"/>
        </w:rPr>
        <w:t>Norvège</w:t>
      </w:r>
      <w:r w:rsidRPr="00ED70D8">
        <w:rPr>
          <w:lang w:val="fr-FR"/>
        </w:rPr>
        <w:t>, Pays</w:t>
      </w:r>
      <w:r w:rsidRPr="00ED70D8">
        <w:rPr>
          <w:lang w:val="fr-FR"/>
        </w:rPr>
        <w:noBreakHyphen/>
        <w:t>Bas, Pologne, Qatar, République de Corée, Royaume-Uni et Suède.</w:t>
      </w:r>
    </w:p>
    <w:p w:rsidR="00B627DC" w:rsidRPr="00ED70D8" w:rsidRDefault="00B627DC" w:rsidP="0074138C">
      <w:pPr>
        <w:pStyle w:val="SingleTxtG"/>
        <w:rPr>
          <w:lang w:val="fr-FR"/>
        </w:rPr>
      </w:pPr>
      <w:r w:rsidRPr="00ED70D8">
        <w:rPr>
          <w:lang w:val="fr-FR"/>
        </w:rPr>
        <w:t>3.</w:t>
      </w:r>
      <w:r w:rsidRPr="00ED70D8">
        <w:rPr>
          <w:lang w:val="fr-FR"/>
        </w:rPr>
        <w:tab/>
        <w:t>En vertu de l</w:t>
      </w:r>
      <w:r>
        <w:rPr>
          <w:lang w:val="fr-FR"/>
        </w:rPr>
        <w:t>’</w:t>
      </w:r>
      <w:r w:rsidRPr="00ED70D8">
        <w:rPr>
          <w:lang w:val="fr-FR"/>
        </w:rPr>
        <w:t>article 72 du Règlement intérieur du Conseil économique et social, y ont également participé des observateurs de la Roumanie et de la Suisse.</w:t>
      </w:r>
    </w:p>
    <w:p w:rsidR="00B627DC" w:rsidRPr="00ED70D8" w:rsidRDefault="00B627DC" w:rsidP="0074138C">
      <w:pPr>
        <w:pStyle w:val="SingleTxtG"/>
        <w:rPr>
          <w:lang w:val="fr-FR"/>
        </w:rPr>
      </w:pPr>
      <w:r w:rsidRPr="00ED70D8">
        <w:rPr>
          <w:lang w:val="fr-FR"/>
        </w:rPr>
        <w:t>4.</w:t>
      </w:r>
      <w:r w:rsidRPr="00ED70D8">
        <w:rPr>
          <w:lang w:val="fr-FR"/>
        </w:rPr>
        <w:tab/>
        <w:t>Étaient aussi présents des représentants de l</w:t>
      </w:r>
      <w:r>
        <w:rPr>
          <w:lang w:val="fr-FR"/>
        </w:rPr>
        <w:t>’</w:t>
      </w:r>
      <w:r w:rsidRPr="00ED70D8">
        <w:rPr>
          <w:lang w:val="fr-FR"/>
        </w:rPr>
        <w:t>Organisation mondiale de la Santé (OMS) et de l</w:t>
      </w:r>
      <w:r>
        <w:rPr>
          <w:lang w:val="fr-FR"/>
        </w:rPr>
        <w:t>’</w:t>
      </w:r>
      <w:r w:rsidRPr="00ED70D8">
        <w:rPr>
          <w:lang w:val="fr-FR"/>
        </w:rPr>
        <w:t>Institut des Nations Unies pour la formation et la recherche (UNITAR).</w:t>
      </w:r>
    </w:p>
    <w:p w:rsidR="00B627DC" w:rsidRPr="00ED70D8" w:rsidRDefault="00B627DC" w:rsidP="0074138C">
      <w:pPr>
        <w:pStyle w:val="SingleTxtG"/>
        <w:rPr>
          <w:lang w:val="fr-FR"/>
        </w:rPr>
      </w:pPr>
      <w:r w:rsidRPr="00ED70D8">
        <w:rPr>
          <w:lang w:val="fr-FR"/>
        </w:rPr>
        <w:t>5.</w:t>
      </w:r>
      <w:r w:rsidRPr="00ED70D8">
        <w:rPr>
          <w:lang w:val="fr-FR"/>
        </w:rPr>
        <w:tab/>
        <w:t>Étaient également représentées les organisations intergouvernementales suivantes</w:t>
      </w:r>
      <w:r w:rsidR="00041630">
        <w:rPr>
          <w:lang w:val="fr-FR"/>
        </w:rPr>
        <w:t> :</w:t>
      </w:r>
      <w:r w:rsidRPr="00ED70D8">
        <w:rPr>
          <w:lang w:val="fr-FR"/>
        </w:rPr>
        <w:t xml:space="preserve"> </w:t>
      </w:r>
      <w:r w:rsidRPr="008D0AEE">
        <w:rPr>
          <w:lang w:val="fr-FR"/>
        </w:rPr>
        <w:t xml:space="preserve">Organisation de coopération et de développement économiques (OCDE) </w:t>
      </w:r>
      <w:r w:rsidRPr="00ED70D8">
        <w:rPr>
          <w:lang w:val="fr-FR"/>
        </w:rPr>
        <w:t>et Union européenne.</w:t>
      </w:r>
    </w:p>
    <w:p w:rsidR="00B627DC" w:rsidRPr="00ED70D8" w:rsidRDefault="00B627DC" w:rsidP="0074138C">
      <w:pPr>
        <w:pStyle w:val="SingleTxtG"/>
        <w:rPr>
          <w:lang w:val="fr-FR"/>
        </w:rPr>
      </w:pPr>
      <w:r w:rsidRPr="00ED70D8">
        <w:rPr>
          <w:lang w:val="fr-FR"/>
        </w:rPr>
        <w:t>6.</w:t>
      </w:r>
      <w:r w:rsidRPr="00ED70D8">
        <w:rPr>
          <w:lang w:val="fr-FR"/>
        </w:rPr>
        <w:tab/>
      </w:r>
      <w:r>
        <w:rPr>
          <w:lang w:val="fr-FR"/>
        </w:rPr>
        <w:t>O</w:t>
      </w:r>
      <w:r w:rsidRPr="00ED70D8">
        <w:rPr>
          <w:lang w:val="fr-FR"/>
        </w:rPr>
        <w:t xml:space="preserve">nt participé aux débats sur les points intéressant leur organisation </w:t>
      </w:r>
      <w:r>
        <w:rPr>
          <w:lang w:val="fr-FR"/>
        </w:rPr>
        <w:t>d</w:t>
      </w:r>
      <w:r w:rsidRPr="00ED70D8">
        <w:rPr>
          <w:lang w:val="fr-FR"/>
        </w:rPr>
        <w:t xml:space="preserve">es représentants des organisations non gouvernementales </w:t>
      </w:r>
      <w:r>
        <w:rPr>
          <w:lang w:val="fr-FR"/>
        </w:rPr>
        <w:t>ci-après</w:t>
      </w:r>
      <w:r w:rsidR="00041630">
        <w:rPr>
          <w:lang w:val="fr-FR"/>
        </w:rPr>
        <w:t> :</w:t>
      </w:r>
      <w:r w:rsidRPr="00ED70D8">
        <w:rPr>
          <w:lang w:val="fr-FR"/>
        </w:rPr>
        <w:t xml:space="preserve"> </w:t>
      </w:r>
      <w:r>
        <w:rPr>
          <w:lang w:val="fr-FR"/>
        </w:rPr>
        <w:t>Association des gaz sous pression (</w:t>
      </w:r>
      <w:r w:rsidRPr="00ED70D8">
        <w:rPr>
          <w:lang w:val="fr-FR"/>
        </w:rPr>
        <w:t>Compressed Gas Association</w:t>
      </w:r>
      <w:r>
        <w:rPr>
          <w:lang w:val="fr-FR"/>
        </w:rPr>
        <w:t xml:space="preserve"> </w:t>
      </w:r>
      <w:r w:rsidR="0042663F">
        <w:rPr>
          <w:lang w:val="fr-FR"/>
        </w:rPr>
        <w:t>(</w:t>
      </w:r>
      <w:r w:rsidRPr="00ED70D8">
        <w:rPr>
          <w:lang w:val="fr-FR"/>
        </w:rPr>
        <w:t>CGA</w:t>
      </w:r>
      <w:r w:rsidR="0042663F">
        <w:rPr>
          <w:lang w:val="fr-FR"/>
        </w:rPr>
        <w:t>)</w:t>
      </w:r>
      <w:r w:rsidRPr="00ED70D8">
        <w:rPr>
          <w:lang w:val="fr-FR"/>
        </w:rPr>
        <w:t>)</w:t>
      </w:r>
      <w:r w:rsidR="00041630">
        <w:rPr>
          <w:lang w:val="fr-FR"/>
        </w:rPr>
        <w:t> ;</w:t>
      </w:r>
      <w:r w:rsidRPr="00ED70D8">
        <w:rPr>
          <w:lang w:val="fr-FR"/>
        </w:rPr>
        <w:t xml:space="preserve"> </w:t>
      </w:r>
      <w:r>
        <w:rPr>
          <w:lang w:val="fr-FR"/>
        </w:rPr>
        <w:t>Association du commerce de grains et d’alimentation (</w:t>
      </w:r>
      <w:r w:rsidRPr="00ED70D8">
        <w:rPr>
          <w:lang w:val="fr-FR"/>
        </w:rPr>
        <w:t xml:space="preserve">Grain and Feed Trade Association </w:t>
      </w:r>
      <w:r w:rsidR="0042663F">
        <w:rPr>
          <w:lang w:val="fr-FR"/>
        </w:rPr>
        <w:t>(</w:t>
      </w:r>
      <w:r w:rsidRPr="00ED70D8">
        <w:rPr>
          <w:lang w:val="fr-FR"/>
        </w:rPr>
        <w:t>GAFTA</w:t>
      </w:r>
      <w:r w:rsidR="0042663F">
        <w:rPr>
          <w:lang w:val="fr-FR"/>
        </w:rPr>
        <w:t>)</w:t>
      </w:r>
      <w:r w:rsidRPr="00ED70D8">
        <w:rPr>
          <w:lang w:val="fr-FR"/>
        </w:rPr>
        <w:t>)</w:t>
      </w:r>
      <w:r w:rsidR="00041630">
        <w:rPr>
          <w:lang w:val="fr-FR"/>
        </w:rPr>
        <w:t> ;</w:t>
      </w:r>
      <w:r w:rsidRPr="00ED70D8">
        <w:rPr>
          <w:lang w:val="fr-FR"/>
        </w:rPr>
        <w:t xml:space="preserve"> Association européenne des gaz industriels (EIGA)</w:t>
      </w:r>
      <w:r w:rsidR="00041630">
        <w:rPr>
          <w:lang w:val="fr-FR"/>
        </w:rPr>
        <w:t> ;</w:t>
      </w:r>
      <w:r w:rsidRPr="00ED70D8">
        <w:rPr>
          <w:lang w:val="fr-FR"/>
        </w:rPr>
        <w:t xml:space="preserve"> Association internationale de la savonnerie, de la détergence et des produits d</w:t>
      </w:r>
      <w:r>
        <w:rPr>
          <w:lang w:val="fr-FR"/>
        </w:rPr>
        <w:t>’</w:t>
      </w:r>
      <w:r w:rsidRPr="00ED70D8">
        <w:rPr>
          <w:lang w:val="fr-FR"/>
        </w:rPr>
        <w:t>entretien (AISE)</w:t>
      </w:r>
      <w:r w:rsidR="00041630">
        <w:rPr>
          <w:lang w:val="fr-FR"/>
        </w:rPr>
        <w:t> ;</w:t>
      </w:r>
      <w:r w:rsidRPr="00ED70D8">
        <w:rPr>
          <w:lang w:val="fr-FR"/>
        </w:rPr>
        <w:t xml:space="preserve"> Association internationale de l</w:t>
      </w:r>
      <w:r>
        <w:rPr>
          <w:lang w:val="fr-FR"/>
        </w:rPr>
        <w:t>’</w:t>
      </w:r>
      <w:r w:rsidRPr="00ED70D8">
        <w:rPr>
          <w:lang w:val="fr-FR"/>
        </w:rPr>
        <w:t xml:space="preserve">industrie pétrolière pour la </w:t>
      </w:r>
      <w:r>
        <w:rPr>
          <w:lang w:val="fr-FR"/>
        </w:rPr>
        <w:t>protection</w:t>
      </w:r>
      <w:r w:rsidRPr="00ED70D8">
        <w:rPr>
          <w:lang w:val="fr-FR"/>
        </w:rPr>
        <w:t xml:space="preserve"> de l</w:t>
      </w:r>
      <w:r>
        <w:rPr>
          <w:lang w:val="fr-FR"/>
        </w:rPr>
        <w:t>’</w:t>
      </w:r>
      <w:r w:rsidRPr="00ED70D8">
        <w:rPr>
          <w:lang w:val="fr-FR"/>
        </w:rPr>
        <w:t>environnement (IPIECA)</w:t>
      </w:r>
      <w:r w:rsidR="00041630">
        <w:rPr>
          <w:lang w:val="fr-FR"/>
        </w:rPr>
        <w:t> ;</w:t>
      </w:r>
      <w:r w:rsidRPr="00ED70D8">
        <w:rPr>
          <w:lang w:val="fr-FR"/>
        </w:rPr>
        <w:t xml:space="preserve"> Australian Explosives Industry and Safety Group Incorporated (AEISG)</w:t>
      </w:r>
      <w:r w:rsidR="00041630">
        <w:rPr>
          <w:lang w:val="fr-FR"/>
        </w:rPr>
        <w:t> ;</w:t>
      </w:r>
      <w:r w:rsidRPr="00ED70D8">
        <w:rPr>
          <w:lang w:val="fr-FR"/>
        </w:rPr>
        <w:t xml:space="preserve"> Conseil européen de l</w:t>
      </w:r>
      <w:r>
        <w:rPr>
          <w:lang w:val="fr-FR"/>
        </w:rPr>
        <w:t>’</w:t>
      </w:r>
      <w:r w:rsidRPr="00ED70D8">
        <w:rPr>
          <w:lang w:val="fr-FR"/>
        </w:rPr>
        <w:t>industrie chimique (CEFIC)</w:t>
      </w:r>
      <w:r w:rsidR="00041630">
        <w:rPr>
          <w:lang w:val="fr-FR"/>
        </w:rPr>
        <w:t> ;</w:t>
      </w:r>
      <w:r w:rsidRPr="00ED70D8">
        <w:rPr>
          <w:lang w:val="fr-FR"/>
        </w:rPr>
        <w:t xml:space="preserve"> Conseil international des peintures et des encres d</w:t>
      </w:r>
      <w:r>
        <w:rPr>
          <w:lang w:val="fr-FR"/>
        </w:rPr>
        <w:t>’</w:t>
      </w:r>
      <w:r w:rsidRPr="00ED70D8">
        <w:rPr>
          <w:lang w:val="fr-FR"/>
        </w:rPr>
        <w:t>imprimerie (IPPIC)</w:t>
      </w:r>
      <w:r w:rsidR="00041630">
        <w:rPr>
          <w:lang w:val="fr-FR"/>
        </w:rPr>
        <w:t> ;</w:t>
      </w:r>
      <w:r w:rsidRPr="00ED70D8">
        <w:rPr>
          <w:lang w:val="fr-FR"/>
        </w:rPr>
        <w:t xml:space="preserve"> </w:t>
      </w:r>
      <w:r>
        <w:rPr>
          <w:lang w:val="fr-FR"/>
        </w:rPr>
        <w:t>Conseil consultatif des marchandises dangereuses (</w:t>
      </w:r>
      <w:r w:rsidRPr="00ED70D8">
        <w:rPr>
          <w:lang w:val="fr-FR"/>
        </w:rPr>
        <w:t xml:space="preserve">Dangerous Goods Advisory Council </w:t>
      </w:r>
      <w:r w:rsidR="0042663F">
        <w:rPr>
          <w:lang w:val="fr-FR"/>
        </w:rPr>
        <w:t>(</w:t>
      </w:r>
      <w:r w:rsidRPr="00ED70D8">
        <w:rPr>
          <w:lang w:val="fr-FR"/>
        </w:rPr>
        <w:t>DGAC</w:t>
      </w:r>
      <w:r w:rsidR="0042663F">
        <w:rPr>
          <w:lang w:val="fr-FR"/>
        </w:rPr>
        <w:t>)</w:t>
      </w:r>
      <w:r w:rsidRPr="00ED70D8">
        <w:rPr>
          <w:lang w:val="fr-FR"/>
        </w:rPr>
        <w:t>)</w:t>
      </w:r>
      <w:r w:rsidR="00041630">
        <w:rPr>
          <w:lang w:val="fr-FR"/>
        </w:rPr>
        <w:t> ;</w:t>
      </w:r>
      <w:r w:rsidRPr="00ED70D8">
        <w:rPr>
          <w:lang w:val="fr-FR"/>
        </w:rPr>
        <w:t xml:space="preserve"> </w:t>
      </w:r>
      <w:r w:rsidRPr="008D0AEE">
        <w:rPr>
          <w:lang w:val="fr-FR"/>
        </w:rPr>
        <w:t>Fédération des industries de peintures et revêtements du Mercosul (FIPRM)</w:t>
      </w:r>
      <w:r w:rsidR="00041630">
        <w:rPr>
          <w:lang w:val="fr-FR"/>
        </w:rPr>
        <w:t> ;</w:t>
      </w:r>
      <w:r w:rsidRPr="00ED70D8">
        <w:rPr>
          <w:lang w:val="fr-FR"/>
        </w:rPr>
        <w:t xml:space="preserve"> </w:t>
      </w:r>
      <w:r>
        <w:rPr>
          <w:lang w:val="fr-FR"/>
        </w:rPr>
        <w:t>Institut des fabricants d’armes et munitions de sport (</w:t>
      </w:r>
      <w:r w:rsidRPr="00ED70D8">
        <w:rPr>
          <w:lang w:val="fr-FR"/>
        </w:rPr>
        <w:t>Sporting Arms and Ammunition Manufacturers</w:t>
      </w:r>
      <w:r>
        <w:rPr>
          <w:lang w:val="fr-FR"/>
        </w:rPr>
        <w:t>’</w:t>
      </w:r>
      <w:r w:rsidRPr="00ED70D8">
        <w:rPr>
          <w:lang w:val="fr-FR"/>
        </w:rPr>
        <w:t xml:space="preserve"> Institute </w:t>
      </w:r>
      <w:r w:rsidR="0042663F">
        <w:rPr>
          <w:lang w:val="fr-FR"/>
        </w:rPr>
        <w:t>(</w:t>
      </w:r>
      <w:r w:rsidRPr="00ED70D8">
        <w:rPr>
          <w:lang w:val="fr-FR"/>
        </w:rPr>
        <w:t>SAAMI</w:t>
      </w:r>
      <w:r w:rsidR="0042663F">
        <w:rPr>
          <w:lang w:val="fr-FR"/>
        </w:rPr>
        <w:t>)</w:t>
      </w:r>
      <w:r w:rsidRPr="00ED70D8">
        <w:rPr>
          <w:lang w:val="fr-FR"/>
        </w:rPr>
        <w:t>)</w:t>
      </w:r>
      <w:r w:rsidR="00041630">
        <w:rPr>
          <w:lang w:val="fr-FR"/>
        </w:rPr>
        <w:t> ;</w:t>
      </w:r>
      <w:r w:rsidRPr="008D0AEE">
        <w:rPr>
          <w:lang w:val="fr-FR"/>
        </w:rPr>
        <w:t xml:space="preserve"> </w:t>
      </w:r>
      <w:r w:rsidRPr="00301AD7">
        <w:rPr>
          <w:lang w:val="fr-FR"/>
        </w:rPr>
        <w:t xml:space="preserve">et </w:t>
      </w:r>
      <w:r>
        <w:rPr>
          <w:lang w:val="fr-FR"/>
        </w:rPr>
        <w:t>Institut des fabricants d’explosifs (</w:t>
      </w:r>
      <w:r w:rsidRPr="00ED70D8">
        <w:rPr>
          <w:lang w:val="fr-FR"/>
        </w:rPr>
        <w:t xml:space="preserve">Institute of Makers of Explosives </w:t>
      </w:r>
      <w:r w:rsidR="0042663F">
        <w:rPr>
          <w:lang w:val="fr-FR"/>
        </w:rPr>
        <w:t>(</w:t>
      </w:r>
      <w:r w:rsidRPr="00ED70D8">
        <w:rPr>
          <w:lang w:val="fr-FR"/>
        </w:rPr>
        <w:t>IME</w:t>
      </w:r>
      <w:r w:rsidR="0042663F">
        <w:rPr>
          <w:lang w:val="fr-FR"/>
        </w:rPr>
        <w:t>)</w:t>
      </w:r>
      <w:r w:rsidRPr="00ED70D8">
        <w:rPr>
          <w:lang w:val="fr-FR"/>
        </w:rPr>
        <w:t>).</w:t>
      </w:r>
    </w:p>
    <w:p w:rsidR="00B627DC" w:rsidRPr="008D0AEE" w:rsidRDefault="00B627DC" w:rsidP="00041630">
      <w:pPr>
        <w:pStyle w:val="HChG"/>
        <w:rPr>
          <w:lang w:val="fr-FR"/>
        </w:rPr>
      </w:pPr>
      <w:r w:rsidRPr="008D0AEE">
        <w:rPr>
          <w:lang w:val="fr-FR"/>
        </w:rPr>
        <w:tab/>
        <w:t>II.</w:t>
      </w:r>
      <w:r w:rsidRPr="008D0AEE">
        <w:rPr>
          <w:lang w:val="fr-FR"/>
        </w:rPr>
        <w:tab/>
        <w:t>Adoption de l</w:t>
      </w:r>
      <w:r>
        <w:rPr>
          <w:lang w:val="fr-FR"/>
        </w:rPr>
        <w:t>’</w:t>
      </w:r>
      <w:r w:rsidRPr="008D0AEE">
        <w:rPr>
          <w:lang w:val="fr-FR"/>
        </w:rPr>
        <w:t>ordre du jour (point 1 de l</w:t>
      </w:r>
      <w:r>
        <w:rPr>
          <w:lang w:val="fr-FR"/>
        </w:rPr>
        <w:t>’</w:t>
      </w:r>
      <w:r w:rsidRPr="008D0AEE">
        <w:rPr>
          <w:lang w:val="fr-FR"/>
        </w:rPr>
        <w:t>ordre du jour)</w:t>
      </w:r>
    </w:p>
    <w:p w:rsidR="00B627DC" w:rsidRPr="008D0AEE" w:rsidRDefault="00B627DC" w:rsidP="00792CA4">
      <w:pPr>
        <w:pStyle w:val="SingleTxtG"/>
        <w:tabs>
          <w:tab w:val="left" w:pos="3119"/>
        </w:tabs>
        <w:ind w:left="3119" w:hanging="1985"/>
        <w:jc w:val="left"/>
        <w:rPr>
          <w:lang w:val="fr-FR"/>
        </w:rPr>
      </w:pPr>
      <w:r w:rsidRPr="008D0AEE">
        <w:rPr>
          <w:i/>
          <w:lang w:val="fr-FR"/>
        </w:rPr>
        <w:t>Documents</w:t>
      </w:r>
      <w:r w:rsidR="00E65EE2" w:rsidRPr="00E65EE2">
        <w:rPr>
          <w:lang w:val="fr-FR"/>
        </w:rPr>
        <w:t> :</w:t>
      </w:r>
      <w:r w:rsidR="00792CA4">
        <w:rPr>
          <w:lang w:val="fr-FR"/>
        </w:rPr>
        <w:t xml:space="preserve"> </w:t>
      </w:r>
      <w:r w:rsidR="00792CA4">
        <w:rPr>
          <w:lang w:val="fr-FR"/>
        </w:rPr>
        <w:tab/>
      </w:r>
      <w:r w:rsidRPr="008D0AEE">
        <w:rPr>
          <w:lang w:val="fr-FR"/>
        </w:rPr>
        <w:t>ST/SG/AC.10/C.4/67 (Ordre du jour provisoire)</w:t>
      </w:r>
      <w:r w:rsidRPr="008D0AEE">
        <w:rPr>
          <w:lang w:val="fr-FR"/>
        </w:rPr>
        <w:br/>
        <w:t>ST/SG/AC.10/C.4/67/Add.1 (Liste des documents et annotations)</w:t>
      </w:r>
      <w:r w:rsidR="00792CA4">
        <w:rPr>
          <w:lang w:val="fr-FR"/>
        </w:rPr>
        <w:t>.</w:t>
      </w:r>
    </w:p>
    <w:p w:rsidR="00B627DC" w:rsidRPr="008D0AEE" w:rsidRDefault="00B627DC" w:rsidP="00792CA4">
      <w:pPr>
        <w:pStyle w:val="SingleTxtG"/>
        <w:tabs>
          <w:tab w:val="left" w:pos="3119"/>
        </w:tabs>
        <w:ind w:left="3119" w:hanging="1985"/>
        <w:jc w:val="left"/>
        <w:rPr>
          <w:lang w:val="fr-FR"/>
        </w:rPr>
      </w:pPr>
      <w:r w:rsidRPr="008D0AEE">
        <w:rPr>
          <w:i/>
          <w:lang w:val="fr-FR"/>
        </w:rPr>
        <w:t>Documents informels</w:t>
      </w:r>
      <w:r w:rsidR="00041630">
        <w:rPr>
          <w:lang w:val="fr-FR"/>
        </w:rPr>
        <w:t> :</w:t>
      </w:r>
      <w:r w:rsidRPr="008D0AEE">
        <w:rPr>
          <w:lang w:val="fr-FR"/>
        </w:rPr>
        <w:t xml:space="preserve"> </w:t>
      </w:r>
      <w:r w:rsidRPr="008D0AEE">
        <w:rPr>
          <w:lang w:val="fr-FR"/>
        </w:rPr>
        <w:tab/>
        <w:t>INF.1, I</w:t>
      </w:r>
      <w:r w:rsidR="00792CA4">
        <w:rPr>
          <w:lang w:val="fr-FR"/>
        </w:rPr>
        <w:t xml:space="preserve">NF.2 (Liste des documents) </w:t>
      </w:r>
      <w:r w:rsidR="00792CA4">
        <w:rPr>
          <w:lang w:val="fr-FR"/>
        </w:rPr>
        <w:br/>
      </w:r>
      <w:r w:rsidRPr="008D0AEE">
        <w:rPr>
          <w:lang w:val="fr-FR"/>
        </w:rPr>
        <w:t>INF.6 (Calendrier provisoire)</w:t>
      </w:r>
      <w:r w:rsidR="00792CA4">
        <w:rPr>
          <w:lang w:val="fr-FR"/>
        </w:rPr>
        <w:t>.</w:t>
      </w:r>
    </w:p>
    <w:p w:rsidR="00B627DC" w:rsidRPr="008D0AEE" w:rsidRDefault="00B627DC" w:rsidP="00B627DC">
      <w:pPr>
        <w:pStyle w:val="SingleTxtG"/>
        <w:rPr>
          <w:lang w:val="fr-FR"/>
        </w:rPr>
      </w:pPr>
      <w:r w:rsidRPr="008D0AEE">
        <w:rPr>
          <w:lang w:val="fr-FR"/>
        </w:rPr>
        <w:t>7.</w:t>
      </w:r>
      <w:r w:rsidRPr="008D0AEE">
        <w:rPr>
          <w:lang w:val="fr-FR"/>
        </w:rPr>
        <w:tab/>
        <w:t>Le Sous-Comité a adopté l</w:t>
      </w:r>
      <w:r>
        <w:rPr>
          <w:lang w:val="fr-FR"/>
        </w:rPr>
        <w:t>’</w:t>
      </w:r>
      <w:r w:rsidRPr="008D0AEE">
        <w:rPr>
          <w:lang w:val="fr-FR"/>
        </w:rPr>
        <w:t>ordre du jour provisoire établi par le secrétariat, après l</w:t>
      </w:r>
      <w:r>
        <w:rPr>
          <w:lang w:val="fr-FR"/>
        </w:rPr>
        <w:t>’</w:t>
      </w:r>
      <w:r w:rsidRPr="008D0AEE">
        <w:rPr>
          <w:lang w:val="fr-FR"/>
        </w:rPr>
        <w:t>avoir modifié afin de tenir compte des documents informels INF.1 à INF.25/Rev.1.</w:t>
      </w:r>
    </w:p>
    <w:p w:rsidR="00B627DC" w:rsidRPr="008D0AEE" w:rsidRDefault="00B627DC" w:rsidP="00792CA4">
      <w:pPr>
        <w:pStyle w:val="HChG"/>
        <w:rPr>
          <w:lang w:val="fr-FR"/>
        </w:rPr>
      </w:pPr>
      <w:r w:rsidRPr="008D0AEE">
        <w:rPr>
          <w:lang w:val="fr-FR"/>
        </w:rPr>
        <w:tab/>
        <w:t>III.</w:t>
      </w:r>
      <w:r w:rsidRPr="008D0AEE">
        <w:rPr>
          <w:lang w:val="fr-FR"/>
        </w:rPr>
        <w:tab/>
        <w:t xml:space="preserve">Critères de classement et communication des dangers </w:t>
      </w:r>
      <w:r w:rsidRPr="008D0AEE">
        <w:rPr>
          <w:lang w:val="fr-FR"/>
        </w:rPr>
        <w:br/>
        <w:t>(point 2 de l</w:t>
      </w:r>
      <w:r>
        <w:rPr>
          <w:lang w:val="fr-FR"/>
        </w:rPr>
        <w:t>’</w:t>
      </w:r>
      <w:r w:rsidRPr="008D0AEE">
        <w:rPr>
          <w:lang w:val="fr-FR"/>
        </w:rPr>
        <w:t>ordre du jour)</w:t>
      </w:r>
    </w:p>
    <w:p w:rsidR="00B627DC" w:rsidRPr="008D0AEE" w:rsidRDefault="00B627DC" w:rsidP="00792CA4">
      <w:pPr>
        <w:pStyle w:val="H1G"/>
        <w:rPr>
          <w:lang w:val="fr-FR"/>
        </w:rPr>
      </w:pPr>
      <w:r w:rsidRPr="008D0AEE">
        <w:rPr>
          <w:lang w:val="fr-FR"/>
        </w:rPr>
        <w:tab/>
        <w:t>A.</w:t>
      </w:r>
      <w:r w:rsidRPr="008D0AEE">
        <w:rPr>
          <w:lang w:val="fr-FR"/>
        </w:rPr>
        <w:tab/>
      </w:r>
      <w:r w:rsidRPr="003E6CD1">
        <w:rPr>
          <w:lang w:val="fr-FR"/>
        </w:rPr>
        <w:t xml:space="preserve">Travaux du Sous-Comité TMD sur des questions </w:t>
      </w:r>
      <w:r w:rsidR="00792CA4">
        <w:rPr>
          <w:lang w:val="fr-FR"/>
        </w:rPr>
        <w:br/>
      </w:r>
      <w:r w:rsidRPr="003E6CD1">
        <w:rPr>
          <w:lang w:val="fr-FR"/>
        </w:rPr>
        <w:t>intéressant le Sous-Comité SGH</w:t>
      </w:r>
    </w:p>
    <w:p w:rsidR="00B627DC" w:rsidRPr="008D0AEE" w:rsidRDefault="00B627DC" w:rsidP="00792CA4">
      <w:pPr>
        <w:pStyle w:val="H23G"/>
        <w:rPr>
          <w:lang w:val="fr-FR"/>
        </w:rPr>
      </w:pPr>
      <w:r w:rsidRPr="008D0AEE">
        <w:rPr>
          <w:lang w:val="fr-FR"/>
        </w:rPr>
        <w:tab/>
        <w:t>1.</w:t>
      </w:r>
      <w:r w:rsidRPr="008D0AEE">
        <w:rPr>
          <w:lang w:val="fr-FR"/>
        </w:rPr>
        <w:tab/>
      </w:r>
      <w:r w:rsidRPr="003E6CD1">
        <w:rPr>
          <w:lang w:val="fr-FR"/>
        </w:rPr>
        <w:t>Épreuves de stabilité pour la nitrocellulose industrielle</w:t>
      </w:r>
    </w:p>
    <w:p w:rsidR="00B627DC" w:rsidRPr="008D0AEE" w:rsidRDefault="00B627DC" w:rsidP="00840327">
      <w:pPr>
        <w:pStyle w:val="SingleTxtG"/>
        <w:tabs>
          <w:tab w:val="left" w:pos="3119"/>
        </w:tabs>
        <w:ind w:left="3119" w:hanging="1985"/>
        <w:jc w:val="left"/>
        <w:rPr>
          <w:lang w:val="fr-FR"/>
        </w:rPr>
      </w:pPr>
      <w:r w:rsidRPr="008D0AEE">
        <w:rPr>
          <w:i/>
          <w:lang w:val="fr-FR"/>
        </w:rPr>
        <w:t>Document informel</w:t>
      </w:r>
      <w:r w:rsidR="00041630">
        <w:rPr>
          <w:lang w:val="fr-FR"/>
        </w:rPr>
        <w:t> :</w:t>
      </w:r>
      <w:r w:rsidR="00840327">
        <w:rPr>
          <w:lang w:val="fr-FR"/>
        </w:rPr>
        <w:t xml:space="preserve"> </w:t>
      </w:r>
      <w:r w:rsidR="00840327">
        <w:rPr>
          <w:lang w:val="fr-FR"/>
        </w:rPr>
        <w:tab/>
      </w:r>
      <w:r w:rsidRPr="008D0AEE">
        <w:rPr>
          <w:lang w:val="fr-FR"/>
        </w:rPr>
        <w:t>INF.21, point 1 (se</w:t>
      </w:r>
      <w:r w:rsidR="00840327">
        <w:rPr>
          <w:lang w:val="fr-FR"/>
        </w:rPr>
        <w:t>crétariat).</w:t>
      </w:r>
    </w:p>
    <w:p w:rsidR="00B627DC" w:rsidRPr="008D0AEE" w:rsidRDefault="00B627DC" w:rsidP="00B627DC">
      <w:pPr>
        <w:pStyle w:val="SingleTxtG"/>
        <w:rPr>
          <w:lang w:val="fr-FR"/>
        </w:rPr>
      </w:pPr>
      <w:r w:rsidRPr="008D0AEE">
        <w:rPr>
          <w:lang w:val="fr-FR"/>
        </w:rPr>
        <w:t>8.</w:t>
      </w:r>
      <w:r w:rsidRPr="008D0AEE">
        <w:rPr>
          <w:lang w:val="fr-FR"/>
        </w:rPr>
        <w:tab/>
        <w:t xml:space="preserve">Le Sous-Comité a pris note des informations fournies au point 1 du document informel </w:t>
      </w:r>
      <w:r>
        <w:rPr>
          <w:lang w:val="fr-FR"/>
        </w:rPr>
        <w:t>INF.</w:t>
      </w:r>
      <w:r w:rsidRPr="008D0AEE">
        <w:rPr>
          <w:lang w:val="fr-FR"/>
        </w:rPr>
        <w:t>21 sur la proposition visant à introduire l</w:t>
      </w:r>
      <w:r>
        <w:rPr>
          <w:lang w:val="fr-FR"/>
        </w:rPr>
        <w:t>’</w:t>
      </w:r>
      <w:r w:rsidRPr="008D0AEE">
        <w:rPr>
          <w:lang w:val="fr-FR"/>
        </w:rPr>
        <w:t xml:space="preserve">épreuve de Bergmann-Junk et </w:t>
      </w:r>
      <w:r>
        <w:rPr>
          <w:lang w:val="fr-FR"/>
        </w:rPr>
        <w:t>l’</w:t>
      </w:r>
      <w:r w:rsidRPr="008D0AEE">
        <w:rPr>
          <w:lang w:val="fr-FR"/>
        </w:rPr>
        <w:t>épreuve au violet de méthyle dans le Manuel d</w:t>
      </w:r>
      <w:r>
        <w:rPr>
          <w:lang w:val="fr-FR"/>
        </w:rPr>
        <w:t>’</w:t>
      </w:r>
      <w:r w:rsidRPr="008D0AEE">
        <w:rPr>
          <w:lang w:val="fr-FR"/>
        </w:rPr>
        <w:t>épreuves et de critères en tant qu</w:t>
      </w:r>
      <w:r>
        <w:rPr>
          <w:lang w:val="fr-FR"/>
        </w:rPr>
        <w:t>’épreuves</w:t>
      </w:r>
      <w:r w:rsidRPr="008D0AEE">
        <w:rPr>
          <w:lang w:val="fr-FR"/>
        </w:rPr>
        <w:t xml:space="preserve"> de stabilité pour la nitrocellulose industrielle. Le Sous-Comité a noté que les travaux se poursuivaient et </w:t>
      </w:r>
      <w:r w:rsidRPr="008D0AEE">
        <w:rPr>
          <w:lang w:val="fr-FR"/>
        </w:rPr>
        <w:lastRenderedPageBreak/>
        <w:t>que les auteurs de la proposition avaient l</w:t>
      </w:r>
      <w:r>
        <w:rPr>
          <w:lang w:val="fr-FR"/>
        </w:rPr>
        <w:t>’</w:t>
      </w:r>
      <w:r w:rsidRPr="008D0AEE">
        <w:rPr>
          <w:lang w:val="fr-FR"/>
        </w:rPr>
        <w:t xml:space="preserve">intention de soumettre un document officiel </w:t>
      </w:r>
      <w:r>
        <w:rPr>
          <w:lang w:val="fr-FR"/>
        </w:rPr>
        <w:t xml:space="preserve">à sa </w:t>
      </w:r>
      <w:r w:rsidRPr="008D0AEE">
        <w:rPr>
          <w:lang w:val="fr-FR"/>
        </w:rPr>
        <w:t>session suivante.</w:t>
      </w:r>
    </w:p>
    <w:p w:rsidR="00B627DC" w:rsidRPr="008D0AEE" w:rsidRDefault="00B627DC" w:rsidP="00840327">
      <w:pPr>
        <w:pStyle w:val="H23G"/>
        <w:rPr>
          <w:lang w:val="fr-FR"/>
        </w:rPr>
      </w:pPr>
      <w:r w:rsidRPr="008D0AEE">
        <w:rPr>
          <w:lang w:val="fr-FR"/>
        </w:rPr>
        <w:tab/>
        <w:t>2.</w:t>
      </w:r>
      <w:r w:rsidRPr="008D0AEE">
        <w:rPr>
          <w:lang w:val="fr-FR"/>
        </w:rPr>
        <w:tab/>
      </w:r>
      <w:r w:rsidRPr="003E6CD1">
        <w:rPr>
          <w:lang w:val="fr-FR"/>
        </w:rPr>
        <w:t>Épreuves relatives aux matières comburantes</w:t>
      </w:r>
    </w:p>
    <w:p w:rsidR="00B627DC" w:rsidRPr="008D0AEE" w:rsidRDefault="00B627DC" w:rsidP="00840327">
      <w:pPr>
        <w:pStyle w:val="SingleTxtG"/>
        <w:tabs>
          <w:tab w:val="left" w:pos="3119"/>
        </w:tabs>
        <w:ind w:left="3119" w:hanging="1985"/>
        <w:jc w:val="left"/>
        <w:rPr>
          <w:lang w:val="fr-FR"/>
        </w:rPr>
      </w:pPr>
      <w:r w:rsidRPr="008D0AEE">
        <w:rPr>
          <w:i/>
          <w:lang w:val="fr-FR"/>
        </w:rPr>
        <w:t>Document informel</w:t>
      </w:r>
      <w:r w:rsidR="00041630">
        <w:rPr>
          <w:lang w:val="fr-FR"/>
        </w:rPr>
        <w:t> :</w:t>
      </w:r>
      <w:r w:rsidR="00840327">
        <w:rPr>
          <w:lang w:val="fr-FR"/>
        </w:rPr>
        <w:t xml:space="preserve"> </w:t>
      </w:r>
      <w:r w:rsidR="00840327">
        <w:rPr>
          <w:lang w:val="fr-FR"/>
        </w:rPr>
        <w:tab/>
      </w:r>
      <w:r w:rsidRPr="008D0AEE">
        <w:rPr>
          <w:lang w:val="fr-FR"/>
        </w:rPr>
        <w:t>INF.21, point 2 (secrétariat)</w:t>
      </w:r>
      <w:r w:rsidR="00862C48">
        <w:rPr>
          <w:lang w:val="fr-FR"/>
        </w:rPr>
        <w:t>.</w:t>
      </w:r>
    </w:p>
    <w:p w:rsidR="00B627DC" w:rsidRPr="008D0AEE" w:rsidRDefault="00B627DC" w:rsidP="00B627DC">
      <w:pPr>
        <w:pStyle w:val="SingleTxtG"/>
        <w:rPr>
          <w:lang w:val="fr-FR"/>
        </w:rPr>
      </w:pPr>
      <w:r w:rsidRPr="008D0AEE">
        <w:rPr>
          <w:lang w:val="fr-FR"/>
        </w:rPr>
        <w:t>9.</w:t>
      </w:r>
      <w:r w:rsidRPr="008D0AEE">
        <w:rPr>
          <w:lang w:val="fr-FR"/>
        </w:rPr>
        <w:tab/>
      </w:r>
      <w:r w:rsidRPr="00FF7354">
        <w:rPr>
          <w:lang w:val="fr-FR"/>
        </w:rPr>
        <w:t xml:space="preserve">Le Sous-Comité a pris note des informations fournies au point 2 du document informel </w:t>
      </w:r>
      <w:r>
        <w:rPr>
          <w:lang w:val="fr-FR"/>
        </w:rPr>
        <w:t>INF.</w:t>
      </w:r>
      <w:r w:rsidRPr="00FF7354">
        <w:rPr>
          <w:lang w:val="fr-FR"/>
        </w:rPr>
        <w:t>21 et de l</w:t>
      </w:r>
      <w:r>
        <w:rPr>
          <w:lang w:val="fr-FR"/>
        </w:rPr>
        <w:t>’</w:t>
      </w:r>
      <w:r w:rsidRPr="00FF7354">
        <w:rPr>
          <w:lang w:val="fr-FR"/>
        </w:rPr>
        <w:t>intention de l</w:t>
      </w:r>
      <w:r>
        <w:rPr>
          <w:lang w:val="fr-FR"/>
        </w:rPr>
        <w:t>’</w:t>
      </w:r>
      <w:r w:rsidRPr="00FF7354">
        <w:rPr>
          <w:lang w:val="fr-FR"/>
        </w:rPr>
        <w:t>expert de la France de soumettre une proposition officielle à la session suivante des sous-comités TMD et SGH</w:t>
      </w:r>
      <w:r w:rsidRPr="008D0AEE">
        <w:rPr>
          <w:lang w:val="fr-FR"/>
        </w:rPr>
        <w:t>.</w:t>
      </w:r>
    </w:p>
    <w:p w:rsidR="00B627DC" w:rsidRPr="008D0AEE" w:rsidRDefault="00B627DC" w:rsidP="00840327">
      <w:pPr>
        <w:pStyle w:val="H23G"/>
        <w:rPr>
          <w:lang w:val="fr-FR"/>
        </w:rPr>
      </w:pPr>
      <w:r w:rsidRPr="008D0AEE">
        <w:rPr>
          <w:lang w:val="fr-FR"/>
        </w:rPr>
        <w:tab/>
        <w:t>3.</w:t>
      </w:r>
      <w:r w:rsidRPr="008D0AEE">
        <w:rPr>
          <w:lang w:val="fr-FR"/>
        </w:rPr>
        <w:tab/>
      </w:r>
      <w:r w:rsidRPr="003E6CD1">
        <w:rPr>
          <w:lang w:val="fr-FR"/>
        </w:rPr>
        <w:t>Utilisation du Manuel d</w:t>
      </w:r>
      <w:r>
        <w:rPr>
          <w:lang w:val="fr-FR"/>
        </w:rPr>
        <w:t>’</w:t>
      </w:r>
      <w:r w:rsidRPr="003E6CD1">
        <w:rPr>
          <w:lang w:val="fr-FR"/>
        </w:rPr>
        <w:t>épreuves et de critères dans le contexte du SGH</w:t>
      </w:r>
    </w:p>
    <w:p w:rsidR="00B627DC" w:rsidRPr="008D0AEE" w:rsidRDefault="00B627DC" w:rsidP="00840327">
      <w:pPr>
        <w:pStyle w:val="SingleTxtG"/>
        <w:tabs>
          <w:tab w:val="left" w:pos="3119"/>
        </w:tabs>
        <w:ind w:left="3119" w:hanging="1985"/>
        <w:jc w:val="left"/>
        <w:rPr>
          <w:lang w:val="fr-FR"/>
        </w:rPr>
      </w:pPr>
      <w:r w:rsidRPr="008D0AEE">
        <w:rPr>
          <w:i/>
          <w:lang w:val="fr-FR"/>
        </w:rPr>
        <w:t>Documents informels</w:t>
      </w:r>
      <w:r w:rsidR="00041630">
        <w:rPr>
          <w:lang w:val="fr-FR"/>
        </w:rPr>
        <w:t> :</w:t>
      </w:r>
      <w:r w:rsidR="00840327">
        <w:rPr>
          <w:lang w:val="fr-FR"/>
        </w:rPr>
        <w:t xml:space="preserve"> </w:t>
      </w:r>
      <w:r w:rsidR="00840327">
        <w:rPr>
          <w:lang w:val="fr-FR"/>
        </w:rPr>
        <w:tab/>
      </w:r>
      <w:r w:rsidRPr="008D0AEE">
        <w:rPr>
          <w:lang w:val="fr-FR"/>
        </w:rPr>
        <w:t xml:space="preserve">INF.3 </w:t>
      </w:r>
      <w:r>
        <w:rPr>
          <w:lang w:val="fr-FR"/>
        </w:rPr>
        <w:t>et</w:t>
      </w:r>
      <w:r w:rsidRPr="008D0AEE">
        <w:rPr>
          <w:lang w:val="fr-FR"/>
        </w:rPr>
        <w:t xml:space="preserve"> Add.1 </w:t>
      </w:r>
      <w:r>
        <w:rPr>
          <w:lang w:val="fr-FR"/>
        </w:rPr>
        <w:t>et</w:t>
      </w:r>
      <w:r w:rsidRPr="008D0AEE">
        <w:rPr>
          <w:lang w:val="fr-FR"/>
        </w:rPr>
        <w:t xml:space="preserve"> 2 </w:t>
      </w:r>
      <w:r w:rsidRPr="008D0AEE">
        <w:rPr>
          <w:rFonts w:eastAsia="MS Mincho"/>
          <w:lang w:val="fr-FR" w:eastAsia="ja-JP"/>
        </w:rPr>
        <w:t>(</w:t>
      </w:r>
      <w:r w:rsidRPr="0065506F">
        <w:rPr>
          <w:rFonts w:eastAsia="MS Mincho"/>
          <w:lang w:val="fr-FR" w:eastAsia="ja-JP"/>
        </w:rPr>
        <w:t>Président du Groupe de travail des</w:t>
      </w:r>
      <w:r>
        <w:rPr>
          <w:rFonts w:eastAsia="MS Mincho"/>
          <w:lang w:val="fr-FR" w:eastAsia="ja-JP"/>
        </w:rPr>
        <w:t> </w:t>
      </w:r>
      <w:r w:rsidRPr="0065506F">
        <w:rPr>
          <w:rFonts w:eastAsia="MS Mincho"/>
          <w:lang w:val="fr-FR" w:eastAsia="ja-JP"/>
        </w:rPr>
        <w:t>explosifs</w:t>
      </w:r>
      <w:r w:rsidRPr="008D0AEE">
        <w:rPr>
          <w:rFonts w:eastAsia="MS Mincho"/>
          <w:lang w:val="fr-FR" w:eastAsia="ja-JP"/>
        </w:rPr>
        <w:t>)</w:t>
      </w:r>
      <w:r w:rsidRPr="008D0AEE">
        <w:rPr>
          <w:lang w:val="fr-FR"/>
        </w:rPr>
        <w:t xml:space="preserve"> </w:t>
      </w:r>
      <w:r w:rsidRPr="008D0AEE">
        <w:rPr>
          <w:lang w:val="fr-FR"/>
        </w:rPr>
        <w:br/>
        <w:t>INF.7 (AEISG)</w:t>
      </w:r>
      <w:r w:rsidRPr="008D0AEE">
        <w:rPr>
          <w:lang w:val="fr-FR"/>
        </w:rPr>
        <w:br/>
        <w:t>INF.12 (SAAMI)</w:t>
      </w:r>
      <w:r w:rsidRPr="008D0AEE">
        <w:rPr>
          <w:lang w:val="fr-FR"/>
        </w:rPr>
        <w:br/>
        <w:t>INF.21, point 3 (secrétariat)</w:t>
      </w:r>
      <w:r w:rsidR="00862C48">
        <w:rPr>
          <w:lang w:val="fr-FR"/>
        </w:rPr>
        <w:t>.</w:t>
      </w:r>
    </w:p>
    <w:p w:rsidR="00B627DC" w:rsidRPr="008D0AEE" w:rsidRDefault="00B627DC" w:rsidP="00B627DC">
      <w:pPr>
        <w:pStyle w:val="SingleTxtG"/>
        <w:rPr>
          <w:lang w:val="fr-FR"/>
        </w:rPr>
      </w:pPr>
      <w:r w:rsidRPr="008D0AEE">
        <w:rPr>
          <w:lang w:val="fr-FR"/>
        </w:rPr>
        <w:t>10.</w:t>
      </w:r>
      <w:r w:rsidRPr="008D0AEE">
        <w:rPr>
          <w:lang w:val="fr-FR"/>
        </w:rPr>
        <w:tab/>
      </w:r>
      <w:r w:rsidRPr="0065506F">
        <w:rPr>
          <w:lang w:val="fr-FR"/>
        </w:rPr>
        <w:t xml:space="preserve">Le Sous-Comité TMD a pris note des informations fournies au point 3 du document informel </w:t>
      </w:r>
      <w:r>
        <w:rPr>
          <w:lang w:val="fr-FR"/>
        </w:rPr>
        <w:t>INF.</w:t>
      </w:r>
      <w:r w:rsidRPr="0065506F">
        <w:rPr>
          <w:lang w:val="fr-FR"/>
        </w:rPr>
        <w:t>21, et en particulier du fait que le Groupe de travail des explosifs du Sous-Comité TMD avait achevé l</w:t>
      </w:r>
      <w:r>
        <w:rPr>
          <w:lang w:val="fr-FR"/>
        </w:rPr>
        <w:t>’</w:t>
      </w:r>
      <w:r w:rsidRPr="0065506F">
        <w:rPr>
          <w:lang w:val="fr-FR"/>
        </w:rPr>
        <w:t>examen des sections 1 et 10 du Manuel d</w:t>
      </w:r>
      <w:r>
        <w:rPr>
          <w:lang w:val="fr-FR"/>
        </w:rPr>
        <w:t>’</w:t>
      </w:r>
      <w:r w:rsidRPr="0065506F">
        <w:rPr>
          <w:lang w:val="fr-FR"/>
        </w:rPr>
        <w:t>épreuves et de critères. Les textes adoptés avaient été distribués en tant qu</w:t>
      </w:r>
      <w:r>
        <w:rPr>
          <w:lang w:val="fr-FR"/>
        </w:rPr>
        <w:t>’</w:t>
      </w:r>
      <w:r w:rsidRPr="0065506F">
        <w:rPr>
          <w:lang w:val="fr-FR"/>
        </w:rPr>
        <w:t xml:space="preserve">additifs 1 et 2 au rapport du Groupe de travail des explosifs (document informel </w:t>
      </w:r>
      <w:r w:rsidRPr="008D0AEE">
        <w:rPr>
          <w:lang w:val="fr-FR"/>
        </w:rPr>
        <w:t>INF.53)</w:t>
      </w:r>
      <w:r w:rsidRPr="008D0AEE">
        <w:rPr>
          <w:rStyle w:val="FootnoteReference"/>
          <w:lang w:val="fr-FR"/>
        </w:rPr>
        <w:t xml:space="preserve"> </w:t>
      </w:r>
      <w:r w:rsidRPr="00FA2613">
        <w:rPr>
          <w:rStyle w:val="FootnoteReference"/>
        </w:rPr>
        <w:footnoteReference w:id="2"/>
      </w:r>
      <w:r w:rsidRPr="008D0AEE">
        <w:rPr>
          <w:lang w:val="fr-FR"/>
        </w:rPr>
        <w:t>.</w:t>
      </w:r>
    </w:p>
    <w:p w:rsidR="00B627DC" w:rsidRPr="008D0AEE" w:rsidRDefault="00B627DC" w:rsidP="00B627DC">
      <w:pPr>
        <w:pStyle w:val="SingleTxtG"/>
        <w:rPr>
          <w:lang w:val="fr-FR"/>
        </w:rPr>
      </w:pPr>
      <w:r w:rsidRPr="008D0AEE">
        <w:rPr>
          <w:lang w:val="fr-FR"/>
        </w:rPr>
        <w:t>11.</w:t>
      </w:r>
      <w:r w:rsidRPr="008D0AEE">
        <w:rPr>
          <w:lang w:val="fr-FR"/>
        </w:rPr>
        <w:tab/>
      </w:r>
      <w:r w:rsidRPr="0065506F">
        <w:rPr>
          <w:lang w:val="fr-FR"/>
        </w:rPr>
        <w:t>Il a été noté que, dans le Manuel d</w:t>
      </w:r>
      <w:r>
        <w:rPr>
          <w:lang w:val="fr-FR"/>
        </w:rPr>
        <w:t>’</w:t>
      </w:r>
      <w:r w:rsidRPr="0065506F">
        <w:rPr>
          <w:lang w:val="fr-FR"/>
        </w:rPr>
        <w:t>épreuves et de critères, la responsabilité de la classification de la configuration d</w:t>
      </w:r>
      <w:r>
        <w:rPr>
          <w:lang w:val="fr-FR"/>
        </w:rPr>
        <w:t>e</w:t>
      </w:r>
      <w:r w:rsidRPr="0065506F">
        <w:rPr>
          <w:lang w:val="fr-FR"/>
        </w:rPr>
        <w:t xml:space="preserve"> transport incombait dans plusieurs cas aux autorités compétentes, tandis que le SGH reposait sur l</w:t>
      </w:r>
      <w:r>
        <w:rPr>
          <w:lang w:val="fr-FR"/>
        </w:rPr>
        <w:t>’</w:t>
      </w:r>
      <w:r w:rsidRPr="0065506F">
        <w:rPr>
          <w:lang w:val="fr-FR"/>
        </w:rPr>
        <w:t>autoclassification par les fabricants et les fournisseurs. Le Sous-Comité a invité le Président du Groupe de travail des explosifs à se pencher sur cette question lors de l</w:t>
      </w:r>
      <w:r>
        <w:rPr>
          <w:lang w:val="fr-FR"/>
        </w:rPr>
        <w:t>’</w:t>
      </w:r>
      <w:r w:rsidRPr="0065506F">
        <w:rPr>
          <w:lang w:val="fr-FR"/>
        </w:rPr>
        <w:t>examen du Manuel d</w:t>
      </w:r>
      <w:r>
        <w:rPr>
          <w:lang w:val="fr-FR"/>
        </w:rPr>
        <w:t>’</w:t>
      </w:r>
      <w:r w:rsidRPr="0065506F">
        <w:rPr>
          <w:lang w:val="fr-FR"/>
        </w:rPr>
        <w:t>épreuves et de critères</w:t>
      </w:r>
      <w:r w:rsidRPr="008D0AEE">
        <w:rPr>
          <w:lang w:val="fr-FR"/>
        </w:rPr>
        <w:t>.</w:t>
      </w:r>
    </w:p>
    <w:p w:rsidR="00B627DC" w:rsidRPr="008D0AEE" w:rsidRDefault="00B627DC" w:rsidP="00862C48">
      <w:pPr>
        <w:pStyle w:val="H23G"/>
        <w:rPr>
          <w:lang w:val="fr-FR"/>
        </w:rPr>
      </w:pPr>
      <w:r w:rsidRPr="008D0AEE">
        <w:rPr>
          <w:lang w:val="fr-FR"/>
        </w:rPr>
        <w:tab/>
        <w:t>4.</w:t>
      </w:r>
      <w:r w:rsidRPr="008D0AEE">
        <w:rPr>
          <w:lang w:val="fr-FR"/>
        </w:rPr>
        <w:tab/>
      </w:r>
      <w:r w:rsidRPr="003E6CD1">
        <w:rPr>
          <w:lang w:val="fr-FR"/>
        </w:rPr>
        <w:t>Classement des explosifs désensibilisés</w:t>
      </w:r>
      <w:r w:rsidR="00862C48">
        <w:rPr>
          <w:lang w:val="fr-FR"/>
        </w:rPr>
        <w:t xml:space="preserve"> aux fins de la distribution </w:t>
      </w:r>
      <w:r w:rsidRPr="008D0AEE">
        <w:rPr>
          <w:lang w:val="fr-FR"/>
        </w:rPr>
        <w:t>et l</w:t>
      </w:r>
      <w:r>
        <w:rPr>
          <w:lang w:val="fr-FR"/>
        </w:rPr>
        <w:t>’</w:t>
      </w:r>
      <w:r w:rsidRPr="008D0AEE">
        <w:rPr>
          <w:lang w:val="fr-FR"/>
        </w:rPr>
        <w:t>utilisation conformément aux résultats des épreuves du chapitre</w:t>
      </w:r>
      <w:r w:rsidR="004D747C">
        <w:rPr>
          <w:lang w:val="fr-FR"/>
        </w:rPr>
        <w:t xml:space="preserve"> </w:t>
      </w:r>
      <w:r w:rsidRPr="008D0AEE">
        <w:rPr>
          <w:lang w:val="fr-FR"/>
        </w:rPr>
        <w:t xml:space="preserve">2.17 du SGH applicables </w:t>
      </w:r>
      <w:r w:rsidR="00862C48">
        <w:rPr>
          <w:lang w:val="fr-FR"/>
        </w:rPr>
        <w:br/>
      </w:r>
      <w:r w:rsidRPr="008D0AEE">
        <w:rPr>
          <w:lang w:val="fr-FR"/>
        </w:rPr>
        <w:t>à la nitrocellulose industrielle</w:t>
      </w:r>
    </w:p>
    <w:p w:rsidR="00B627DC" w:rsidRPr="008D0AEE" w:rsidRDefault="00B627DC" w:rsidP="00862C48">
      <w:pPr>
        <w:pStyle w:val="SingleTxtG"/>
        <w:tabs>
          <w:tab w:val="left" w:pos="3119"/>
        </w:tabs>
        <w:ind w:left="3119" w:hanging="1985"/>
        <w:jc w:val="left"/>
        <w:rPr>
          <w:lang w:val="fr-FR"/>
        </w:rPr>
      </w:pPr>
      <w:r w:rsidRPr="008D0AEE">
        <w:rPr>
          <w:i/>
          <w:lang w:val="fr-FR"/>
        </w:rPr>
        <w:t>Documents informels</w:t>
      </w:r>
      <w:r w:rsidR="00041630">
        <w:rPr>
          <w:lang w:val="fr-FR"/>
        </w:rPr>
        <w:t> :</w:t>
      </w:r>
      <w:r w:rsidRPr="008D0AEE">
        <w:rPr>
          <w:lang w:val="fr-FR"/>
        </w:rPr>
        <w:t xml:space="preserve"> </w:t>
      </w:r>
      <w:r w:rsidRPr="008D0AEE">
        <w:rPr>
          <w:lang w:val="fr-FR"/>
        </w:rPr>
        <w:tab/>
        <w:t xml:space="preserve">INF.4 (CEFIC </w:t>
      </w:r>
      <w:r>
        <w:rPr>
          <w:lang w:val="fr-FR"/>
        </w:rPr>
        <w:t>et</w:t>
      </w:r>
      <w:r w:rsidRPr="008D0AEE">
        <w:rPr>
          <w:lang w:val="fr-FR"/>
        </w:rPr>
        <w:t xml:space="preserve"> </w:t>
      </w:r>
      <w:r>
        <w:rPr>
          <w:lang w:val="fr-FR"/>
        </w:rPr>
        <w:t>A</w:t>
      </w:r>
      <w:r w:rsidRPr="00DD1A25">
        <w:rPr>
          <w:lang w:val="fr-FR"/>
        </w:rPr>
        <w:t>ssociation</w:t>
      </w:r>
      <w:r>
        <w:rPr>
          <w:lang w:val="fr-FR"/>
        </w:rPr>
        <w:t xml:space="preserve"> </w:t>
      </w:r>
      <w:r w:rsidRPr="00DD1A25">
        <w:rPr>
          <w:lang w:val="fr-FR"/>
        </w:rPr>
        <w:t>mondiale</w:t>
      </w:r>
      <w:r>
        <w:rPr>
          <w:lang w:val="fr-FR"/>
        </w:rPr>
        <w:t xml:space="preserve"> </w:t>
      </w:r>
      <w:r w:rsidRPr="00DD1A25">
        <w:rPr>
          <w:lang w:val="fr-FR"/>
        </w:rPr>
        <w:t>des</w:t>
      </w:r>
      <w:r>
        <w:rPr>
          <w:lang w:val="fr-FR"/>
        </w:rPr>
        <w:t xml:space="preserve"> </w:t>
      </w:r>
      <w:r w:rsidRPr="00DD1A25">
        <w:rPr>
          <w:lang w:val="fr-FR"/>
        </w:rPr>
        <w:t>producteurs</w:t>
      </w:r>
      <w:r>
        <w:rPr>
          <w:lang w:val="fr-FR"/>
        </w:rPr>
        <w:t xml:space="preserve"> </w:t>
      </w:r>
      <w:r w:rsidRPr="00DD1A25">
        <w:rPr>
          <w:lang w:val="fr-FR"/>
        </w:rPr>
        <w:t>de</w:t>
      </w:r>
      <w:r>
        <w:rPr>
          <w:lang w:val="fr-FR"/>
        </w:rPr>
        <w:t> </w:t>
      </w:r>
      <w:r w:rsidRPr="00DD1A25">
        <w:rPr>
          <w:lang w:val="fr-FR"/>
        </w:rPr>
        <w:t>nitrocellulose</w:t>
      </w:r>
      <w:r>
        <w:rPr>
          <w:lang w:val="fr-FR"/>
        </w:rPr>
        <w:t xml:space="preserve"> </w:t>
      </w:r>
      <w:r w:rsidR="004D747C">
        <w:rPr>
          <w:lang w:val="fr-FR"/>
        </w:rPr>
        <w:t>(</w:t>
      </w:r>
      <w:r>
        <w:rPr>
          <w:lang w:val="fr-FR"/>
        </w:rPr>
        <w:t>WONIPA</w:t>
      </w:r>
      <w:r w:rsidR="004D747C">
        <w:rPr>
          <w:lang w:val="fr-FR"/>
        </w:rPr>
        <w:t>)</w:t>
      </w:r>
      <w:r w:rsidRPr="008D0AEE">
        <w:rPr>
          <w:lang w:val="fr-FR"/>
        </w:rPr>
        <w:t xml:space="preserve">) </w:t>
      </w:r>
      <w:r w:rsidRPr="008D0AEE">
        <w:rPr>
          <w:lang w:val="fr-FR"/>
        </w:rPr>
        <w:br/>
        <w:t>INF.9 (SAAMI)</w:t>
      </w:r>
      <w:r w:rsidRPr="008D0AEE">
        <w:rPr>
          <w:lang w:val="fr-FR"/>
        </w:rPr>
        <w:br/>
        <w:t>INF.21, point 4 (secrétariat)</w:t>
      </w:r>
      <w:r w:rsidR="004D747C">
        <w:rPr>
          <w:lang w:val="fr-FR"/>
        </w:rPr>
        <w:t>.</w:t>
      </w:r>
    </w:p>
    <w:p w:rsidR="00B627DC" w:rsidRPr="008D0AEE" w:rsidRDefault="00B627DC" w:rsidP="00B627DC">
      <w:pPr>
        <w:pStyle w:val="SingleTxtG"/>
        <w:rPr>
          <w:lang w:val="fr-FR"/>
        </w:rPr>
      </w:pPr>
      <w:r w:rsidRPr="008D0AEE">
        <w:rPr>
          <w:lang w:val="fr-FR"/>
        </w:rPr>
        <w:t>12.</w:t>
      </w:r>
      <w:r w:rsidRPr="008D0AEE">
        <w:rPr>
          <w:lang w:val="fr-FR"/>
        </w:rPr>
        <w:tab/>
      </w:r>
      <w:r w:rsidRPr="00DD1A25">
        <w:rPr>
          <w:lang w:val="fr-FR"/>
        </w:rPr>
        <w:t xml:space="preserve">Le Sous-Comité a pris note des informations fournies au point 4 du document informel </w:t>
      </w:r>
      <w:r>
        <w:rPr>
          <w:lang w:val="fr-FR"/>
        </w:rPr>
        <w:t>INF.</w:t>
      </w:r>
      <w:r w:rsidRPr="00DD1A25">
        <w:rPr>
          <w:lang w:val="fr-FR"/>
        </w:rPr>
        <w:t>21 et a noté que la WONIPA et le SAAMI fourniraient des informations supplémentaires sur les résultats d</w:t>
      </w:r>
      <w:r>
        <w:rPr>
          <w:lang w:val="fr-FR"/>
        </w:rPr>
        <w:t>’</w:t>
      </w:r>
      <w:r w:rsidRPr="00DD1A25">
        <w:rPr>
          <w:lang w:val="fr-FR"/>
        </w:rPr>
        <w:t>essais concernant deux types différents de nitrocellulose (</w:t>
      </w:r>
      <w:r>
        <w:rPr>
          <w:lang w:val="fr-FR"/>
        </w:rPr>
        <w:t>« </w:t>
      </w:r>
      <w:r w:rsidRPr="00DD1A25">
        <w:rPr>
          <w:lang w:val="fr-FR"/>
        </w:rPr>
        <w:t>industrielle</w:t>
      </w:r>
      <w:r>
        <w:rPr>
          <w:lang w:val="fr-FR"/>
        </w:rPr>
        <w:t> »</w:t>
      </w:r>
      <w:r w:rsidRPr="00DD1A25">
        <w:rPr>
          <w:lang w:val="fr-FR"/>
        </w:rPr>
        <w:t xml:space="preserve"> et </w:t>
      </w:r>
      <w:r>
        <w:rPr>
          <w:lang w:val="fr-FR"/>
        </w:rPr>
        <w:t>« </w:t>
      </w:r>
      <w:r w:rsidRPr="00DD1A25">
        <w:rPr>
          <w:lang w:val="fr-FR"/>
        </w:rPr>
        <w:t>énergétique</w:t>
      </w:r>
      <w:r>
        <w:rPr>
          <w:lang w:val="fr-FR"/>
        </w:rPr>
        <w:t> »</w:t>
      </w:r>
      <w:r w:rsidRPr="00DD1A25">
        <w:rPr>
          <w:lang w:val="fr-FR"/>
        </w:rPr>
        <w:t>, comme indiqué au paragraphe 4 du document informel</w:t>
      </w:r>
      <w:r>
        <w:rPr>
          <w:lang w:val="fr-FR"/>
        </w:rPr>
        <w:t> </w:t>
      </w:r>
      <w:r w:rsidRPr="008D0AEE">
        <w:rPr>
          <w:lang w:val="fr-FR"/>
        </w:rPr>
        <w:t xml:space="preserve">INF.9). </w:t>
      </w:r>
    </w:p>
    <w:p w:rsidR="00B627DC" w:rsidRPr="008D0AEE" w:rsidRDefault="00B627DC" w:rsidP="00B627DC">
      <w:pPr>
        <w:pStyle w:val="SingleTxtG"/>
        <w:rPr>
          <w:lang w:val="fr-FR"/>
        </w:rPr>
      </w:pPr>
      <w:r w:rsidRPr="008D0AEE">
        <w:rPr>
          <w:lang w:val="fr-FR"/>
        </w:rPr>
        <w:t>13.</w:t>
      </w:r>
      <w:r w:rsidRPr="008D0AEE">
        <w:rPr>
          <w:lang w:val="fr-FR"/>
        </w:rPr>
        <w:tab/>
      </w:r>
      <w:r w:rsidRPr="00DD1A25">
        <w:rPr>
          <w:lang w:val="fr-FR"/>
        </w:rPr>
        <w:t>Le Sous-comité s</w:t>
      </w:r>
      <w:r>
        <w:rPr>
          <w:lang w:val="fr-FR"/>
        </w:rPr>
        <w:t>’</w:t>
      </w:r>
      <w:r w:rsidRPr="00DD1A25">
        <w:rPr>
          <w:lang w:val="fr-FR"/>
        </w:rPr>
        <w:t>est dit d</w:t>
      </w:r>
      <w:r>
        <w:rPr>
          <w:lang w:val="fr-FR"/>
        </w:rPr>
        <w:t>’</w:t>
      </w:r>
      <w:r w:rsidRPr="00DD1A25">
        <w:rPr>
          <w:lang w:val="fr-FR"/>
        </w:rPr>
        <w:t>accord avec le Sous-Comité TMD pour tirer parti des données existantes afin d</w:t>
      </w:r>
      <w:r>
        <w:rPr>
          <w:lang w:val="fr-FR"/>
        </w:rPr>
        <w:t>’</w:t>
      </w:r>
      <w:r w:rsidRPr="00DD1A25">
        <w:rPr>
          <w:lang w:val="fr-FR"/>
        </w:rPr>
        <w:t>éviter de nouveaux essais</w:t>
      </w:r>
      <w:r w:rsidRPr="008D0AEE">
        <w:rPr>
          <w:lang w:val="fr-FR"/>
        </w:rPr>
        <w:t xml:space="preserve">. </w:t>
      </w:r>
    </w:p>
    <w:p w:rsidR="00B627DC" w:rsidRPr="008D0AEE" w:rsidRDefault="00B627DC" w:rsidP="00B627DC">
      <w:pPr>
        <w:pStyle w:val="H1G"/>
        <w:rPr>
          <w:lang w:val="fr-FR"/>
        </w:rPr>
      </w:pPr>
      <w:r w:rsidRPr="008D0AEE">
        <w:rPr>
          <w:lang w:val="fr-FR"/>
        </w:rPr>
        <w:tab/>
        <w:t>B.</w:t>
      </w:r>
      <w:r w:rsidRPr="008D0AEE">
        <w:rPr>
          <w:lang w:val="fr-FR"/>
        </w:rPr>
        <w:tab/>
      </w:r>
      <w:r w:rsidRPr="003E6CD1">
        <w:rPr>
          <w:lang w:val="fr-FR"/>
        </w:rPr>
        <w:t xml:space="preserve">Révision du chapitre </w:t>
      </w:r>
      <w:r w:rsidRPr="008D0AEE">
        <w:rPr>
          <w:lang w:val="fr-FR"/>
        </w:rPr>
        <w:t>2.1</w:t>
      </w:r>
    </w:p>
    <w:p w:rsidR="00B627DC" w:rsidRPr="008D0AEE" w:rsidRDefault="00B627DC" w:rsidP="00862C48">
      <w:pPr>
        <w:pStyle w:val="SingleTxtG"/>
        <w:tabs>
          <w:tab w:val="left" w:pos="3119"/>
        </w:tabs>
        <w:ind w:left="3119" w:hanging="1985"/>
        <w:jc w:val="left"/>
        <w:rPr>
          <w:lang w:val="fr-FR"/>
        </w:rPr>
      </w:pPr>
      <w:r w:rsidRPr="008D0AEE">
        <w:rPr>
          <w:i/>
          <w:lang w:val="fr-FR"/>
        </w:rPr>
        <w:t>Documents informels</w:t>
      </w:r>
      <w:r w:rsidR="00041630">
        <w:rPr>
          <w:lang w:val="fr-FR"/>
        </w:rPr>
        <w:t> :</w:t>
      </w:r>
      <w:r w:rsidR="001802BD">
        <w:rPr>
          <w:lang w:val="fr-FR"/>
        </w:rPr>
        <w:t xml:space="preserve"> </w:t>
      </w:r>
      <w:r w:rsidR="001802BD">
        <w:rPr>
          <w:lang w:val="fr-FR"/>
        </w:rPr>
        <w:tab/>
      </w:r>
      <w:r w:rsidRPr="008D0AEE">
        <w:rPr>
          <w:lang w:val="fr-FR"/>
        </w:rPr>
        <w:t xml:space="preserve">INF.10 </w:t>
      </w:r>
      <w:r>
        <w:rPr>
          <w:lang w:val="fr-FR"/>
        </w:rPr>
        <w:t>et</w:t>
      </w:r>
      <w:r w:rsidRPr="008D0AEE">
        <w:rPr>
          <w:lang w:val="fr-FR"/>
        </w:rPr>
        <w:t xml:space="preserve"> INF.20 (</w:t>
      </w:r>
      <w:r>
        <w:rPr>
          <w:lang w:val="fr-FR"/>
        </w:rPr>
        <w:t>Suède</w:t>
      </w:r>
      <w:r w:rsidRPr="008D0AEE">
        <w:rPr>
          <w:lang w:val="fr-FR"/>
        </w:rPr>
        <w:t>)</w:t>
      </w:r>
      <w:r w:rsidRPr="008D0AEE">
        <w:rPr>
          <w:lang w:val="fr-FR"/>
        </w:rPr>
        <w:br/>
        <w:t>INF.21, point 5 (secrétariat)</w:t>
      </w:r>
      <w:r w:rsidR="001802BD">
        <w:rPr>
          <w:lang w:val="fr-FR"/>
        </w:rPr>
        <w:t>.</w:t>
      </w:r>
    </w:p>
    <w:p w:rsidR="00B627DC" w:rsidRPr="008D0AEE" w:rsidRDefault="00B627DC" w:rsidP="00B627DC">
      <w:pPr>
        <w:pStyle w:val="SingleTxtG"/>
        <w:rPr>
          <w:lang w:val="fr-FR"/>
        </w:rPr>
      </w:pPr>
      <w:r w:rsidRPr="008D0AEE">
        <w:rPr>
          <w:lang w:val="fr-FR"/>
        </w:rPr>
        <w:t>14.</w:t>
      </w:r>
      <w:r w:rsidRPr="008D0AEE">
        <w:rPr>
          <w:lang w:val="fr-FR"/>
        </w:rPr>
        <w:tab/>
      </w:r>
      <w:r w:rsidRPr="00AF00FB">
        <w:rPr>
          <w:lang w:val="fr-FR"/>
        </w:rPr>
        <w:t>Le Sous-Comité a pris note des progrès accomplis par le groupe de travail informel depuis la session</w:t>
      </w:r>
      <w:r>
        <w:rPr>
          <w:lang w:val="fr-FR"/>
        </w:rPr>
        <w:t xml:space="preserve"> précédente</w:t>
      </w:r>
      <w:r w:rsidRPr="00AF00FB">
        <w:rPr>
          <w:lang w:val="fr-FR"/>
        </w:rPr>
        <w:t>, tels qu</w:t>
      </w:r>
      <w:r>
        <w:rPr>
          <w:lang w:val="fr-FR"/>
        </w:rPr>
        <w:t>’</w:t>
      </w:r>
      <w:r w:rsidRPr="00AF00FB">
        <w:rPr>
          <w:lang w:val="fr-FR"/>
        </w:rPr>
        <w:t xml:space="preserve">ils </w:t>
      </w:r>
      <w:r>
        <w:rPr>
          <w:lang w:val="fr-FR"/>
        </w:rPr>
        <w:t>sont relatés</w:t>
      </w:r>
      <w:r w:rsidRPr="00AF00FB">
        <w:rPr>
          <w:lang w:val="fr-FR"/>
        </w:rPr>
        <w:t xml:space="preserve"> dans le document informel INF.10. Il a également noté que le groupe s</w:t>
      </w:r>
      <w:r>
        <w:rPr>
          <w:lang w:val="fr-FR"/>
        </w:rPr>
        <w:t>’</w:t>
      </w:r>
      <w:r w:rsidRPr="00AF00FB">
        <w:rPr>
          <w:lang w:val="fr-FR"/>
        </w:rPr>
        <w:t>était réuni parallèlement à la cinquante-deuxième session du Sous-Comité TMD, à la suite de la réunion du Groupe de travail des explosifs et en marge de la session du Sous-Comité SGH</w:t>
      </w:r>
      <w:r w:rsidRPr="008D0AEE">
        <w:rPr>
          <w:lang w:val="fr-FR"/>
        </w:rPr>
        <w:t xml:space="preserve">. </w:t>
      </w:r>
    </w:p>
    <w:p w:rsidR="00B627DC" w:rsidRPr="008D0AEE" w:rsidRDefault="00B627DC" w:rsidP="00A05262">
      <w:pPr>
        <w:pStyle w:val="SingleTxtG"/>
        <w:spacing w:after="100"/>
        <w:rPr>
          <w:lang w:val="fr-FR"/>
        </w:rPr>
      </w:pPr>
      <w:r w:rsidRPr="008D0AEE">
        <w:rPr>
          <w:lang w:val="fr-FR"/>
        </w:rPr>
        <w:t>15.</w:t>
      </w:r>
      <w:r w:rsidRPr="008D0AEE">
        <w:rPr>
          <w:lang w:val="fr-FR"/>
        </w:rPr>
        <w:tab/>
      </w:r>
      <w:r w:rsidRPr="00912A7C">
        <w:rPr>
          <w:lang w:val="fr-FR"/>
        </w:rPr>
        <w:t>L</w:t>
      </w:r>
      <w:r>
        <w:rPr>
          <w:lang w:val="fr-FR"/>
        </w:rPr>
        <w:t>’</w:t>
      </w:r>
      <w:r w:rsidRPr="00912A7C">
        <w:rPr>
          <w:lang w:val="fr-FR"/>
        </w:rPr>
        <w:t>expert de la Suède a informé le Sous-Comité que le groupe de travail informel s</w:t>
      </w:r>
      <w:r>
        <w:rPr>
          <w:lang w:val="fr-FR"/>
        </w:rPr>
        <w:t>’</w:t>
      </w:r>
      <w:r w:rsidRPr="00912A7C">
        <w:rPr>
          <w:lang w:val="fr-FR"/>
        </w:rPr>
        <w:t>était mis d</w:t>
      </w:r>
      <w:r>
        <w:rPr>
          <w:lang w:val="fr-FR"/>
        </w:rPr>
        <w:t>’</w:t>
      </w:r>
      <w:r w:rsidRPr="00912A7C">
        <w:rPr>
          <w:lang w:val="fr-FR"/>
        </w:rPr>
        <w:t xml:space="preserve">accord provisoirement sur un système de classification et de critères pour les </w:t>
      </w:r>
      <w:r w:rsidRPr="00912A7C">
        <w:rPr>
          <w:lang w:val="fr-FR"/>
        </w:rPr>
        <w:lastRenderedPageBreak/>
        <w:t>explosifs, comme indiqué dans l</w:t>
      </w:r>
      <w:r>
        <w:rPr>
          <w:lang w:val="fr-FR"/>
        </w:rPr>
        <w:t>’</w:t>
      </w:r>
      <w:r w:rsidRPr="00912A7C">
        <w:rPr>
          <w:lang w:val="fr-FR"/>
        </w:rPr>
        <w:t>annexe au document informel INF.20, et avait examiné plusieurs options pour la communication des dangers</w:t>
      </w:r>
      <w:r w:rsidRPr="008D0AEE">
        <w:rPr>
          <w:lang w:val="fr-FR"/>
        </w:rPr>
        <w:t xml:space="preserve">. </w:t>
      </w:r>
    </w:p>
    <w:p w:rsidR="00B627DC" w:rsidRPr="00DA6709" w:rsidRDefault="00B627DC" w:rsidP="00A05262">
      <w:pPr>
        <w:pStyle w:val="SingleTxtG"/>
        <w:spacing w:after="100"/>
        <w:rPr>
          <w:lang w:val="fr-FR"/>
        </w:rPr>
      </w:pPr>
      <w:r w:rsidRPr="00DA6709">
        <w:rPr>
          <w:lang w:val="fr-FR"/>
        </w:rPr>
        <w:t>16.</w:t>
      </w:r>
      <w:r w:rsidRPr="00DA6709">
        <w:rPr>
          <w:lang w:val="fr-FR"/>
        </w:rPr>
        <w:tab/>
        <w:t>Il a expliqué que le système de classification provisoirement approuvé par le groupe de travail informel conserverait les références aux divisions et n</w:t>
      </w:r>
      <w:r>
        <w:rPr>
          <w:lang w:val="fr-FR"/>
        </w:rPr>
        <w:t>’</w:t>
      </w:r>
      <w:r w:rsidRPr="00DA6709">
        <w:rPr>
          <w:lang w:val="fr-FR"/>
        </w:rPr>
        <w:t>aurait pas d</w:t>
      </w:r>
      <w:r>
        <w:rPr>
          <w:lang w:val="fr-FR"/>
        </w:rPr>
        <w:t>’</w:t>
      </w:r>
      <w:r w:rsidRPr="00DA6709">
        <w:rPr>
          <w:lang w:val="fr-FR"/>
        </w:rPr>
        <w:t>incidence sur la classification actuelle des explosifs aux fins du transport. S</w:t>
      </w:r>
      <w:r>
        <w:rPr>
          <w:lang w:val="fr-FR"/>
        </w:rPr>
        <w:t>’</w:t>
      </w:r>
      <w:r w:rsidRPr="00DA6709">
        <w:rPr>
          <w:lang w:val="fr-FR"/>
        </w:rPr>
        <w:t>agissant de l</w:t>
      </w:r>
      <w:r>
        <w:rPr>
          <w:lang w:val="fr-FR"/>
        </w:rPr>
        <w:t>’</w:t>
      </w:r>
      <w:r w:rsidRPr="00DA6709">
        <w:rPr>
          <w:lang w:val="fr-FR"/>
        </w:rPr>
        <w:t>étiquetage, il a expliqué que le groupe de travail informel examinait plusieurs options permettant de conserver des informations concernant la division sur l</w:t>
      </w:r>
      <w:r>
        <w:rPr>
          <w:lang w:val="fr-FR"/>
        </w:rPr>
        <w:t>’</w:t>
      </w:r>
      <w:r w:rsidRPr="00DA6709">
        <w:rPr>
          <w:lang w:val="fr-FR"/>
        </w:rPr>
        <w:t xml:space="preserve">étiquette du SGH, au cas où une mention générale de danger serait choisie (par exemple au moyen de mentions de danger modulables ou de </w:t>
      </w:r>
      <w:r w:rsidRPr="00DA6709">
        <w:rPr>
          <w:color w:val="000000"/>
          <w:lang w:val="fr-FR"/>
        </w:rPr>
        <w:t>conseils de prudence</w:t>
      </w:r>
      <w:r w:rsidRPr="00DA6709">
        <w:rPr>
          <w:lang w:val="fr-FR"/>
        </w:rPr>
        <w:t>, ou en recourant à un étiquetage supplémentaire).</w:t>
      </w:r>
    </w:p>
    <w:p w:rsidR="00B627DC" w:rsidRPr="008D0AEE" w:rsidRDefault="00B627DC" w:rsidP="00A05262">
      <w:pPr>
        <w:pStyle w:val="SingleTxtG"/>
        <w:spacing w:after="100"/>
        <w:rPr>
          <w:lang w:val="fr-FR"/>
        </w:rPr>
      </w:pPr>
      <w:r w:rsidRPr="008D0AEE">
        <w:rPr>
          <w:lang w:val="fr-FR"/>
        </w:rPr>
        <w:t>17.</w:t>
      </w:r>
      <w:r w:rsidRPr="008D0AEE">
        <w:rPr>
          <w:lang w:val="fr-FR"/>
        </w:rPr>
        <w:tab/>
      </w:r>
      <w:r w:rsidRPr="001B6B65">
        <w:rPr>
          <w:lang w:val="fr-FR"/>
        </w:rPr>
        <w:t>Le Sous-Comité a noté que le groupe de travail informel continuerait de travailler sur le système de classification proposé, en vérifiant ses résultats et en affinant les critères dans la mesure du possible. En ce qui concernait l</w:t>
      </w:r>
      <w:r>
        <w:rPr>
          <w:lang w:val="fr-FR"/>
        </w:rPr>
        <w:t>’</w:t>
      </w:r>
      <w:r w:rsidRPr="001B6B65">
        <w:rPr>
          <w:lang w:val="fr-FR"/>
        </w:rPr>
        <w:t>étiquetage, il a été noté que le groupe de travail informel illustrerait diverses options d</w:t>
      </w:r>
      <w:r>
        <w:rPr>
          <w:lang w:val="fr-FR"/>
        </w:rPr>
        <w:t>’</w:t>
      </w:r>
      <w:r w:rsidRPr="001B6B65">
        <w:rPr>
          <w:lang w:val="fr-FR"/>
        </w:rPr>
        <w:t xml:space="preserve">étiquetage par des exemples </w:t>
      </w:r>
      <w:r>
        <w:rPr>
          <w:lang w:val="fr-FR"/>
        </w:rPr>
        <w:t>afin de</w:t>
      </w:r>
      <w:r w:rsidRPr="001B6B65">
        <w:rPr>
          <w:lang w:val="fr-FR"/>
        </w:rPr>
        <w:t xml:space="preserve"> faciliter les débats. L</w:t>
      </w:r>
      <w:r>
        <w:rPr>
          <w:lang w:val="fr-FR"/>
        </w:rPr>
        <w:t>’</w:t>
      </w:r>
      <w:r w:rsidRPr="001B6B65">
        <w:rPr>
          <w:lang w:val="fr-FR"/>
        </w:rPr>
        <w:t>expert de la Suède a rappelé qu</w:t>
      </w:r>
      <w:r>
        <w:rPr>
          <w:lang w:val="fr-FR"/>
        </w:rPr>
        <w:t>’</w:t>
      </w:r>
      <w:r w:rsidRPr="001B6B65">
        <w:rPr>
          <w:lang w:val="fr-FR"/>
        </w:rPr>
        <w:t>il conviendrait d</w:t>
      </w:r>
      <w:r>
        <w:rPr>
          <w:lang w:val="fr-FR"/>
        </w:rPr>
        <w:t>’</w:t>
      </w:r>
      <w:r w:rsidRPr="001B6B65">
        <w:rPr>
          <w:lang w:val="fr-FR"/>
        </w:rPr>
        <w:t>examiner les conséquences en aval du nouveau système et a indiqué qu</w:t>
      </w:r>
      <w:r>
        <w:rPr>
          <w:lang w:val="fr-FR"/>
        </w:rPr>
        <w:t>’</w:t>
      </w:r>
      <w:r w:rsidRPr="001B6B65">
        <w:rPr>
          <w:lang w:val="fr-FR"/>
        </w:rPr>
        <w:t>une version révisée du chapitre 2.1 serait rédigée ultérieurement</w:t>
      </w:r>
      <w:r w:rsidRPr="008D0AEE">
        <w:rPr>
          <w:lang w:val="fr-FR"/>
        </w:rPr>
        <w:t>.</w:t>
      </w:r>
    </w:p>
    <w:p w:rsidR="00B627DC" w:rsidRPr="008D0AEE" w:rsidRDefault="00B627DC" w:rsidP="00A05262">
      <w:pPr>
        <w:pStyle w:val="SingleTxtG"/>
        <w:spacing w:after="100"/>
        <w:rPr>
          <w:lang w:val="fr-FR"/>
        </w:rPr>
      </w:pPr>
      <w:r w:rsidRPr="008D0AEE">
        <w:rPr>
          <w:color w:val="000000"/>
          <w:lang w:val="fr-FR" w:eastAsia="zh-CN"/>
        </w:rPr>
        <w:t>18.</w:t>
      </w:r>
      <w:r w:rsidRPr="008D0AEE">
        <w:rPr>
          <w:color w:val="000000"/>
          <w:lang w:val="fr-FR" w:eastAsia="zh-CN"/>
        </w:rPr>
        <w:tab/>
      </w:r>
      <w:r w:rsidRPr="00534911">
        <w:rPr>
          <w:color w:val="000000"/>
          <w:lang w:val="fr-FR" w:eastAsia="zh-CN"/>
        </w:rPr>
        <w:t>Certains experts ont réaffirmé qu</w:t>
      </w:r>
      <w:r>
        <w:rPr>
          <w:color w:val="000000"/>
          <w:lang w:val="fr-FR" w:eastAsia="zh-CN"/>
        </w:rPr>
        <w:t>’</w:t>
      </w:r>
      <w:r w:rsidRPr="00534911">
        <w:rPr>
          <w:color w:val="000000"/>
          <w:lang w:val="fr-FR" w:eastAsia="zh-CN"/>
        </w:rPr>
        <w:t>il importait de conserver sur l</w:t>
      </w:r>
      <w:r>
        <w:rPr>
          <w:color w:val="000000"/>
          <w:lang w:val="fr-FR" w:eastAsia="zh-CN"/>
        </w:rPr>
        <w:t>’</w:t>
      </w:r>
      <w:r w:rsidRPr="00534911">
        <w:rPr>
          <w:color w:val="000000"/>
          <w:lang w:val="fr-FR" w:eastAsia="zh-CN"/>
        </w:rPr>
        <w:t>étiquette les informations relatives à la division, étant donné que certaines spécifications et décisions en matière de sécurité découlaient de cette classification (par exemple les distances de sécurité ou les mesures en cas d</w:t>
      </w:r>
      <w:r>
        <w:rPr>
          <w:color w:val="000000"/>
          <w:lang w:val="fr-FR" w:eastAsia="zh-CN"/>
        </w:rPr>
        <w:t>’</w:t>
      </w:r>
      <w:r w:rsidRPr="00534911">
        <w:rPr>
          <w:color w:val="000000"/>
          <w:lang w:val="fr-FR" w:eastAsia="zh-CN"/>
        </w:rPr>
        <w:t>intervention d</w:t>
      </w:r>
      <w:r>
        <w:rPr>
          <w:color w:val="000000"/>
          <w:lang w:val="fr-FR" w:eastAsia="zh-CN"/>
        </w:rPr>
        <w:t>’</w:t>
      </w:r>
      <w:r w:rsidRPr="00534911">
        <w:rPr>
          <w:color w:val="000000"/>
          <w:lang w:val="fr-FR" w:eastAsia="zh-CN"/>
        </w:rPr>
        <w:t>urgence) et se sont dits préoccupés par la perte d</w:t>
      </w:r>
      <w:r>
        <w:rPr>
          <w:color w:val="000000"/>
          <w:lang w:val="fr-FR" w:eastAsia="zh-CN"/>
        </w:rPr>
        <w:t>’</w:t>
      </w:r>
      <w:r w:rsidRPr="00534911">
        <w:rPr>
          <w:color w:val="000000"/>
          <w:lang w:val="fr-FR" w:eastAsia="zh-CN"/>
        </w:rPr>
        <w:t xml:space="preserve">informations si les mentions de danger actuelles étaient simplifiées (par exemple </w:t>
      </w:r>
      <w:r>
        <w:rPr>
          <w:color w:val="000000"/>
          <w:lang w:val="fr-FR" w:eastAsia="zh-CN"/>
        </w:rPr>
        <w:t>« </w:t>
      </w:r>
      <w:r w:rsidRPr="00534911">
        <w:rPr>
          <w:color w:val="000000"/>
          <w:lang w:val="fr-FR" w:eastAsia="zh-CN"/>
        </w:rPr>
        <w:t>Explosif</w:t>
      </w:r>
      <w:r>
        <w:rPr>
          <w:color w:val="000000"/>
          <w:lang w:val="fr-FR" w:eastAsia="zh-CN"/>
        </w:rPr>
        <w:t> »</w:t>
      </w:r>
      <w:r w:rsidRPr="00534911">
        <w:rPr>
          <w:color w:val="000000"/>
          <w:lang w:val="fr-FR" w:eastAsia="zh-CN"/>
        </w:rPr>
        <w:t xml:space="preserve"> au lieu de </w:t>
      </w:r>
      <w:r>
        <w:rPr>
          <w:color w:val="000000"/>
          <w:lang w:val="fr-FR" w:eastAsia="zh-CN"/>
        </w:rPr>
        <w:t>« </w:t>
      </w:r>
      <w:r w:rsidRPr="00534911">
        <w:rPr>
          <w:color w:val="000000"/>
          <w:lang w:val="fr-FR" w:eastAsia="zh-CN"/>
        </w:rPr>
        <w:t>Explosif</w:t>
      </w:r>
      <w:r w:rsidR="00041630">
        <w:rPr>
          <w:color w:val="000000"/>
          <w:lang w:val="fr-FR" w:eastAsia="zh-CN"/>
        </w:rPr>
        <w:t> ;</w:t>
      </w:r>
      <w:r w:rsidRPr="00534911">
        <w:rPr>
          <w:color w:val="000000"/>
          <w:lang w:val="fr-FR" w:eastAsia="zh-CN"/>
        </w:rPr>
        <w:t xml:space="preserve"> danger d</w:t>
      </w:r>
      <w:r>
        <w:rPr>
          <w:color w:val="000000"/>
          <w:lang w:val="fr-FR" w:eastAsia="zh-CN"/>
        </w:rPr>
        <w:t>’</w:t>
      </w:r>
      <w:r w:rsidRPr="00534911">
        <w:rPr>
          <w:color w:val="000000"/>
          <w:lang w:val="fr-FR" w:eastAsia="zh-CN"/>
        </w:rPr>
        <w:t>explosion en masse</w:t>
      </w:r>
      <w:r>
        <w:rPr>
          <w:color w:val="000000"/>
          <w:lang w:val="fr-FR" w:eastAsia="zh-CN"/>
        </w:rPr>
        <w:t> »</w:t>
      </w:r>
      <w:r w:rsidRPr="00534911">
        <w:rPr>
          <w:color w:val="000000"/>
          <w:lang w:val="fr-FR" w:eastAsia="zh-CN"/>
        </w:rPr>
        <w:t>). Ils estimaient que cela représenterait un abaissement du niveau actuel de protection offert aux utilisateurs. D</w:t>
      </w:r>
      <w:r>
        <w:rPr>
          <w:color w:val="000000"/>
          <w:lang w:val="fr-FR" w:eastAsia="zh-CN"/>
        </w:rPr>
        <w:t>’</w:t>
      </w:r>
      <w:r w:rsidRPr="00534911">
        <w:rPr>
          <w:color w:val="000000"/>
          <w:lang w:val="fr-FR" w:eastAsia="zh-CN"/>
        </w:rPr>
        <w:t>autres, au contraire, estimaient qu</w:t>
      </w:r>
      <w:r>
        <w:rPr>
          <w:color w:val="000000"/>
          <w:lang w:val="fr-FR" w:eastAsia="zh-CN"/>
        </w:rPr>
        <w:t>’</w:t>
      </w:r>
      <w:r w:rsidRPr="00534911">
        <w:rPr>
          <w:color w:val="000000"/>
          <w:lang w:val="fr-FR" w:eastAsia="zh-CN"/>
        </w:rPr>
        <w:t>il n</w:t>
      </w:r>
      <w:r>
        <w:rPr>
          <w:color w:val="000000"/>
          <w:lang w:val="fr-FR" w:eastAsia="zh-CN"/>
        </w:rPr>
        <w:t>’</w:t>
      </w:r>
      <w:r w:rsidRPr="00534911">
        <w:rPr>
          <w:color w:val="000000"/>
          <w:lang w:val="fr-FR" w:eastAsia="zh-CN"/>
        </w:rPr>
        <w:t>était pas nécessaire d</w:t>
      </w:r>
      <w:r>
        <w:rPr>
          <w:color w:val="000000"/>
          <w:lang w:val="fr-FR" w:eastAsia="zh-CN"/>
        </w:rPr>
        <w:t>’</w:t>
      </w:r>
      <w:r w:rsidRPr="00534911">
        <w:rPr>
          <w:color w:val="000000"/>
          <w:lang w:val="fr-FR" w:eastAsia="zh-CN"/>
        </w:rPr>
        <w:t>établir des mentions de danger aussi détaillées, car la plupart des explosifs n</w:t>
      </w:r>
      <w:r>
        <w:rPr>
          <w:color w:val="000000"/>
          <w:lang w:val="fr-FR" w:eastAsia="zh-CN"/>
        </w:rPr>
        <w:t>’</w:t>
      </w:r>
      <w:r w:rsidRPr="00534911">
        <w:rPr>
          <w:color w:val="000000"/>
          <w:lang w:val="fr-FR" w:eastAsia="zh-CN"/>
        </w:rPr>
        <w:t>étaient pas accessibles au grand public et n</w:t>
      </w:r>
      <w:r>
        <w:rPr>
          <w:color w:val="000000"/>
          <w:lang w:val="fr-FR" w:eastAsia="zh-CN"/>
        </w:rPr>
        <w:t>’</w:t>
      </w:r>
      <w:r w:rsidRPr="00534911">
        <w:rPr>
          <w:color w:val="000000"/>
          <w:lang w:val="fr-FR" w:eastAsia="zh-CN"/>
        </w:rPr>
        <w:t xml:space="preserve">étaient manipulés que dans des conditions </w:t>
      </w:r>
      <w:r>
        <w:rPr>
          <w:color w:val="000000"/>
          <w:lang w:val="fr-FR" w:eastAsia="zh-CN"/>
        </w:rPr>
        <w:t>stric</w:t>
      </w:r>
      <w:r w:rsidRPr="00534911">
        <w:rPr>
          <w:color w:val="000000"/>
          <w:lang w:val="fr-FR" w:eastAsia="zh-CN"/>
        </w:rPr>
        <w:t>tement réglementées par des personnes spécialement formées</w:t>
      </w:r>
      <w:r w:rsidRPr="008D0AEE">
        <w:rPr>
          <w:lang w:val="fr-FR"/>
        </w:rPr>
        <w:t>.</w:t>
      </w:r>
    </w:p>
    <w:p w:rsidR="00B627DC" w:rsidRPr="008D0AEE" w:rsidRDefault="00B627DC" w:rsidP="00A05262">
      <w:pPr>
        <w:pStyle w:val="SingleTxtG"/>
        <w:spacing w:after="100"/>
        <w:rPr>
          <w:lang w:val="fr-FR"/>
        </w:rPr>
      </w:pPr>
      <w:r w:rsidRPr="008D0AEE">
        <w:rPr>
          <w:lang w:val="fr-FR"/>
        </w:rPr>
        <w:t>19.</w:t>
      </w:r>
      <w:r w:rsidRPr="008D0AEE">
        <w:rPr>
          <w:lang w:val="fr-FR"/>
        </w:rPr>
        <w:tab/>
      </w:r>
      <w:r w:rsidRPr="00F00D35">
        <w:rPr>
          <w:lang w:val="fr-FR"/>
        </w:rPr>
        <w:t>Le Sous-Comité a encouragé l</w:t>
      </w:r>
      <w:r>
        <w:rPr>
          <w:lang w:val="fr-FR"/>
        </w:rPr>
        <w:t>’</w:t>
      </w:r>
      <w:r w:rsidRPr="00F00D35">
        <w:rPr>
          <w:lang w:val="fr-FR"/>
        </w:rPr>
        <w:t>expert de la Suède à prendre en compte les observations formulées et à poursuivre ses travaux sur la question. Les experts souhaitant participer aux travaux du groupe de travail informel ont été invités à prendre contact avec l</w:t>
      </w:r>
      <w:r>
        <w:rPr>
          <w:lang w:val="fr-FR"/>
        </w:rPr>
        <w:t>’</w:t>
      </w:r>
      <w:r w:rsidRPr="00F00D35">
        <w:rPr>
          <w:lang w:val="fr-FR"/>
        </w:rPr>
        <w:t>expert de la Suède</w:t>
      </w:r>
      <w:r w:rsidRPr="008D0AEE">
        <w:rPr>
          <w:lang w:val="fr-FR"/>
        </w:rPr>
        <w:t>.</w:t>
      </w:r>
    </w:p>
    <w:p w:rsidR="00B627DC" w:rsidRPr="008D0AEE" w:rsidRDefault="00B627DC" w:rsidP="001802BD">
      <w:pPr>
        <w:pStyle w:val="H1G"/>
        <w:rPr>
          <w:lang w:val="fr-FR"/>
        </w:rPr>
      </w:pPr>
      <w:r w:rsidRPr="008D0AEE">
        <w:rPr>
          <w:lang w:val="fr-FR"/>
        </w:rPr>
        <w:tab/>
        <w:t>C.</w:t>
      </w:r>
      <w:r w:rsidRPr="008D0AEE">
        <w:rPr>
          <w:lang w:val="fr-FR"/>
        </w:rPr>
        <w:tab/>
      </w:r>
      <w:r w:rsidRPr="003E6CD1">
        <w:rPr>
          <w:lang w:val="fr-FR"/>
        </w:rPr>
        <w:t>Danger d</w:t>
      </w:r>
      <w:r>
        <w:rPr>
          <w:lang w:val="fr-FR"/>
        </w:rPr>
        <w:t>’</w:t>
      </w:r>
      <w:r w:rsidRPr="003E6CD1">
        <w:rPr>
          <w:lang w:val="fr-FR"/>
        </w:rPr>
        <w:t>explosion de poussières</w:t>
      </w:r>
    </w:p>
    <w:p w:rsidR="00B627DC" w:rsidRPr="008D0AEE" w:rsidRDefault="00B627DC" w:rsidP="00B627DC">
      <w:pPr>
        <w:pStyle w:val="SingleTxtG"/>
        <w:rPr>
          <w:lang w:val="fr-FR"/>
        </w:rPr>
      </w:pPr>
      <w:r w:rsidRPr="008D0AEE">
        <w:rPr>
          <w:lang w:val="fr-FR"/>
        </w:rPr>
        <w:t>20.</w:t>
      </w:r>
      <w:r w:rsidRPr="008D0AEE">
        <w:rPr>
          <w:lang w:val="fr-FR"/>
        </w:rPr>
        <w:tab/>
      </w:r>
      <w:r w:rsidRPr="0077671B">
        <w:rPr>
          <w:lang w:val="fr-FR"/>
        </w:rPr>
        <w:t>Aucun document n</w:t>
      </w:r>
      <w:r>
        <w:rPr>
          <w:lang w:val="fr-FR"/>
        </w:rPr>
        <w:t>’</w:t>
      </w:r>
      <w:r w:rsidRPr="0077671B">
        <w:rPr>
          <w:lang w:val="fr-FR"/>
        </w:rPr>
        <w:t>ayant été soumis au titre de ce point de l</w:t>
      </w:r>
      <w:r>
        <w:rPr>
          <w:lang w:val="fr-FR"/>
        </w:rPr>
        <w:t>’</w:t>
      </w:r>
      <w:r w:rsidRPr="0077671B">
        <w:rPr>
          <w:lang w:val="fr-FR"/>
        </w:rPr>
        <w:t>ordre du jour, cette question n</w:t>
      </w:r>
      <w:r>
        <w:rPr>
          <w:lang w:val="fr-FR"/>
        </w:rPr>
        <w:t>’</w:t>
      </w:r>
      <w:r w:rsidRPr="0077671B">
        <w:rPr>
          <w:lang w:val="fr-FR"/>
        </w:rPr>
        <w:t>a</w:t>
      </w:r>
      <w:r>
        <w:rPr>
          <w:lang w:val="fr-FR"/>
        </w:rPr>
        <w:t xml:space="preserve"> pas</w:t>
      </w:r>
      <w:r w:rsidRPr="0077671B">
        <w:rPr>
          <w:lang w:val="fr-FR"/>
        </w:rPr>
        <w:t xml:space="preserve"> été abordée</w:t>
      </w:r>
      <w:r w:rsidRPr="008D0AEE">
        <w:rPr>
          <w:lang w:val="fr-FR"/>
        </w:rPr>
        <w:t>.</w:t>
      </w:r>
    </w:p>
    <w:p w:rsidR="00B627DC" w:rsidRPr="008D0AEE" w:rsidRDefault="00B627DC" w:rsidP="001802BD">
      <w:pPr>
        <w:pStyle w:val="H1G"/>
        <w:rPr>
          <w:lang w:val="fr-FR"/>
        </w:rPr>
      </w:pPr>
      <w:r w:rsidRPr="008D0AEE">
        <w:rPr>
          <w:lang w:val="fr-FR"/>
        </w:rPr>
        <w:tab/>
        <w:t>D.</w:t>
      </w:r>
      <w:r w:rsidRPr="008D0AEE">
        <w:rPr>
          <w:lang w:val="fr-FR"/>
        </w:rPr>
        <w:tab/>
      </w:r>
      <w:r w:rsidRPr="003E6CD1">
        <w:rPr>
          <w:lang w:val="fr-FR"/>
        </w:rPr>
        <w:t>Utilisation de méthodes d</w:t>
      </w:r>
      <w:r>
        <w:rPr>
          <w:lang w:val="fr-FR"/>
        </w:rPr>
        <w:t>’</w:t>
      </w:r>
      <w:r w:rsidRPr="003E6CD1">
        <w:rPr>
          <w:lang w:val="fr-FR"/>
        </w:rPr>
        <w:t xml:space="preserve">expérimentation non animales </w:t>
      </w:r>
      <w:r w:rsidR="001802BD">
        <w:rPr>
          <w:lang w:val="fr-FR"/>
        </w:rPr>
        <w:br/>
      </w:r>
      <w:r w:rsidRPr="003E6CD1">
        <w:rPr>
          <w:lang w:val="fr-FR"/>
        </w:rPr>
        <w:t>pour le classement des dangers pour la santé</w:t>
      </w:r>
    </w:p>
    <w:p w:rsidR="00B627DC" w:rsidRPr="00862C48" w:rsidRDefault="00B627DC" w:rsidP="00A05262">
      <w:pPr>
        <w:pStyle w:val="SingleTxtG"/>
        <w:tabs>
          <w:tab w:val="left" w:pos="3119"/>
        </w:tabs>
        <w:spacing w:after="100"/>
        <w:ind w:left="3119" w:hanging="1985"/>
        <w:jc w:val="left"/>
        <w:rPr>
          <w:lang w:val="fr-FR"/>
        </w:rPr>
      </w:pPr>
      <w:r w:rsidRPr="001802BD">
        <w:rPr>
          <w:i/>
          <w:lang w:val="fr-FR"/>
        </w:rPr>
        <w:t>Documents informels</w:t>
      </w:r>
      <w:r w:rsidR="00041630" w:rsidRPr="00862C48">
        <w:rPr>
          <w:lang w:val="fr-FR"/>
        </w:rPr>
        <w:t> :</w:t>
      </w:r>
      <w:r w:rsidRPr="00862C48">
        <w:rPr>
          <w:lang w:val="fr-FR"/>
        </w:rPr>
        <w:t xml:space="preserve"> </w:t>
      </w:r>
      <w:r w:rsidRPr="00862C48">
        <w:rPr>
          <w:lang w:val="fr-FR"/>
        </w:rPr>
        <w:tab/>
        <w:t>INF.25 et Rev.1 (Royaume-Uni et Pays-Bas</w:t>
      </w:r>
      <w:r w:rsidR="001802BD">
        <w:rPr>
          <w:lang w:val="fr-FR"/>
        </w:rPr>
        <w:t>).</w:t>
      </w:r>
    </w:p>
    <w:p w:rsidR="00B627DC" w:rsidRPr="008D0AEE" w:rsidRDefault="00B627DC" w:rsidP="00A05262">
      <w:pPr>
        <w:pStyle w:val="SingleTxtG"/>
        <w:spacing w:after="100"/>
        <w:rPr>
          <w:lang w:val="fr-FR"/>
        </w:rPr>
      </w:pPr>
      <w:r w:rsidRPr="008D0AEE">
        <w:rPr>
          <w:lang w:val="fr-FR"/>
        </w:rPr>
        <w:t>21.</w:t>
      </w:r>
      <w:r w:rsidRPr="008D0AEE">
        <w:rPr>
          <w:lang w:val="fr-FR"/>
        </w:rPr>
        <w:tab/>
      </w:r>
      <w:r w:rsidRPr="006B0B32">
        <w:rPr>
          <w:lang w:val="fr-FR"/>
        </w:rPr>
        <w:t>Le Sous-Comité a pris note du rapport sur l</w:t>
      </w:r>
      <w:r>
        <w:rPr>
          <w:lang w:val="fr-FR"/>
        </w:rPr>
        <w:t>’</w:t>
      </w:r>
      <w:r w:rsidRPr="006B0B32">
        <w:rPr>
          <w:lang w:val="fr-FR"/>
        </w:rPr>
        <w:t>état d</w:t>
      </w:r>
      <w:r>
        <w:rPr>
          <w:lang w:val="fr-FR"/>
        </w:rPr>
        <w:t>’</w:t>
      </w:r>
      <w:r w:rsidRPr="006B0B32">
        <w:rPr>
          <w:lang w:val="fr-FR"/>
        </w:rPr>
        <w:t>avancement des travaux du groupe de travail informel au sujet de l</w:t>
      </w:r>
      <w:r>
        <w:rPr>
          <w:lang w:val="fr-FR"/>
        </w:rPr>
        <w:t>’</w:t>
      </w:r>
      <w:r w:rsidRPr="006B0B32">
        <w:rPr>
          <w:lang w:val="fr-FR"/>
        </w:rPr>
        <w:t>utilisation de méthodes d</w:t>
      </w:r>
      <w:r>
        <w:rPr>
          <w:lang w:val="fr-FR"/>
        </w:rPr>
        <w:t>’</w:t>
      </w:r>
      <w:r w:rsidRPr="006B0B32">
        <w:rPr>
          <w:lang w:val="fr-FR"/>
        </w:rPr>
        <w:t xml:space="preserve">expérimentation non animales pour la classification des dangers pour la santé dans le document informel </w:t>
      </w:r>
      <w:r>
        <w:rPr>
          <w:lang w:val="fr-FR"/>
        </w:rPr>
        <w:t>INF.</w:t>
      </w:r>
      <w:r w:rsidRPr="006B0B32">
        <w:rPr>
          <w:lang w:val="fr-FR"/>
        </w:rPr>
        <w:t>25. Le Sous-Comité a noté en particulier que le groupe de travail informel avait décidé</w:t>
      </w:r>
      <w:r w:rsidR="00041630">
        <w:rPr>
          <w:lang w:val="fr-FR"/>
        </w:rPr>
        <w:t> :</w:t>
      </w:r>
    </w:p>
    <w:p w:rsidR="00B627DC" w:rsidRPr="008D0AEE" w:rsidRDefault="00B627DC" w:rsidP="00A05262">
      <w:pPr>
        <w:pStyle w:val="SingleTxtG"/>
        <w:spacing w:after="100"/>
        <w:ind w:firstLine="567"/>
        <w:rPr>
          <w:lang w:val="fr-FR"/>
        </w:rPr>
      </w:pPr>
      <w:r w:rsidRPr="008D0AEE">
        <w:rPr>
          <w:lang w:val="fr-FR"/>
        </w:rPr>
        <w:t>a)</w:t>
      </w:r>
      <w:r w:rsidRPr="008D0AEE">
        <w:rPr>
          <w:lang w:val="fr-FR"/>
        </w:rPr>
        <w:tab/>
      </w:r>
      <w:r>
        <w:rPr>
          <w:lang w:val="fr-FR"/>
        </w:rPr>
        <w:t>De l</w:t>
      </w:r>
      <w:r w:rsidRPr="006B0B32">
        <w:rPr>
          <w:lang w:val="fr-FR"/>
        </w:rPr>
        <w:t xml:space="preserve">imiter le niveau de détail des critères pour les méthodes </w:t>
      </w:r>
      <w:r w:rsidRPr="00B13FC4">
        <w:rPr>
          <w:i/>
          <w:lang w:val="fr-FR"/>
        </w:rPr>
        <w:t>in vitro</w:t>
      </w:r>
      <w:r w:rsidRPr="006B0B32">
        <w:rPr>
          <w:lang w:val="fr-FR"/>
        </w:rPr>
        <w:t>, mais d</w:t>
      </w:r>
      <w:r>
        <w:rPr>
          <w:lang w:val="fr-FR"/>
        </w:rPr>
        <w:t>’</w:t>
      </w:r>
      <w:r w:rsidRPr="006B0B32">
        <w:rPr>
          <w:lang w:val="fr-FR"/>
        </w:rPr>
        <w:t>inclure un tableau détaillé dans les directives figurant à la fin du chapitre</w:t>
      </w:r>
      <w:r>
        <w:rPr>
          <w:lang w:val="fr-FR"/>
        </w:rPr>
        <w:t> </w:t>
      </w:r>
      <w:r w:rsidRPr="006B0B32">
        <w:rPr>
          <w:lang w:val="fr-FR"/>
        </w:rPr>
        <w:t>3.2</w:t>
      </w:r>
      <w:r w:rsidR="00041630">
        <w:rPr>
          <w:lang w:val="fr-FR"/>
        </w:rPr>
        <w:t> ;</w:t>
      </w:r>
    </w:p>
    <w:p w:rsidR="00A05262" w:rsidRDefault="00B627DC" w:rsidP="00A05262">
      <w:pPr>
        <w:pStyle w:val="SingleTxtG"/>
        <w:spacing w:after="100"/>
        <w:ind w:firstLine="567"/>
        <w:rPr>
          <w:lang w:val="fr-FR"/>
        </w:rPr>
      </w:pPr>
      <w:r w:rsidRPr="008D0AEE">
        <w:rPr>
          <w:lang w:val="fr-FR"/>
        </w:rPr>
        <w:t>b)</w:t>
      </w:r>
      <w:r w:rsidRPr="008D0AEE">
        <w:rPr>
          <w:lang w:val="fr-FR"/>
        </w:rPr>
        <w:tab/>
      </w:r>
      <w:r w:rsidRPr="006B0B32">
        <w:rPr>
          <w:lang w:val="fr-FR"/>
        </w:rPr>
        <w:t>De donner plus de poids à la force probante des données dans la méthode par étapes du SGH, en utilisant comme point de départ la méthode par étapes de l</w:t>
      </w:r>
      <w:r>
        <w:rPr>
          <w:lang w:val="fr-FR"/>
        </w:rPr>
        <w:t>’</w:t>
      </w:r>
      <w:r w:rsidRPr="006B0B32">
        <w:rPr>
          <w:lang w:val="fr-FR"/>
        </w:rPr>
        <w:t xml:space="preserve">Agence européenne des produits chimiques (ECHA), compte tenu des points communs entre </w:t>
      </w:r>
      <w:r w:rsidRPr="00444135">
        <w:rPr>
          <w:lang w:val="fr-FR"/>
        </w:rPr>
        <w:t xml:space="preserve">la méthode </w:t>
      </w:r>
      <w:r w:rsidRPr="006B0B32">
        <w:rPr>
          <w:lang w:val="fr-FR"/>
        </w:rPr>
        <w:t>intégrée de l</w:t>
      </w:r>
      <w:r>
        <w:rPr>
          <w:lang w:val="fr-FR"/>
        </w:rPr>
        <w:t>’</w:t>
      </w:r>
      <w:r w:rsidRPr="006B0B32">
        <w:rPr>
          <w:lang w:val="fr-FR"/>
        </w:rPr>
        <w:t>OCDE, la méthode par étapes actuelle du SGH et les orientations de l</w:t>
      </w:r>
      <w:r>
        <w:rPr>
          <w:lang w:val="fr-FR"/>
        </w:rPr>
        <w:t>’</w:t>
      </w:r>
      <w:r w:rsidRPr="006B0B32">
        <w:rPr>
          <w:lang w:val="fr-FR"/>
        </w:rPr>
        <w:t>ECHA concernant le règlement européen sur la classification, l</w:t>
      </w:r>
      <w:r>
        <w:rPr>
          <w:lang w:val="fr-FR"/>
        </w:rPr>
        <w:t>’</w:t>
      </w:r>
      <w:r w:rsidRPr="006B0B32">
        <w:rPr>
          <w:lang w:val="fr-FR"/>
        </w:rPr>
        <w:t>étiquetage et l</w:t>
      </w:r>
      <w:r>
        <w:rPr>
          <w:lang w:val="fr-FR"/>
        </w:rPr>
        <w:t>’</w:t>
      </w:r>
      <w:r w:rsidRPr="006B0B32">
        <w:rPr>
          <w:lang w:val="fr-FR"/>
        </w:rPr>
        <w:t>emballage (CLP)</w:t>
      </w:r>
      <w:r w:rsidR="00041630">
        <w:rPr>
          <w:lang w:val="fr-FR"/>
        </w:rPr>
        <w:t> ;</w:t>
      </w:r>
    </w:p>
    <w:p w:rsidR="00B627DC" w:rsidRPr="008D0AEE" w:rsidRDefault="00B627DC" w:rsidP="00A05262">
      <w:pPr>
        <w:pStyle w:val="SingleTxtG"/>
        <w:ind w:firstLine="567"/>
        <w:rPr>
          <w:lang w:val="fr-FR"/>
        </w:rPr>
      </w:pPr>
      <w:r w:rsidRPr="008D0AEE">
        <w:rPr>
          <w:lang w:val="fr-FR"/>
        </w:rPr>
        <w:lastRenderedPageBreak/>
        <w:t>c)</w:t>
      </w:r>
      <w:r w:rsidRPr="008D0AEE">
        <w:rPr>
          <w:lang w:val="fr-FR"/>
        </w:rPr>
        <w:tab/>
      </w:r>
      <w:r w:rsidRPr="00444135">
        <w:rPr>
          <w:lang w:val="fr-FR"/>
        </w:rPr>
        <w:t xml:space="preserve">Que certains essais </w:t>
      </w:r>
      <w:r w:rsidRPr="00444135">
        <w:rPr>
          <w:i/>
          <w:lang w:val="fr-FR"/>
        </w:rPr>
        <w:t xml:space="preserve">in vitro </w:t>
      </w:r>
      <w:r w:rsidRPr="00444135">
        <w:rPr>
          <w:lang w:val="fr-FR"/>
        </w:rPr>
        <w:t>négatifs pouvaient être acceptés pour conclure à l</w:t>
      </w:r>
      <w:r>
        <w:rPr>
          <w:lang w:val="fr-FR"/>
        </w:rPr>
        <w:t>’</w:t>
      </w:r>
      <w:r w:rsidRPr="00444135">
        <w:rPr>
          <w:lang w:val="fr-FR"/>
        </w:rPr>
        <w:t>absence de classification dans les juridictions qui n</w:t>
      </w:r>
      <w:r>
        <w:rPr>
          <w:lang w:val="fr-FR"/>
        </w:rPr>
        <w:t>’</w:t>
      </w:r>
      <w:r w:rsidRPr="00444135">
        <w:rPr>
          <w:lang w:val="fr-FR"/>
        </w:rPr>
        <w:t>adoptaient pas la catégorie 3, et que des renseignements supplémentaires étaient nécessaires pour établir une distinction entre la catégorie 3 et l</w:t>
      </w:r>
      <w:r>
        <w:rPr>
          <w:lang w:val="fr-FR"/>
        </w:rPr>
        <w:t>’</w:t>
      </w:r>
      <w:r w:rsidRPr="00444135">
        <w:rPr>
          <w:lang w:val="fr-FR"/>
        </w:rPr>
        <w:t>absence de classification dans les juridictions qui adoptaient cette catégorie</w:t>
      </w:r>
      <w:r w:rsidRPr="008D0AEE">
        <w:rPr>
          <w:lang w:val="fr-FR"/>
        </w:rPr>
        <w:t>.</w:t>
      </w:r>
    </w:p>
    <w:p w:rsidR="00B627DC" w:rsidRPr="008D0AEE" w:rsidRDefault="00B627DC" w:rsidP="00B627DC">
      <w:pPr>
        <w:pStyle w:val="SingleTxtG"/>
        <w:rPr>
          <w:lang w:val="fr-FR"/>
        </w:rPr>
      </w:pPr>
      <w:r w:rsidRPr="008D0AEE">
        <w:rPr>
          <w:lang w:val="fr-FR"/>
        </w:rPr>
        <w:t>22.</w:t>
      </w:r>
      <w:r w:rsidRPr="008D0AEE">
        <w:rPr>
          <w:lang w:val="fr-FR"/>
        </w:rPr>
        <w:tab/>
      </w:r>
      <w:r w:rsidRPr="00444135">
        <w:rPr>
          <w:lang w:val="fr-FR"/>
        </w:rPr>
        <w:t>Le Sous-Comité a noté que le groupe de travail informel par correspondance avait également examiné un document sur les résultats d</w:t>
      </w:r>
      <w:r>
        <w:rPr>
          <w:lang w:val="fr-FR"/>
        </w:rPr>
        <w:t>’</w:t>
      </w:r>
      <w:r w:rsidRPr="00444135">
        <w:rPr>
          <w:lang w:val="fr-FR"/>
        </w:rPr>
        <w:t>essais chez l</w:t>
      </w:r>
      <w:r>
        <w:rPr>
          <w:lang w:val="fr-FR"/>
        </w:rPr>
        <w:t>’</w:t>
      </w:r>
      <w:r w:rsidRPr="00444135">
        <w:rPr>
          <w:lang w:val="fr-FR"/>
        </w:rPr>
        <w:t>humain et sur la manière dont ces résultats pouvaient être utilisés aux fins d</w:t>
      </w:r>
      <w:r>
        <w:rPr>
          <w:lang w:val="fr-FR"/>
        </w:rPr>
        <w:t>’</w:t>
      </w:r>
      <w:r w:rsidRPr="00444135">
        <w:rPr>
          <w:lang w:val="fr-FR"/>
        </w:rPr>
        <w:t>une classification dans le cadre d</w:t>
      </w:r>
      <w:r>
        <w:rPr>
          <w:lang w:val="fr-FR"/>
        </w:rPr>
        <w:t>’</w:t>
      </w:r>
      <w:r w:rsidRPr="00444135">
        <w:rPr>
          <w:lang w:val="fr-FR"/>
        </w:rPr>
        <w:t>une évaluation globale de</w:t>
      </w:r>
      <w:r>
        <w:rPr>
          <w:lang w:val="fr-FR"/>
        </w:rPr>
        <w:t xml:space="preserve"> la force probante des données</w:t>
      </w:r>
      <w:r w:rsidRPr="00444135">
        <w:rPr>
          <w:lang w:val="fr-FR"/>
        </w:rPr>
        <w:t>. Certains participants utilis</w:t>
      </w:r>
      <w:r>
        <w:rPr>
          <w:lang w:val="fr-FR"/>
        </w:rPr>
        <w:t>a</w:t>
      </w:r>
      <w:r w:rsidRPr="00444135">
        <w:rPr>
          <w:lang w:val="fr-FR"/>
        </w:rPr>
        <w:t>nt actuellement des données humaines pour classifier la corrosion et l</w:t>
      </w:r>
      <w:r>
        <w:rPr>
          <w:lang w:val="fr-FR"/>
        </w:rPr>
        <w:t>’</w:t>
      </w:r>
      <w:r w:rsidRPr="00444135">
        <w:rPr>
          <w:lang w:val="fr-FR"/>
        </w:rPr>
        <w:t xml:space="preserve">irritation de la peau </w:t>
      </w:r>
      <w:r>
        <w:rPr>
          <w:lang w:val="fr-FR"/>
        </w:rPr>
        <w:t>avaie</w:t>
      </w:r>
      <w:r w:rsidRPr="00444135">
        <w:rPr>
          <w:lang w:val="fr-FR"/>
        </w:rPr>
        <w:t xml:space="preserve">nt décidé </w:t>
      </w:r>
      <w:r>
        <w:rPr>
          <w:lang w:val="fr-FR"/>
        </w:rPr>
        <w:t xml:space="preserve">de se renseigner de manière plus approfondie </w:t>
      </w:r>
      <w:r w:rsidRPr="00444135">
        <w:rPr>
          <w:lang w:val="fr-FR"/>
        </w:rPr>
        <w:t xml:space="preserve">sur la façon dont les classifications étaient dérivées en pratique </w:t>
      </w:r>
      <w:r>
        <w:rPr>
          <w:lang w:val="fr-FR"/>
        </w:rPr>
        <w:t xml:space="preserve">de tests épicutanés </w:t>
      </w:r>
      <w:r w:rsidRPr="00444135">
        <w:rPr>
          <w:lang w:val="fr-FR"/>
        </w:rPr>
        <w:t>et d</w:t>
      </w:r>
      <w:r>
        <w:rPr>
          <w:lang w:val="fr-FR"/>
        </w:rPr>
        <w:t>’</w:t>
      </w:r>
      <w:r w:rsidRPr="00444135">
        <w:rPr>
          <w:lang w:val="fr-FR"/>
        </w:rPr>
        <w:t>autres données humaines</w:t>
      </w:r>
      <w:r w:rsidRPr="008D0AEE">
        <w:rPr>
          <w:lang w:val="fr-FR"/>
        </w:rPr>
        <w:t xml:space="preserve">. </w:t>
      </w:r>
    </w:p>
    <w:p w:rsidR="00B627DC" w:rsidRPr="008D0AEE" w:rsidRDefault="00B627DC" w:rsidP="00B627DC">
      <w:pPr>
        <w:pStyle w:val="SingleTxtG"/>
        <w:rPr>
          <w:lang w:val="fr-FR"/>
        </w:rPr>
      </w:pPr>
      <w:r w:rsidRPr="008D0AEE">
        <w:rPr>
          <w:lang w:val="fr-FR"/>
        </w:rPr>
        <w:t>23.</w:t>
      </w:r>
      <w:r w:rsidRPr="008D0AEE">
        <w:rPr>
          <w:lang w:val="fr-FR"/>
        </w:rPr>
        <w:tab/>
      </w:r>
      <w:r w:rsidRPr="00391A37">
        <w:rPr>
          <w:lang w:val="fr-FR"/>
        </w:rPr>
        <w:t>Le Sous-Comité a noté que certains experts estimaient que l</w:t>
      </w:r>
      <w:r>
        <w:rPr>
          <w:lang w:val="fr-FR"/>
        </w:rPr>
        <w:t>’</w:t>
      </w:r>
      <w:r w:rsidRPr="00391A37">
        <w:rPr>
          <w:lang w:val="fr-FR"/>
        </w:rPr>
        <w:t>évaluation de la qualité des données probantes humaines n</w:t>
      </w:r>
      <w:r>
        <w:rPr>
          <w:lang w:val="fr-FR"/>
        </w:rPr>
        <w:t>’</w:t>
      </w:r>
      <w:r w:rsidRPr="00391A37">
        <w:rPr>
          <w:lang w:val="fr-FR"/>
        </w:rPr>
        <w:t xml:space="preserve">entrait pas dans le cadre des travaux du groupe et que ce point ne se trouvait pas suffisamment pris en compte au paragraphe 8 du document informel INF.25. Les experts du Royaume-Uni et des Pays-Bas ont soumis une version révisée du rapport pour tenir compte des observations formulées (document informel </w:t>
      </w:r>
      <w:r w:rsidRPr="008D0AEE">
        <w:rPr>
          <w:lang w:val="fr-FR"/>
        </w:rPr>
        <w:t>INF.25/Rev.1).</w:t>
      </w:r>
    </w:p>
    <w:p w:rsidR="00B627DC" w:rsidRPr="008D0AEE" w:rsidRDefault="00B627DC" w:rsidP="00B627DC">
      <w:pPr>
        <w:pStyle w:val="SingleTxtG"/>
        <w:rPr>
          <w:lang w:val="fr-FR"/>
        </w:rPr>
      </w:pPr>
      <w:r w:rsidRPr="008D0AEE">
        <w:rPr>
          <w:lang w:val="fr-FR"/>
        </w:rPr>
        <w:t>24.</w:t>
      </w:r>
      <w:r w:rsidRPr="008D0AEE">
        <w:rPr>
          <w:lang w:val="fr-FR"/>
        </w:rPr>
        <w:tab/>
      </w:r>
      <w:r w:rsidRPr="00802E5D">
        <w:rPr>
          <w:lang w:val="fr-FR"/>
        </w:rPr>
        <w:t>Le Sous-Comité a été informé que le Parlement européen travaillait actuellement sur une résolution visant à promouvoir une interdiction mondiale de l</w:t>
      </w:r>
      <w:r>
        <w:rPr>
          <w:lang w:val="fr-FR"/>
        </w:rPr>
        <w:t>’</w:t>
      </w:r>
      <w:r w:rsidRPr="00802E5D">
        <w:rPr>
          <w:lang w:val="fr-FR"/>
        </w:rPr>
        <w:t>expérimentation animale dans le secteur des cosmétiques. Les activités du Partenariat européen pour les méthodes de substitution à l</w:t>
      </w:r>
      <w:r>
        <w:rPr>
          <w:lang w:val="fr-FR"/>
        </w:rPr>
        <w:t>’</w:t>
      </w:r>
      <w:r w:rsidRPr="00802E5D">
        <w:rPr>
          <w:lang w:val="fr-FR"/>
        </w:rPr>
        <w:t>expérimentation animale (EPAA) ont également été mentionnées</w:t>
      </w:r>
      <w:r w:rsidRPr="008D0AEE">
        <w:rPr>
          <w:lang w:val="fr-FR"/>
        </w:rPr>
        <w:t xml:space="preserve">. </w:t>
      </w:r>
    </w:p>
    <w:p w:rsidR="00B627DC" w:rsidRPr="008D0AEE" w:rsidRDefault="00B627DC" w:rsidP="001A0BBB">
      <w:pPr>
        <w:pStyle w:val="H1G"/>
        <w:rPr>
          <w:lang w:val="fr-FR"/>
        </w:rPr>
      </w:pPr>
      <w:r w:rsidRPr="008D0AEE">
        <w:rPr>
          <w:lang w:val="fr-FR"/>
        </w:rPr>
        <w:tab/>
        <w:t>E.</w:t>
      </w:r>
      <w:r w:rsidRPr="008D0AEE">
        <w:rPr>
          <w:lang w:val="fr-FR"/>
        </w:rPr>
        <w:tab/>
      </w:r>
      <w:r w:rsidRPr="003E6CD1">
        <w:rPr>
          <w:lang w:val="fr-FR"/>
        </w:rPr>
        <w:t>Questions pratiques de classement</w:t>
      </w:r>
    </w:p>
    <w:p w:rsidR="00B627DC" w:rsidRPr="008D0AEE" w:rsidRDefault="00B627DC" w:rsidP="00B627DC">
      <w:pPr>
        <w:pStyle w:val="SingleTxtG"/>
        <w:rPr>
          <w:lang w:val="fr-FR"/>
        </w:rPr>
      </w:pPr>
      <w:r w:rsidRPr="008D0AEE">
        <w:rPr>
          <w:lang w:val="fr-FR"/>
        </w:rPr>
        <w:t>25.</w:t>
      </w:r>
      <w:r w:rsidRPr="008D0AEE">
        <w:rPr>
          <w:lang w:val="fr-FR"/>
        </w:rPr>
        <w:tab/>
      </w:r>
      <w:r w:rsidRPr="00772B86">
        <w:rPr>
          <w:lang w:val="fr-FR"/>
        </w:rPr>
        <w:t>Le Sous-Comité a noté que le groupe de travail informel avait examiné les points</w:t>
      </w:r>
      <w:r w:rsidR="001A0BBB">
        <w:rPr>
          <w:lang w:val="fr-FR"/>
        </w:rPr>
        <w:t> </w:t>
      </w:r>
      <w:r w:rsidRPr="00772B86">
        <w:rPr>
          <w:lang w:val="fr-FR"/>
        </w:rPr>
        <w:t>a), b) et g) de son programme de travail</w:t>
      </w:r>
      <w:r w:rsidRPr="00FA2613">
        <w:rPr>
          <w:rStyle w:val="FootnoteReference"/>
        </w:rPr>
        <w:footnoteReference w:id="3"/>
      </w:r>
      <w:r w:rsidRPr="00772B86">
        <w:rPr>
          <w:lang w:val="fr-FR"/>
        </w:rPr>
        <w:t xml:space="preserve"> et en avait tiré les conclusions ci-après</w:t>
      </w:r>
      <w:r w:rsidRPr="008D0AEE">
        <w:rPr>
          <w:lang w:val="fr-FR"/>
        </w:rPr>
        <w:t>.</w:t>
      </w:r>
    </w:p>
    <w:p w:rsidR="00B627DC" w:rsidRPr="008D0AEE" w:rsidRDefault="00B627DC" w:rsidP="00B627DC">
      <w:pPr>
        <w:pStyle w:val="SingleTxtG"/>
        <w:rPr>
          <w:lang w:val="fr-FR"/>
        </w:rPr>
      </w:pPr>
      <w:r w:rsidRPr="008D0AEE">
        <w:rPr>
          <w:lang w:val="fr-FR"/>
        </w:rPr>
        <w:t>26.</w:t>
      </w:r>
      <w:r w:rsidRPr="008D0AEE">
        <w:rPr>
          <w:lang w:val="fr-FR"/>
        </w:rPr>
        <w:tab/>
      </w:r>
      <w:r w:rsidRPr="00820E20">
        <w:rPr>
          <w:lang w:val="fr-FR"/>
        </w:rPr>
        <w:t>S</w:t>
      </w:r>
      <w:r>
        <w:rPr>
          <w:lang w:val="fr-FR"/>
        </w:rPr>
        <w:t>’</w:t>
      </w:r>
      <w:r w:rsidRPr="00820E20">
        <w:rPr>
          <w:lang w:val="fr-FR"/>
        </w:rPr>
        <w:t>agissant du point a), le groupe de travail informel a</w:t>
      </w:r>
      <w:r>
        <w:rPr>
          <w:lang w:val="fr-FR"/>
        </w:rPr>
        <w:t>vait</w:t>
      </w:r>
      <w:r w:rsidRPr="00820E20">
        <w:rPr>
          <w:lang w:val="fr-FR"/>
        </w:rPr>
        <w:t xml:space="preserve"> examiné quelques exemples de manières dont la méthode additive pouvait être appliquée dans le cadre du principe de transitivité par </w:t>
      </w:r>
      <w:r>
        <w:rPr>
          <w:lang w:val="fr-FR"/>
        </w:rPr>
        <w:t>« </w:t>
      </w:r>
      <w:r w:rsidRPr="00820E20">
        <w:rPr>
          <w:lang w:val="fr-FR"/>
        </w:rPr>
        <w:t>interpolation au sein d</w:t>
      </w:r>
      <w:r>
        <w:rPr>
          <w:lang w:val="fr-FR"/>
        </w:rPr>
        <w:t>’</w:t>
      </w:r>
      <w:r w:rsidRPr="00820E20">
        <w:rPr>
          <w:lang w:val="fr-FR"/>
        </w:rPr>
        <w:t>une catégorie de danger</w:t>
      </w:r>
      <w:r>
        <w:rPr>
          <w:lang w:val="fr-FR"/>
        </w:rPr>
        <w:t> »</w:t>
      </w:r>
      <w:r w:rsidRPr="00820E20">
        <w:rPr>
          <w:lang w:val="fr-FR"/>
        </w:rPr>
        <w:t>, mais n</w:t>
      </w:r>
      <w:r>
        <w:rPr>
          <w:lang w:val="fr-FR"/>
        </w:rPr>
        <w:t>’</w:t>
      </w:r>
      <w:r w:rsidRPr="00820E20">
        <w:rPr>
          <w:lang w:val="fr-FR"/>
        </w:rPr>
        <w:t>a</w:t>
      </w:r>
      <w:r>
        <w:rPr>
          <w:lang w:val="fr-FR"/>
        </w:rPr>
        <w:t>vait</w:t>
      </w:r>
      <w:r w:rsidRPr="00820E20">
        <w:rPr>
          <w:lang w:val="fr-FR"/>
        </w:rPr>
        <w:t xml:space="preserve"> pu parvenir à un accord sur le résultat d</w:t>
      </w:r>
      <w:r>
        <w:rPr>
          <w:lang w:val="fr-FR"/>
        </w:rPr>
        <w:t>’</w:t>
      </w:r>
      <w:r w:rsidRPr="00820E20">
        <w:rPr>
          <w:lang w:val="fr-FR"/>
        </w:rPr>
        <w:t>aucune d</w:t>
      </w:r>
      <w:r>
        <w:rPr>
          <w:lang w:val="fr-FR"/>
        </w:rPr>
        <w:t>’</w:t>
      </w:r>
      <w:r w:rsidRPr="00820E20">
        <w:rPr>
          <w:lang w:val="fr-FR"/>
        </w:rPr>
        <w:t>entre elles. Le groupe de travail informel examinerait d</w:t>
      </w:r>
      <w:r>
        <w:rPr>
          <w:lang w:val="fr-FR"/>
        </w:rPr>
        <w:t>’</w:t>
      </w:r>
      <w:r w:rsidRPr="00820E20">
        <w:rPr>
          <w:lang w:val="fr-FR"/>
        </w:rPr>
        <w:t>autres exemples qui seraient élaborés pour tenter de montrer que l</w:t>
      </w:r>
      <w:r>
        <w:rPr>
          <w:lang w:val="fr-FR"/>
        </w:rPr>
        <w:t>’</w:t>
      </w:r>
      <w:r w:rsidRPr="00820E20">
        <w:rPr>
          <w:lang w:val="fr-FR"/>
        </w:rPr>
        <w:t>additivité ne p</w:t>
      </w:r>
      <w:r>
        <w:rPr>
          <w:lang w:val="fr-FR"/>
        </w:rPr>
        <w:t>ouvai</w:t>
      </w:r>
      <w:r w:rsidRPr="00820E20">
        <w:rPr>
          <w:lang w:val="fr-FR"/>
        </w:rPr>
        <w:t xml:space="preserve">t pas être appliquée </w:t>
      </w:r>
      <w:r>
        <w:rPr>
          <w:lang w:val="fr-FR"/>
        </w:rPr>
        <w:t xml:space="preserve">en même temps que </w:t>
      </w:r>
      <w:r w:rsidRPr="00820E20">
        <w:rPr>
          <w:lang w:val="fr-FR"/>
        </w:rPr>
        <w:t>le principe de transitivité par interpolation</w:t>
      </w:r>
      <w:r w:rsidRPr="008D0AEE">
        <w:rPr>
          <w:lang w:val="fr-FR"/>
        </w:rPr>
        <w:t xml:space="preserve">. </w:t>
      </w:r>
    </w:p>
    <w:p w:rsidR="00B627DC" w:rsidRPr="008D0AEE" w:rsidRDefault="00B627DC" w:rsidP="00B627DC">
      <w:pPr>
        <w:pStyle w:val="SingleTxtG"/>
        <w:rPr>
          <w:lang w:val="fr-FR"/>
        </w:rPr>
      </w:pPr>
      <w:r w:rsidRPr="008D0AEE">
        <w:rPr>
          <w:lang w:val="fr-FR"/>
        </w:rPr>
        <w:t>27.</w:t>
      </w:r>
      <w:r w:rsidRPr="008D0AEE">
        <w:rPr>
          <w:lang w:val="fr-FR"/>
        </w:rPr>
        <w:tab/>
      </w:r>
      <w:r w:rsidRPr="00F17211">
        <w:rPr>
          <w:lang w:val="fr-FR"/>
        </w:rPr>
        <w:t>S</w:t>
      </w:r>
      <w:r>
        <w:rPr>
          <w:lang w:val="fr-FR"/>
        </w:rPr>
        <w:t>’</w:t>
      </w:r>
      <w:r w:rsidRPr="00F17211">
        <w:rPr>
          <w:lang w:val="fr-FR"/>
        </w:rPr>
        <w:t>agissant du point b), le groupe de travail informel s</w:t>
      </w:r>
      <w:r>
        <w:rPr>
          <w:lang w:val="fr-FR"/>
        </w:rPr>
        <w:t>’</w:t>
      </w:r>
      <w:r w:rsidRPr="00F17211">
        <w:rPr>
          <w:lang w:val="fr-FR"/>
        </w:rPr>
        <w:t>était mis d</w:t>
      </w:r>
      <w:r>
        <w:rPr>
          <w:lang w:val="fr-FR"/>
        </w:rPr>
        <w:t>’</w:t>
      </w:r>
      <w:r w:rsidRPr="00F17211">
        <w:rPr>
          <w:lang w:val="fr-FR"/>
        </w:rPr>
        <w:t xml:space="preserve">accord sur une proposition présentée pour assurer la cohérence avec les chapitres 3.8 et 3.9 (Toxicité pour certains organes cibles − exposition unique et </w:t>
      </w:r>
      <w:r w:rsidRPr="00C85B82">
        <w:rPr>
          <w:lang w:val="fr-FR"/>
        </w:rPr>
        <w:t xml:space="preserve">exposition </w:t>
      </w:r>
      <w:r w:rsidRPr="00F17211">
        <w:rPr>
          <w:lang w:val="fr-FR"/>
        </w:rPr>
        <w:t>répétée) selon laquelle les critères devraient être appliqués indépendamment. Le Sous-Comité a noté que le groupe de travail informel avait l</w:t>
      </w:r>
      <w:r>
        <w:rPr>
          <w:lang w:val="fr-FR"/>
        </w:rPr>
        <w:t>’</w:t>
      </w:r>
      <w:r w:rsidRPr="00F17211">
        <w:rPr>
          <w:lang w:val="fr-FR"/>
        </w:rPr>
        <w:t>intention de soumettre un document informel sur cette question à sa session suivante</w:t>
      </w:r>
      <w:r w:rsidRPr="008D0AEE">
        <w:rPr>
          <w:lang w:val="fr-FR"/>
        </w:rPr>
        <w:t>.</w:t>
      </w:r>
    </w:p>
    <w:p w:rsidR="00B627DC" w:rsidRPr="008D0AEE" w:rsidRDefault="00B627DC" w:rsidP="00B627DC">
      <w:pPr>
        <w:pStyle w:val="SingleTxtG"/>
        <w:rPr>
          <w:lang w:val="fr-FR"/>
        </w:rPr>
      </w:pPr>
      <w:r w:rsidRPr="008D0AEE">
        <w:rPr>
          <w:lang w:val="fr-FR"/>
        </w:rPr>
        <w:t>28.</w:t>
      </w:r>
      <w:r w:rsidRPr="008D0AEE">
        <w:rPr>
          <w:lang w:val="fr-FR"/>
        </w:rPr>
        <w:tab/>
      </w:r>
      <w:r w:rsidRPr="00F17211">
        <w:rPr>
          <w:lang w:val="fr-FR"/>
        </w:rPr>
        <w:t>S</w:t>
      </w:r>
      <w:r>
        <w:rPr>
          <w:lang w:val="fr-FR"/>
        </w:rPr>
        <w:t>’</w:t>
      </w:r>
      <w:r w:rsidRPr="00F17211">
        <w:rPr>
          <w:lang w:val="fr-FR"/>
        </w:rPr>
        <w:t>agissant du point g), le Sous-Comité a noté que le groupe de travail informel avait examiné un document de réflexion soumis par l</w:t>
      </w:r>
      <w:r>
        <w:rPr>
          <w:lang w:val="fr-FR"/>
        </w:rPr>
        <w:t>’</w:t>
      </w:r>
      <w:r w:rsidRPr="00F17211">
        <w:rPr>
          <w:lang w:val="fr-FR"/>
        </w:rPr>
        <w:t>ECHA et que celle-ci entendait tenir compte des observations formulées et soumettre une proposition révisée au groupe de travail informel à sa réunion suivante</w:t>
      </w:r>
      <w:r w:rsidRPr="008D0AEE">
        <w:rPr>
          <w:lang w:val="fr-FR"/>
        </w:rPr>
        <w:t>.</w:t>
      </w:r>
    </w:p>
    <w:p w:rsidR="00B627DC" w:rsidRPr="008D0AEE" w:rsidRDefault="00B627DC" w:rsidP="00B627DC">
      <w:pPr>
        <w:pStyle w:val="SingleTxtG"/>
        <w:rPr>
          <w:lang w:val="fr-FR"/>
        </w:rPr>
      </w:pPr>
      <w:r w:rsidRPr="008D0AEE">
        <w:rPr>
          <w:lang w:val="fr-FR"/>
        </w:rPr>
        <w:t>29.</w:t>
      </w:r>
      <w:r w:rsidRPr="008D0AEE">
        <w:rPr>
          <w:lang w:val="fr-FR"/>
        </w:rPr>
        <w:tab/>
      </w:r>
      <w:r w:rsidRPr="00A062E3">
        <w:rPr>
          <w:lang w:val="fr-FR"/>
        </w:rPr>
        <w:t>Enfin, le Sous-Comité a noté qu</w:t>
      </w:r>
      <w:r>
        <w:rPr>
          <w:lang w:val="fr-FR"/>
        </w:rPr>
        <w:t>’</w:t>
      </w:r>
      <w:r w:rsidRPr="00A062E3">
        <w:rPr>
          <w:lang w:val="fr-FR"/>
        </w:rPr>
        <w:t>en raison du manque de temps, le groupe de travail informel avait reporté l</w:t>
      </w:r>
      <w:r>
        <w:rPr>
          <w:lang w:val="fr-FR"/>
        </w:rPr>
        <w:t>’</w:t>
      </w:r>
      <w:r w:rsidRPr="00A062E3">
        <w:rPr>
          <w:lang w:val="fr-FR"/>
        </w:rPr>
        <w:t>examen du point e) à sa réunion suivante</w:t>
      </w:r>
      <w:r w:rsidRPr="008D0AEE">
        <w:rPr>
          <w:lang w:val="fr-FR"/>
        </w:rPr>
        <w:t>.</w:t>
      </w:r>
    </w:p>
    <w:p w:rsidR="00B627DC" w:rsidRPr="008D0AEE" w:rsidRDefault="00B627DC" w:rsidP="00F25396">
      <w:pPr>
        <w:pStyle w:val="H1G"/>
        <w:rPr>
          <w:lang w:val="fr-FR"/>
        </w:rPr>
      </w:pPr>
      <w:r w:rsidRPr="008D0AEE">
        <w:rPr>
          <w:lang w:val="fr-FR"/>
        </w:rPr>
        <w:tab/>
        <w:t>F.</w:t>
      </w:r>
      <w:r w:rsidRPr="008D0AEE">
        <w:rPr>
          <w:lang w:val="fr-FR"/>
        </w:rPr>
        <w:tab/>
      </w:r>
      <w:r w:rsidRPr="003E6CD1">
        <w:rPr>
          <w:lang w:val="fr-FR"/>
        </w:rPr>
        <w:t>Danger par aspiration</w:t>
      </w:r>
    </w:p>
    <w:p w:rsidR="00B627DC" w:rsidRPr="008D0AEE" w:rsidRDefault="00B627DC" w:rsidP="00F25396">
      <w:pPr>
        <w:pStyle w:val="H23G"/>
        <w:rPr>
          <w:lang w:val="fr-FR"/>
        </w:rPr>
      </w:pPr>
      <w:r w:rsidRPr="008D0AEE">
        <w:rPr>
          <w:rFonts w:eastAsia="MS Mincho"/>
          <w:lang w:val="fr-FR" w:eastAsia="ja-JP"/>
        </w:rPr>
        <w:tab/>
      </w:r>
      <w:r w:rsidRPr="008D0AEE">
        <w:rPr>
          <w:rFonts w:eastAsia="MS Mincho"/>
          <w:lang w:val="fr-FR" w:eastAsia="ja-JP"/>
        </w:rPr>
        <w:tab/>
      </w:r>
      <w:bookmarkStart w:id="37" w:name="_Hlk506480798"/>
      <w:bookmarkStart w:id="38" w:name="_Hlk506550010"/>
      <w:r w:rsidRPr="008D0AEE">
        <w:rPr>
          <w:lang w:val="fr-FR"/>
        </w:rPr>
        <w:t xml:space="preserve">Élaboration de critères </w:t>
      </w:r>
      <w:r>
        <w:rPr>
          <w:lang w:val="fr-FR"/>
        </w:rPr>
        <w:t>de substitution pour la détermination</w:t>
      </w:r>
      <w:r w:rsidRPr="008D0AEE">
        <w:rPr>
          <w:lang w:val="fr-FR"/>
        </w:rPr>
        <w:t xml:space="preserve"> </w:t>
      </w:r>
      <w:r w:rsidR="00F25396">
        <w:rPr>
          <w:lang w:val="fr-FR"/>
        </w:rPr>
        <w:br/>
      </w:r>
      <w:r w:rsidRPr="008D0AEE">
        <w:rPr>
          <w:lang w:val="fr-FR"/>
        </w:rPr>
        <w:t>de</w:t>
      </w:r>
      <w:r>
        <w:rPr>
          <w:lang w:val="fr-FR"/>
        </w:rPr>
        <w:t xml:space="preserve"> la</w:t>
      </w:r>
      <w:r w:rsidRPr="008D0AEE">
        <w:rPr>
          <w:lang w:val="fr-FR"/>
        </w:rPr>
        <w:t xml:space="preserve"> viscosité </w:t>
      </w:r>
      <w:r>
        <w:rPr>
          <w:lang w:val="fr-FR"/>
        </w:rPr>
        <w:t>des </w:t>
      </w:r>
      <w:r w:rsidRPr="008D0AEE">
        <w:rPr>
          <w:lang w:val="fr-FR"/>
        </w:rPr>
        <w:t>mélanges à</w:t>
      </w:r>
      <w:r>
        <w:rPr>
          <w:lang w:val="fr-FR"/>
        </w:rPr>
        <w:t> </w:t>
      </w:r>
      <w:r w:rsidRPr="008D0AEE">
        <w:rPr>
          <w:lang w:val="fr-FR"/>
        </w:rPr>
        <w:t>la température ambiante</w:t>
      </w:r>
      <w:bookmarkEnd w:id="37"/>
      <w:r w:rsidRPr="008D0AEE">
        <w:rPr>
          <w:lang w:val="fr-FR"/>
        </w:rPr>
        <w:t xml:space="preserve"> </w:t>
      </w:r>
      <w:bookmarkEnd w:id="38"/>
      <w:r w:rsidRPr="008D0AEE">
        <w:rPr>
          <w:lang w:val="fr-FR"/>
        </w:rPr>
        <w:t>(23 °C)</w:t>
      </w:r>
    </w:p>
    <w:p w:rsidR="00B627DC" w:rsidRPr="008D0AEE" w:rsidRDefault="00B627DC" w:rsidP="00B627DC">
      <w:pPr>
        <w:pStyle w:val="SingleTxtG"/>
        <w:rPr>
          <w:rFonts w:eastAsia="MS Mincho"/>
          <w:lang w:val="fr-FR" w:eastAsia="ja-JP"/>
        </w:rPr>
      </w:pPr>
      <w:r w:rsidRPr="008D0AEE">
        <w:rPr>
          <w:rFonts w:eastAsia="MS Mincho"/>
          <w:lang w:val="fr-FR" w:eastAsia="ja-JP"/>
        </w:rPr>
        <w:t>30.</w:t>
      </w:r>
      <w:r w:rsidRPr="008D0AEE">
        <w:rPr>
          <w:rFonts w:eastAsia="MS Mincho"/>
          <w:lang w:val="fr-FR" w:eastAsia="ja-JP"/>
        </w:rPr>
        <w:tab/>
      </w:r>
      <w:r w:rsidRPr="009376BD">
        <w:rPr>
          <w:rFonts w:eastAsia="MS Mincho"/>
          <w:lang w:val="fr-FR" w:eastAsia="ja-JP"/>
        </w:rPr>
        <w:t>Le Sous-Comité a noté que l</w:t>
      </w:r>
      <w:r>
        <w:rPr>
          <w:rFonts w:eastAsia="MS Mincho"/>
          <w:lang w:val="fr-FR" w:eastAsia="ja-JP"/>
        </w:rPr>
        <w:t>’</w:t>
      </w:r>
      <w:r w:rsidRPr="009376BD">
        <w:rPr>
          <w:rFonts w:eastAsia="MS Mincho"/>
          <w:lang w:val="fr-FR" w:eastAsia="ja-JP"/>
        </w:rPr>
        <w:t>IPPIC travaillait sur la détermination du temps d</w:t>
      </w:r>
      <w:r>
        <w:rPr>
          <w:rFonts w:eastAsia="MS Mincho"/>
          <w:lang w:val="fr-FR" w:eastAsia="ja-JP"/>
        </w:rPr>
        <w:t>’</w:t>
      </w:r>
      <w:r w:rsidRPr="009376BD">
        <w:rPr>
          <w:rFonts w:eastAsia="MS Mincho"/>
          <w:lang w:val="fr-FR" w:eastAsia="ja-JP"/>
        </w:rPr>
        <w:t xml:space="preserve">écoulement des peintures, vernis et produits connexes </w:t>
      </w:r>
      <w:r>
        <w:rPr>
          <w:rFonts w:eastAsia="MS Mincho"/>
          <w:lang w:val="fr-FR" w:eastAsia="ja-JP"/>
        </w:rPr>
        <w:t xml:space="preserve">en </w:t>
      </w:r>
      <w:r w:rsidRPr="009376BD">
        <w:rPr>
          <w:rFonts w:eastAsia="MS Mincho"/>
          <w:lang w:val="fr-FR" w:eastAsia="ja-JP"/>
        </w:rPr>
        <w:t>utilisa</w:t>
      </w:r>
      <w:r>
        <w:rPr>
          <w:rFonts w:eastAsia="MS Mincho"/>
          <w:lang w:val="fr-FR" w:eastAsia="ja-JP"/>
        </w:rPr>
        <w:t>nt</w:t>
      </w:r>
      <w:r w:rsidRPr="009376BD">
        <w:rPr>
          <w:rFonts w:eastAsia="MS Mincho"/>
          <w:lang w:val="fr-FR" w:eastAsia="ja-JP"/>
        </w:rPr>
        <w:t xml:space="preserve"> de</w:t>
      </w:r>
      <w:r>
        <w:rPr>
          <w:rFonts w:eastAsia="MS Mincho"/>
          <w:lang w:val="fr-FR" w:eastAsia="ja-JP"/>
        </w:rPr>
        <w:t>s</w:t>
      </w:r>
      <w:r w:rsidRPr="009376BD">
        <w:rPr>
          <w:rFonts w:eastAsia="MS Mincho"/>
          <w:lang w:val="fr-FR" w:eastAsia="ja-JP"/>
        </w:rPr>
        <w:t xml:space="preserve"> gobelets à écoulement conformément à la norme ISO 2431. La représentante de l</w:t>
      </w:r>
      <w:r>
        <w:rPr>
          <w:rFonts w:eastAsia="MS Mincho"/>
          <w:lang w:val="fr-FR" w:eastAsia="ja-JP"/>
        </w:rPr>
        <w:t>’</w:t>
      </w:r>
      <w:r w:rsidRPr="009376BD">
        <w:rPr>
          <w:rFonts w:eastAsia="MS Mincho"/>
          <w:lang w:val="fr-FR" w:eastAsia="ja-JP"/>
        </w:rPr>
        <w:t xml:space="preserve">IPPIC a indiqué </w:t>
      </w:r>
      <w:r w:rsidRPr="009376BD">
        <w:rPr>
          <w:rFonts w:eastAsia="MS Mincho"/>
          <w:lang w:val="fr-FR" w:eastAsia="ja-JP"/>
        </w:rPr>
        <w:lastRenderedPageBreak/>
        <w:t>qu</w:t>
      </w:r>
      <w:r>
        <w:rPr>
          <w:rFonts w:eastAsia="MS Mincho"/>
          <w:lang w:val="fr-FR" w:eastAsia="ja-JP"/>
        </w:rPr>
        <w:t>’</w:t>
      </w:r>
      <w:r w:rsidRPr="009376BD">
        <w:rPr>
          <w:rFonts w:eastAsia="MS Mincho"/>
          <w:lang w:val="fr-FR" w:eastAsia="ja-JP"/>
        </w:rPr>
        <w:t>elle avait l</w:t>
      </w:r>
      <w:r>
        <w:rPr>
          <w:rFonts w:eastAsia="MS Mincho"/>
          <w:lang w:val="fr-FR" w:eastAsia="ja-JP"/>
        </w:rPr>
        <w:t>’</w:t>
      </w:r>
      <w:r w:rsidRPr="009376BD">
        <w:rPr>
          <w:rFonts w:eastAsia="MS Mincho"/>
          <w:lang w:val="fr-FR" w:eastAsia="ja-JP"/>
        </w:rPr>
        <w:t>intention de fournir des informations plus détaillées sur cette question au Sous-Comité à sa session suivante</w:t>
      </w:r>
      <w:r w:rsidRPr="008D0AEE">
        <w:rPr>
          <w:rFonts w:eastAsia="MS Mincho"/>
          <w:lang w:val="fr-FR" w:eastAsia="ja-JP"/>
        </w:rPr>
        <w:t xml:space="preserve">. </w:t>
      </w:r>
    </w:p>
    <w:p w:rsidR="00B627DC" w:rsidRPr="008D0AEE" w:rsidRDefault="00B627DC" w:rsidP="00F25396">
      <w:pPr>
        <w:pStyle w:val="H1G"/>
        <w:rPr>
          <w:lang w:val="fr-FR"/>
        </w:rPr>
      </w:pPr>
      <w:r w:rsidRPr="008D0AEE">
        <w:rPr>
          <w:lang w:val="fr-FR"/>
        </w:rPr>
        <w:tab/>
        <w:t>G.</w:t>
      </w:r>
      <w:r w:rsidRPr="008D0AEE">
        <w:rPr>
          <w:lang w:val="fr-FR"/>
        </w:rPr>
        <w:tab/>
      </w:r>
      <w:r w:rsidRPr="003E6CD1">
        <w:rPr>
          <w:lang w:val="fr-FR"/>
        </w:rPr>
        <w:t>Nanomatériaux</w:t>
      </w:r>
    </w:p>
    <w:p w:rsidR="00B627DC" w:rsidRPr="008D0AEE" w:rsidRDefault="00B627DC" w:rsidP="00B627DC">
      <w:pPr>
        <w:pStyle w:val="SingleTxtG"/>
        <w:rPr>
          <w:rFonts w:eastAsia="MS Mincho"/>
          <w:lang w:val="fr-FR" w:eastAsia="ja-JP"/>
        </w:rPr>
      </w:pPr>
      <w:r w:rsidRPr="008D0AEE">
        <w:rPr>
          <w:rFonts w:eastAsia="MS Mincho"/>
          <w:lang w:val="fr-FR" w:eastAsia="ja-JP"/>
        </w:rPr>
        <w:t>31.</w:t>
      </w:r>
      <w:r w:rsidRPr="008D0AEE">
        <w:rPr>
          <w:rFonts w:eastAsia="MS Mincho"/>
          <w:lang w:val="fr-FR" w:eastAsia="ja-JP"/>
        </w:rPr>
        <w:tab/>
      </w:r>
      <w:r w:rsidRPr="00F51EA7">
        <w:rPr>
          <w:rFonts w:eastAsia="MS Mincho"/>
          <w:lang w:val="fr-FR" w:eastAsia="ja-JP"/>
        </w:rPr>
        <w:t>Le Sous-Comité a noté que le groupe de travail informel suivait l</w:t>
      </w:r>
      <w:r>
        <w:rPr>
          <w:rFonts w:eastAsia="MS Mincho"/>
          <w:lang w:val="fr-FR" w:eastAsia="ja-JP"/>
        </w:rPr>
        <w:t>’</w:t>
      </w:r>
      <w:r w:rsidRPr="00F51EA7">
        <w:rPr>
          <w:rFonts w:eastAsia="MS Mincho"/>
          <w:lang w:val="fr-FR" w:eastAsia="ja-JP"/>
        </w:rPr>
        <w:t>avancement des travaux sur la sécurité des nanomatériaux entrepris par l</w:t>
      </w:r>
      <w:r>
        <w:rPr>
          <w:rFonts w:eastAsia="MS Mincho"/>
          <w:lang w:val="fr-FR" w:eastAsia="ja-JP"/>
        </w:rPr>
        <w:t>’</w:t>
      </w:r>
      <w:r w:rsidRPr="00F51EA7">
        <w:rPr>
          <w:rFonts w:eastAsia="MS Mincho"/>
          <w:lang w:val="fr-FR" w:eastAsia="ja-JP"/>
        </w:rPr>
        <w:t>OCDE et l</w:t>
      </w:r>
      <w:r>
        <w:rPr>
          <w:rFonts w:eastAsia="MS Mincho"/>
          <w:lang w:val="fr-FR" w:eastAsia="ja-JP"/>
        </w:rPr>
        <w:t>’</w:t>
      </w:r>
      <w:r w:rsidRPr="00F51EA7">
        <w:rPr>
          <w:rFonts w:eastAsia="MS Mincho"/>
          <w:lang w:val="fr-FR" w:eastAsia="ja-JP"/>
        </w:rPr>
        <w:t>ECHA et qu</w:t>
      </w:r>
      <w:r>
        <w:rPr>
          <w:rFonts w:eastAsia="MS Mincho"/>
          <w:lang w:val="fr-FR" w:eastAsia="ja-JP"/>
        </w:rPr>
        <w:t>’</w:t>
      </w:r>
      <w:r w:rsidRPr="00F51EA7">
        <w:rPr>
          <w:rFonts w:eastAsia="MS Mincho"/>
          <w:lang w:val="fr-FR" w:eastAsia="ja-JP"/>
        </w:rPr>
        <w:t>il avait l</w:t>
      </w:r>
      <w:r>
        <w:rPr>
          <w:rFonts w:eastAsia="MS Mincho"/>
          <w:lang w:val="fr-FR" w:eastAsia="ja-JP"/>
        </w:rPr>
        <w:t>’</w:t>
      </w:r>
      <w:r w:rsidRPr="00F51EA7">
        <w:rPr>
          <w:rFonts w:eastAsia="MS Mincho"/>
          <w:lang w:val="fr-FR" w:eastAsia="ja-JP"/>
        </w:rPr>
        <w:t>intention de s</w:t>
      </w:r>
      <w:r>
        <w:rPr>
          <w:rFonts w:eastAsia="MS Mincho"/>
          <w:lang w:val="fr-FR" w:eastAsia="ja-JP"/>
        </w:rPr>
        <w:t>’</w:t>
      </w:r>
      <w:r w:rsidRPr="00F51EA7">
        <w:rPr>
          <w:rFonts w:eastAsia="MS Mincho"/>
          <w:lang w:val="fr-FR" w:eastAsia="ja-JP"/>
        </w:rPr>
        <w:t>appuyer sur leurs résultats pour étudier l</w:t>
      </w:r>
      <w:r>
        <w:rPr>
          <w:rFonts w:eastAsia="MS Mincho"/>
          <w:lang w:val="fr-FR" w:eastAsia="ja-JP"/>
        </w:rPr>
        <w:t>’</w:t>
      </w:r>
      <w:r w:rsidRPr="00F51EA7">
        <w:rPr>
          <w:rFonts w:eastAsia="MS Mincho"/>
          <w:lang w:val="fr-FR" w:eastAsia="ja-JP"/>
        </w:rPr>
        <w:t>applicabilité du SGH à ces substances</w:t>
      </w:r>
      <w:r w:rsidRPr="008D0AEE">
        <w:rPr>
          <w:rFonts w:eastAsia="MS Mincho"/>
          <w:lang w:val="fr-FR" w:eastAsia="ja-JP"/>
        </w:rPr>
        <w:t xml:space="preserve">. </w:t>
      </w:r>
    </w:p>
    <w:p w:rsidR="00B627DC" w:rsidRPr="008D0AEE" w:rsidRDefault="00B627DC" w:rsidP="00F25396">
      <w:pPr>
        <w:pStyle w:val="H1G"/>
        <w:rPr>
          <w:lang w:val="fr-FR"/>
        </w:rPr>
      </w:pPr>
      <w:r w:rsidRPr="008D0AEE">
        <w:rPr>
          <w:lang w:val="fr-FR"/>
        </w:rPr>
        <w:tab/>
        <w:t>H.</w:t>
      </w:r>
      <w:r w:rsidRPr="008D0AEE">
        <w:rPr>
          <w:lang w:val="fr-FR"/>
        </w:rPr>
        <w:tab/>
      </w:r>
      <w:r w:rsidRPr="003E6CD1">
        <w:rPr>
          <w:lang w:val="fr-FR"/>
        </w:rPr>
        <w:t>Autres questions</w:t>
      </w:r>
    </w:p>
    <w:p w:rsidR="00B627DC" w:rsidRPr="008D0AEE" w:rsidRDefault="00B627DC" w:rsidP="00F25396">
      <w:pPr>
        <w:pStyle w:val="H23G"/>
        <w:rPr>
          <w:rFonts w:eastAsia="MS Mincho"/>
          <w:lang w:val="fr-FR"/>
        </w:rPr>
      </w:pPr>
      <w:r w:rsidRPr="008D0AEE">
        <w:rPr>
          <w:rFonts w:eastAsia="MS Mincho"/>
          <w:lang w:val="fr-FR"/>
        </w:rPr>
        <w:tab/>
        <w:t>1.</w:t>
      </w:r>
      <w:r w:rsidRPr="008D0AEE">
        <w:rPr>
          <w:rFonts w:eastAsia="MS Mincho"/>
          <w:lang w:val="fr-FR"/>
        </w:rPr>
        <w:tab/>
      </w:r>
      <w:r w:rsidRPr="008D0AEE">
        <w:rPr>
          <w:lang w:val="fr-FR"/>
        </w:rPr>
        <w:t>Classement des dangers physiques selon le SGH</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041630">
        <w:rPr>
          <w:lang w:val="fr-FR"/>
        </w:rPr>
        <w:t> :</w:t>
      </w:r>
      <w:r w:rsidR="00F25396">
        <w:rPr>
          <w:lang w:val="fr-FR"/>
        </w:rPr>
        <w:t xml:space="preserve"> </w:t>
      </w:r>
      <w:r w:rsidR="00F25396">
        <w:rPr>
          <w:lang w:val="fr-FR"/>
        </w:rPr>
        <w:tab/>
      </w:r>
      <w:r w:rsidRPr="008D0AEE">
        <w:rPr>
          <w:lang w:val="fr-FR"/>
        </w:rPr>
        <w:t>INF.8 (</w:t>
      </w:r>
      <w:r>
        <w:rPr>
          <w:lang w:val="fr-FR"/>
        </w:rPr>
        <w:t>Allemagne</w:t>
      </w:r>
      <w:r w:rsidR="00F25396">
        <w:rPr>
          <w:lang w:val="fr-FR"/>
        </w:rPr>
        <w:t>).</w:t>
      </w:r>
    </w:p>
    <w:p w:rsidR="00B627DC" w:rsidRPr="008D0AEE" w:rsidRDefault="00B627DC" w:rsidP="00B627DC">
      <w:pPr>
        <w:pStyle w:val="SingleTxtG"/>
        <w:rPr>
          <w:lang w:val="fr-FR"/>
        </w:rPr>
      </w:pPr>
      <w:r w:rsidRPr="008D0AEE">
        <w:rPr>
          <w:lang w:val="fr-FR"/>
        </w:rPr>
        <w:t>32.</w:t>
      </w:r>
      <w:r w:rsidRPr="008D0AEE">
        <w:rPr>
          <w:lang w:val="fr-FR"/>
        </w:rPr>
        <w:tab/>
      </w:r>
      <w:r w:rsidRPr="00867745">
        <w:rPr>
          <w:lang w:val="fr-FR"/>
        </w:rPr>
        <w:t>Le Sous-Comité a accueilli avec satisfaction le document de l</w:t>
      </w:r>
      <w:r>
        <w:rPr>
          <w:lang w:val="fr-FR"/>
        </w:rPr>
        <w:t>’</w:t>
      </w:r>
      <w:r w:rsidRPr="00867745">
        <w:rPr>
          <w:lang w:val="fr-FR"/>
        </w:rPr>
        <w:t>Allemagne sur les combinaisons de classes de dangers physiques et leur évaluation, en ce qui concernait la pertinence d</w:t>
      </w:r>
      <w:r>
        <w:rPr>
          <w:lang w:val="fr-FR"/>
        </w:rPr>
        <w:t>’</w:t>
      </w:r>
      <w:r w:rsidRPr="00867745">
        <w:rPr>
          <w:lang w:val="fr-FR"/>
        </w:rPr>
        <w:t>une éventuelle affectation simultanée à un produit chimique. La plupart des experts ont estimé que toute orientation donnée par le Sous-Comité sur cette question permettrait d</w:t>
      </w:r>
      <w:r>
        <w:rPr>
          <w:lang w:val="fr-FR"/>
        </w:rPr>
        <w:t>’</w:t>
      </w:r>
      <w:r w:rsidRPr="00867745">
        <w:rPr>
          <w:lang w:val="fr-FR"/>
        </w:rPr>
        <w:t>harmoniser la compréhension et l</w:t>
      </w:r>
      <w:r>
        <w:rPr>
          <w:lang w:val="fr-FR"/>
        </w:rPr>
        <w:t>’</w:t>
      </w:r>
      <w:r w:rsidRPr="00867745">
        <w:rPr>
          <w:lang w:val="fr-FR"/>
        </w:rPr>
        <w:t xml:space="preserve">application des dispositions du SGH dans le monde entier, </w:t>
      </w:r>
      <w:r>
        <w:rPr>
          <w:lang w:val="fr-FR"/>
        </w:rPr>
        <w:t xml:space="preserve">et </w:t>
      </w:r>
      <w:r w:rsidRPr="00867745">
        <w:rPr>
          <w:lang w:val="fr-FR"/>
        </w:rPr>
        <w:t xml:space="preserve">pourrait </w:t>
      </w:r>
      <w:r>
        <w:rPr>
          <w:lang w:val="fr-FR"/>
        </w:rPr>
        <w:t>constituer pour les</w:t>
      </w:r>
      <w:r w:rsidRPr="00867745">
        <w:rPr>
          <w:lang w:val="fr-FR"/>
        </w:rPr>
        <w:t xml:space="preserve"> Parties </w:t>
      </w:r>
      <w:r>
        <w:rPr>
          <w:lang w:val="fr-FR"/>
        </w:rPr>
        <w:t xml:space="preserve">tant </w:t>
      </w:r>
      <w:r w:rsidRPr="00867745">
        <w:rPr>
          <w:lang w:val="fr-FR"/>
        </w:rPr>
        <w:t xml:space="preserve">réglementées </w:t>
      </w:r>
      <w:r>
        <w:rPr>
          <w:lang w:val="fr-FR"/>
        </w:rPr>
        <w:t xml:space="preserve">que </w:t>
      </w:r>
      <w:r w:rsidRPr="00867745">
        <w:rPr>
          <w:lang w:val="fr-FR"/>
        </w:rPr>
        <w:t>réglement</w:t>
      </w:r>
      <w:r w:rsidR="00BB7EDA">
        <w:rPr>
          <w:lang w:val="fr-FR"/>
        </w:rPr>
        <w:t>a</w:t>
      </w:r>
      <w:r w:rsidRPr="00867745">
        <w:rPr>
          <w:lang w:val="fr-FR"/>
        </w:rPr>
        <w:t>ntes</w:t>
      </w:r>
      <w:r>
        <w:rPr>
          <w:lang w:val="fr-FR"/>
        </w:rPr>
        <w:t>,</w:t>
      </w:r>
      <w:r w:rsidRPr="00867745">
        <w:rPr>
          <w:lang w:val="fr-FR"/>
        </w:rPr>
        <w:t xml:space="preserve"> </w:t>
      </w:r>
      <w:r>
        <w:rPr>
          <w:lang w:val="fr-FR"/>
        </w:rPr>
        <w:t>une</w:t>
      </w:r>
      <w:r w:rsidRPr="00867745">
        <w:rPr>
          <w:lang w:val="fr-FR"/>
        </w:rPr>
        <w:t xml:space="preserve"> source</w:t>
      </w:r>
      <w:r w:rsidRPr="007F37B9">
        <w:rPr>
          <w:lang w:val="fr-FR"/>
        </w:rPr>
        <w:t xml:space="preserve"> </w:t>
      </w:r>
      <w:r w:rsidRPr="00867745">
        <w:rPr>
          <w:lang w:val="fr-FR"/>
        </w:rPr>
        <w:t>d</w:t>
      </w:r>
      <w:r>
        <w:rPr>
          <w:lang w:val="fr-FR"/>
        </w:rPr>
        <w:t>’</w:t>
      </w:r>
      <w:r w:rsidRPr="00867745">
        <w:rPr>
          <w:lang w:val="fr-FR"/>
        </w:rPr>
        <w:t>information de référence</w:t>
      </w:r>
      <w:r w:rsidRPr="008D0AEE">
        <w:rPr>
          <w:lang w:val="fr-FR"/>
        </w:rPr>
        <w:t xml:space="preserve">. </w:t>
      </w:r>
    </w:p>
    <w:p w:rsidR="00B627DC" w:rsidRPr="008D0AEE" w:rsidRDefault="00B627DC" w:rsidP="00B627DC">
      <w:pPr>
        <w:pStyle w:val="SingleTxtG"/>
        <w:rPr>
          <w:lang w:val="fr-FR"/>
        </w:rPr>
      </w:pPr>
      <w:r w:rsidRPr="008D0AEE">
        <w:rPr>
          <w:lang w:val="fr-FR"/>
        </w:rPr>
        <w:t>33.</w:t>
      </w:r>
      <w:r w:rsidRPr="008D0AEE">
        <w:rPr>
          <w:lang w:val="fr-FR"/>
        </w:rPr>
        <w:tab/>
      </w:r>
      <w:r w:rsidRPr="00867745">
        <w:rPr>
          <w:lang w:val="fr-FR"/>
        </w:rPr>
        <w:t>Toutefois, de nombreux experts ayant fait observer que la tâche risquait d</w:t>
      </w:r>
      <w:r>
        <w:rPr>
          <w:lang w:val="fr-FR"/>
        </w:rPr>
        <w:t>’</w:t>
      </w:r>
      <w:r w:rsidRPr="00867745">
        <w:rPr>
          <w:lang w:val="fr-FR"/>
        </w:rPr>
        <w:t xml:space="preserve">être très vaste et </w:t>
      </w:r>
      <w:r>
        <w:rPr>
          <w:lang w:val="fr-FR"/>
        </w:rPr>
        <w:t xml:space="preserve">très </w:t>
      </w:r>
      <w:r w:rsidRPr="00867745">
        <w:rPr>
          <w:lang w:val="fr-FR"/>
        </w:rPr>
        <w:t>complexe, le Sous-Comité a estimé qu</w:t>
      </w:r>
      <w:r>
        <w:rPr>
          <w:lang w:val="fr-FR"/>
        </w:rPr>
        <w:t>’</w:t>
      </w:r>
      <w:r w:rsidRPr="00867745">
        <w:rPr>
          <w:lang w:val="fr-FR"/>
        </w:rPr>
        <w:t xml:space="preserve">avant de commencer les travaux sur cette question, il serait nécessaire de définir plus clairement son </w:t>
      </w:r>
      <w:r>
        <w:rPr>
          <w:lang w:val="fr-FR"/>
        </w:rPr>
        <w:t>cadre ainsi que</w:t>
      </w:r>
      <w:r w:rsidRPr="00867745">
        <w:rPr>
          <w:lang w:val="fr-FR"/>
        </w:rPr>
        <w:t xml:space="preserve"> la manière dont elle devrait être traitée dans le SGH (par exemple sous forme de directives, de critères</w:t>
      </w:r>
      <w:r>
        <w:rPr>
          <w:lang w:val="fr-FR"/>
        </w:rPr>
        <w:t xml:space="preserve"> ou</w:t>
      </w:r>
      <w:r w:rsidRPr="00867745">
        <w:rPr>
          <w:lang w:val="fr-FR"/>
        </w:rPr>
        <w:t xml:space="preserve"> de documents de référence), la manière de traiter les résultats ou opinions divergents, etc. Il a également suggéré que le Sous-Comité TMD soit associé aux travaux en tant que </w:t>
      </w:r>
      <w:r>
        <w:rPr>
          <w:lang w:val="fr-FR"/>
        </w:rPr>
        <w:t xml:space="preserve">coordonnateur en ce qui concernait </w:t>
      </w:r>
      <w:r w:rsidRPr="00867745">
        <w:rPr>
          <w:lang w:val="fr-FR"/>
        </w:rPr>
        <w:t>les dangers physiques</w:t>
      </w:r>
      <w:r w:rsidRPr="008D0AEE">
        <w:rPr>
          <w:lang w:val="fr-FR"/>
        </w:rPr>
        <w:t xml:space="preserve">. </w:t>
      </w:r>
    </w:p>
    <w:p w:rsidR="00B627DC" w:rsidRPr="008D0AEE" w:rsidRDefault="00B627DC" w:rsidP="00B627DC">
      <w:pPr>
        <w:pStyle w:val="SingleTxtG"/>
        <w:rPr>
          <w:lang w:val="fr-FR"/>
        </w:rPr>
      </w:pPr>
      <w:r w:rsidRPr="008D0AEE">
        <w:rPr>
          <w:lang w:val="fr-FR"/>
        </w:rPr>
        <w:t>34.</w:t>
      </w:r>
      <w:r w:rsidRPr="008D0AEE">
        <w:rPr>
          <w:lang w:val="fr-FR"/>
        </w:rPr>
        <w:tab/>
      </w:r>
      <w:r w:rsidRPr="00867745">
        <w:rPr>
          <w:lang w:val="fr-FR"/>
        </w:rPr>
        <w:t>Le Sous-Comité a invité l</w:t>
      </w:r>
      <w:r>
        <w:rPr>
          <w:lang w:val="fr-FR"/>
        </w:rPr>
        <w:t>’</w:t>
      </w:r>
      <w:r w:rsidRPr="00867745">
        <w:rPr>
          <w:lang w:val="fr-FR"/>
        </w:rPr>
        <w:t>expert de l</w:t>
      </w:r>
      <w:r>
        <w:rPr>
          <w:lang w:val="fr-FR"/>
        </w:rPr>
        <w:t>’</w:t>
      </w:r>
      <w:r w:rsidRPr="00867745">
        <w:rPr>
          <w:lang w:val="fr-FR"/>
        </w:rPr>
        <w:t>Allemagne à tenir compte des observations formulées et à envisager d</w:t>
      </w:r>
      <w:r>
        <w:rPr>
          <w:lang w:val="fr-FR"/>
        </w:rPr>
        <w:t>’</w:t>
      </w:r>
      <w:r w:rsidRPr="00867745">
        <w:rPr>
          <w:lang w:val="fr-FR"/>
        </w:rPr>
        <w:t>adopter une méthode par étapes pour ces travaux</w:t>
      </w:r>
      <w:r w:rsidRPr="008D0AEE">
        <w:rPr>
          <w:lang w:val="fr-FR"/>
        </w:rPr>
        <w:t xml:space="preserve">.  </w:t>
      </w:r>
    </w:p>
    <w:p w:rsidR="00B627DC" w:rsidRPr="008D0AEE" w:rsidRDefault="00B627DC" w:rsidP="00BB7EDA">
      <w:pPr>
        <w:pStyle w:val="H23G"/>
        <w:rPr>
          <w:rFonts w:eastAsia="MS Mincho"/>
          <w:lang w:val="fr-FR"/>
        </w:rPr>
      </w:pPr>
      <w:r w:rsidRPr="008D0AEE">
        <w:rPr>
          <w:lang w:val="fr-FR"/>
        </w:rPr>
        <w:tab/>
        <w:t>2.</w:t>
      </w:r>
      <w:r w:rsidRPr="008D0AEE">
        <w:rPr>
          <w:lang w:val="fr-FR"/>
        </w:rPr>
        <w:tab/>
        <w:t>Rectificatifs à la septième édition révisée du SGH</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041630">
        <w:rPr>
          <w:lang w:val="fr-FR"/>
        </w:rPr>
        <w:t> :</w:t>
      </w:r>
      <w:r w:rsidR="00BB7EDA">
        <w:rPr>
          <w:lang w:val="fr-FR"/>
        </w:rPr>
        <w:t xml:space="preserve"> </w:t>
      </w:r>
      <w:r w:rsidR="00BB7EDA">
        <w:rPr>
          <w:lang w:val="fr-FR"/>
        </w:rPr>
        <w:tab/>
        <w:t>INF.11 (secrétariat).</w:t>
      </w:r>
    </w:p>
    <w:p w:rsidR="00B627DC" w:rsidRPr="008D0AEE" w:rsidRDefault="00B627DC" w:rsidP="00B627DC">
      <w:pPr>
        <w:pStyle w:val="SingleTxtG"/>
        <w:rPr>
          <w:lang w:val="fr-FR"/>
        </w:rPr>
      </w:pPr>
      <w:r w:rsidRPr="008D0AEE">
        <w:rPr>
          <w:lang w:val="fr-FR"/>
        </w:rPr>
        <w:t>35.</w:t>
      </w:r>
      <w:r w:rsidRPr="008D0AEE">
        <w:rPr>
          <w:lang w:val="fr-FR"/>
        </w:rPr>
        <w:tab/>
      </w:r>
      <w:r w:rsidRPr="00867745">
        <w:rPr>
          <w:lang w:val="fr-FR"/>
        </w:rPr>
        <w:t xml:space="preserve">Le Sous-Comité a approuvé les </w:t>
      </w:r>
      <w:r>
        <w:rPr>
          <w:lang w:val="fr-FR"/>
        </w:rPr>
        <w:t>rectificatifs</w:t>
      </w:r>
      <w:r w:rsidRPr="00867745">
        <w:rPr>
          <w:lang w:val="fr-FR"/>
        </w:rPr>
        <w:t xml:space="preserve"> figurant dans le document informel INF.11 (voir annexe</w:t>
      </w:r>
      <w:r w:rsidRPr="008D0AEE">
        <w:rPr>
          <w:lang w:val="fr-FR"/>
        </w:rPr>
        <w:t>).</w:t>
      </w:r>
    </w:p>
    <w:p w:rsidR="00B627DC" w:rsidRPr="008D0AEE" w:rsidRDefault="00B627DC" w:rsidP="00BB7EDA">
      <w:pPr>
        <w:pStyle w:val="H23G"/>
        <w:rPr>
          <w:lang w:val="fr-FR"/>
        </w:rPr>
      </w:pPr>
      <w:r w:rsidRPr="008D0AEE">
        <w:rPr>
          <w:lang w:val="fr-FR"/>
        </w:rPr>
        <w:tab/>
        <w:t>3.</w:t>
      </w:r>
      <w:r w:rsidRPr="008D0AEE">
        <w:rPr>
          <w:lang w:val="fr-FR"/>
        </w:rPr>
        <w:tab/>
        <w:t>Traitement de la gestion des risques dans le SGH</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041630">
        <w:rPr>
          <w:lang w:val="fr-FR"/>
        </w:rPr>
        <w:t> :</w:t>
      </w:r>
      <w:r w:rsidR="00BB7EDA">
        <w:rPr>
          <w:lang w:val="fr-FR"/>
        </w:rPr>
        <w:t xml:space="preserve"> </w:t>
      </w:r>
      <w:r w:rsidR="00BB7EDA">
        <w:rPr>
          <w:lang w:val="fr-FR"/>
        </w:rPr>
        <w:tab/>
      </w:r>
      <w:r w:rsidRPr="008D0AEE">
        <w:rPr>
          <w:lang w:val="fr-FR"/>
        </w:rPr>
        <w:t>INF.14 (Australi</w:t>
      </w:r>
      <w:r>
        <w:rPr>
          <w:lang w:val="fr-FR"/>
        </w:rPr>
        <w:t>e</w:t>
      </w:r>
      <w:r w:rsidRPr="008D0AEE">
        <w:rPr>
          <w:lang w:val="fr-FR"/>
        </w:rPr>
        <w:t>)</w:t>
      </w:r>
      <w:r w:rsidR="00BB7EDA">
        <w:rPr>
          <w:lang w:val="fr-FR"/>
        </w:rPr>
        <w:t>.</w:t>
      </w:r>
    </w:p>
    <w:p w:rsidR="00B627DC" w:rsidRPr="008D0AEE" w:rsidRDefault="00B627DC" w:rsidP="00B627DC">
      <w:pPr>
        <w:pStyle w:val="SingleTxtG"/>
        <w:rPr>
          <w:lang w:val="fr-FR"/>
        </w:rPr>
      </w:pPr>
      <w:r w:rsidRPr="008D0AEE">
        <w:rPr>
          <w:lang w:val="fr-FR"/>
        </w:rPr>
        <w:t>36.</w:t>
      </w:r>
      <w:r w:rsidRPr="008D0AEE">
        <w:rPr>
          <w:lang w:val="fr-FR"/>
        </w:rPr>
        <w:tab/>
      </w:r>
      <w:r w:rsidRPr="00D15271">
        <w:rPr>
          <w:lang w:val="fr-FR"/>
        </w:rPr>
        <w:t>Le Sous-Comité a noté que l</w:t>
      </w:r>
      <w:r>
        <w:rPr>
          <w:lang w:val="fr-FR"/>
        </w:rPr>
        <w:t>’</w:t>
      </w:r>
      <w:r w:rsidRPr="00D15271">
        <w:rPr>
          <w:lang w:val="fr-FR"/>
        </w:rPr>
        <w:t>harmonisation des procédures d</w:t>
      </w:r>
      <w:r>
        <w:rPr>
          <w:lang w:val="fr-FR"/>
        </w:rPr>
        <w:t>’</w:t>
      </w:r>
      <w:r w:rsidRPr="00D15271">
        <w:rPr>
          <w:lang w:val="fr-FR"/>
        </w:rPr>
        <w:t>évaluation des risques et des décisions en matière de gestion des risques dépassait le cadre du SGH et que la nécessité de donner des orientations pour mieux comprendre l</w:t>
      </w:r>
      <w:r>
        <w:rPr>
          <w:lang w:val="fr-FR"/>
        </w:rPr>
        <w:t>’</w:t>
      </w:r>
      <w:r w:rsidRPr="00D15271">
        <w:rPr>
          <w:lang w:val="fr-FR"/>
        </w:rPr>
        <w:t>influence des facteurs externes (par exemple les risques) sur des dangers spécifiques ne devait être envisagée qu</w:t>
      </w:r>
      <w:r>
        <w:rPr>
          <w:lang w:val="fr-FR"/>
        </w:rPr>
        <w:t>’</w:t>
      </w:r>
      <w:r w:rsidRPr="00D15271">
        <w:rPr>
          <w:lang w:val="fr-FR"/>
        </w:rPr>
        <w:t>au cas par cas. Pour ces raisons, la plupart des experts se sont félicités de la proposition de l</w:t>
      </w:r>
      <w:r>
        <w:rPr>
          <w:lang w:val="fr-FR"/>
        </w:rPr>
        <w:t>’</w:t>
      </w:r>
      <w:r w:rsidRPr="00D15271">
        <w:rPr>
          <w:lang w:val="fr-FR"/>
        </w:rPr>
        <w:t>Australie et ont formulé quelques observations sur les principes directeurs proposés dans l</w:t>
      </w:r>
      <w:r>
        <w:rPr>
          <w:lang w:val="fr-FR"/>
        </w:rPr>
        <w:t>’</w:t>
      </w:r>
      <w:r w:rsidRPr="00D15271">
        <w:rPr>
          <w:lang w:val="fr-FR"/>
        </w:rPr>
        <w:t>annexe au document informel INF.14</w:t>
      </w:r>
      <w:r w:rsidRPr="008D0AEE">
        <w:rPr>
          <w:lang w:val="fr-FR"/>
        </w:rPr>
        <w:t xml:space="preserve">. </w:t>
      </w:r>
    </w:p>
    <w:p w:rsidR="00B627DC" w:rsidRPr="008D0AEE" w:rsidRDefault="00B627DC" w:rsidP="00B627DC">
      <w:pPr>
        <w:pStyle w:val="SingleTxtG"/>
        <w:rPr>
          <w:lang w:val="fr-FR"/>
        </w:rPr>
      </w:pPr>
      <w:r w:rsidRPr="008D0AEE">
        <w:rPr>
          <w:lang w:val="fr-FR"/>
        </w:rPr>
        <w:t>37.</w:t>
      </w:r>
      <w:r w:rsidRPr="008D0AEE">
        <w:rPr>
          <w:lang w:val="fr-FR"/>
        </w:rPr>
        <w:tab/>
      </w:r>
      <w:r w:rsidRPr="00D15271">
        <w:rPr>
          <w:lang w:val="fr-FR"/>
        </w:rPr>
        <w:t>Le Sous-Comité a invité l</w:t>
      </w:r>
      <w:r>
        <w:rPr>
          <w:lang w:val="fr-FR"/>
        </w:rPr>
        <w:t>’</w:t>
      </w:r>
      <w:r w:rsidRPr="00D15271">
        <w:rPr>
          <w:lang w:val="fr-FR"/>
        </w:rPr>
        <w:t>expert de l</w:t>
      </w:r>
      <w:r>
        <w:rPr>
          <w:lang w:val="fr-FR"/>
        </w:rPr>
        <w:t>’</w:t>
      </w:r>
      <w:r w:rsidRPr="00D15271">
        <w:rPr>
          <w:lang w:val="fr-FR"/>
        </w:rPr>
        <w:t xml:space="preserve">Australie à tenir compte des observations formulées et à poursuivre </w:t>
      </w:r>
      <w:r>
        <w:rPr>
          <w:lang w:val="fr-FR"/>
        </w:rPr>
        <w:t>s</w:t>
      </w:r>
      <w:r w:rsidRPr="00D15271">
        <w:rPr>
          <w:lang w:val="fr-FR"/>
        </w:rPr>
        <w:t>es travaux sur cette question</w:t>
      </w:r>
      <w:r w:rsidRPr="008D0AEE">
        <w:rPr>
          <w:lang w:val="fr-FR"/>
        </w:rPr>
        <w:t xml:space="preserve">. </w:t>
      </w:r>
    </w:p>
    <w:p w:rsidR="00B627DC" w:rsidRPr="008D0AEE" w:rsidRDefault="00B627DC" w:rsidP="00BB7EDA">
      <w:pPr>
        <w:pStyle w:val="H23G"/>
        <w:rPr>
          <w:lang w:val="fr-FR"/>
        </w:rPr>
      </w:pPr>
      <w:r w:rsidRPr="008D0AEE">
        <w:rPr>
          <w:lang w:val="fr-FR"/>
        </w:rPr>
        <w:tab/>
        <w:t xml:space="preserve">4. </w:t>
      </w:r>
      <w:r w:rsidRPr="008D0AEE">
        <w:rPr>
          <w:lang w:val="fr-FR"/>
        </w:rPr>
        <w:tab/>
      </w:r>
      <w:r w:rsidRPr="003E6CD1">
        <w:rPr>
          <w:lang w:val="fr-FR"/>
        </w:rPr>
        <w:t>Produits chimiques sous pression</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041630">
        <w:rPr>
          <w:lang w:val="fr-FR"/>
        </w:rPr>
        <w:t> :</w:t>
      </w:r>
      <w:r w:rsidR="00BB7EDA">
        <w:rPr>
          <w:lang w:val="fr-FR"/>
        </w:rPr>
        <w:t xml:space="preserve"> </w:t>
      </w:r>
      <w:r w:rsidR="00BB7EDA">
        <w:rPr>
          <w:lang w:val="fr-FR"/>
        </w:rPr>
        <w:tab/>
      </w:r>
      <w:r w:rsidRPr="008D0AEE">
        <w:rPr>
          <w:lang w:val="fr-FR"/>
        </w:rPr>
        <w:t>INF.15 (CEFIC, EIGA)</w:t>
      </w:r>
      <w:r w:rsidR="00BB7EDA">
        <w:rPr>
          <w:lang w:val="fr-FR"/>
        </w:rPr>
        <w:t>.</w:t>
      </w:r>
    </w:p>
    <w:p w:rsidR="00B627DC" w:rsidRPr="008D0AEE" w:rsidRDefault="00B627DC" w:rsidP="00B627DC">
      <w:pPr>
        <w:pStyle w:val="SingleTxtG"/>
        <w:rPr>
          <w:lang w:val="fr-FR"/>
        </w:rPr>
      </w:pPr>
      <w:r w:rsidRPr="008D0AEE">
        <w:rPr>
          <w:lang w:val="fr-FR"/>
        </w:rPr>
        <w:t>38.</w:t>
      </w:r>
      <w:r w:rsidRPr="008D0AEE">
        <w:rPr>
          <w:lang w:val="fr-FR"/>
        </w:rPr>
        <w:tab/>
      </w:r>
      <w:r w:rsidRPr="00D15271">
        <w:rPr>
          <w:lang w:val="fr-FR"/>
        </w:rPr>
        <w:t xml:space="preserve">Le Sous-Comité a approuvé en principe la proposition visant à aborder la classification des produits chimiques sous pression dans le SGH. Toutefois, certains experts </w:t>
      </w:r>
      <w:r w:rsidRPr="00D15271">
        <w:rPr>
          <w:lang w:val="fr-FR"/>
        </w:rPr>
        <w:lastRenderedPageBreak/>
        <w:t>ont demandé des éclaircissements ou formulé des observations sur un certain nombre de questions (</w:t>
      </w:r>
      <w:r>
        <w:rPr>
          <w:lang w:val="fr-FR"/>
        </w:rPr>
        <w:t xml:space="preserve">ils ont </w:t>
      </w:r>
      <w:r w:rsidRPr="00D15271">
        <w:rPr>
          <w:lang w:val="fr-FR"/>
        </w:rPr>
        <w:t>par exemple</w:t>
      </w:r>
      <w:r>
        <w:rPr>
          <w:lang w:val="fr-FR"/>
        </w:rPr>
        <w:t xml:space="preserve"> évoqué les idées suivantes</w:t>
      </w:r>
      <w:r w:rsidR="00041630">
        <w:rPr>
          <w:lang w:val="fr-FR"/>
        </w:rPr>
        <w:t> :</w:t>
      </w:r>
      <w:r>
        <w:rPr>
          <w:lang w:val="fr-FR"/>
        </w:rPr>
        <w:t xml:space="preserve"> </w:t>
      </w:r>
      <w:r w:rsidRPr="00D15271">
        <w:rPr>
          <w:lang w:val="fr-FR"/>
        </w:rPr>
        <w:t>réétudier la possibilité de consacrer un chapitre distinct aux produits chimiques sous pression</w:t>
      </w:r>
      <w:r>
        <w:rPr>
          <w:lang w:val="fr-FR"/>
        </w:rPr>
        <w:t xml:space="preserve"> ou de</w:t>
      </w:r>
      <w:r w:rsidRPr="00D15271">
        <w:rPr>
          <w:lang w:val="fr-FR"/>
        </w:rPr>
        <w:t xml:space="preserve"> les fusionner compl</w:t>
      </w:r>
      <w:r w:rsidR="00BB7EDA">
        <w:rPr>
          <w:lang w:val="fr-FR"/>
        </w:rPr>
        <w:t>ét</w:t>
      </w:r>
      <w:r w:rsidRPr="00D15271">
        <w:rPr>
          <w:lang w:val="fr-FR"/>
        </w:rPr>
        <w:t>ement avec les aérosols</w:t>
      </w:r>
      <w:r w:rsidR="00041630">
        <w:rPr>
          <w:lang w:val="fr-FR"/>
        </w:rPr>
        <w:t> ;</w:t>
      </w:r>
      <w:r w:rsidRPr="00D15271">
        <w:rPr>
          <w:lang w:val="fr-FR"/>
        </w:rPr>
        <w:t xml:space="preserve"> fournir des détails sur la justification de la valeur limite de 50</w:t>
      </w:r>
      <w:r>
        <w:rPr>
          <w:lang w:val="fr-FR"/>
        </w:rPr>
        <w:t> </w:t>
      </w:r>
      <w:r w:rsidRPr="00D15271">
        <w:rPr>
          <w:lang w:val="fr-FR"/>
        </w:rPr>
        <w:t xml:space="preserve">% pour différencier entre </w:t>
      </w:r>
      <w:r>
        <w:rPr>
          <w:lang w:val="fr-FR"/>
        </w:rPr>
        <w:t>« </w:t>
      </w:r>
      <w:r w:rsidRPr="00D15271">
        <w:rPr>
          <w:lang w:val="fr-FR"/>
        </w:rPr>
        <w:t>produits chimiques sous pression</w:t>
      </w:r>
      <w:r>
        <w:rPr>
          <w:lang w:val="fr-FR"/>
        </w:rPr>
        <w:t> »</w:t>
      </w:r>
      <w:r w:rsidRPr="00D15271">
        <w:rPr>
          <w:lang w:val="fr-FR"/>
        </w:rPr>
        <w:t xml:space="preserve"> et </w:t>
      </w:r>
      <w:r>
        <w:rPr>
          <w:lang w:val="fr-FR"/>
        </w:rPr>
        <w:t>« </w:t>
      </w:r>
      <w:r w:rsidRPr="00D15271">
        <w:rPr>
          <w:lang w:val="fr-FR"/>
        </w:rPr>
        <w:t>mélanges de gaz</w:t>
      </w:r>
      <w:r>
        <w:rPr>
          <w:lang w:val="fr-FR"/>
        </w:rPr>
        <w:t> »</w:t>
      </w:r>
      <w:r w:rsidR="00041630">
        <w:rPr>
          <w:lang w:val="fr-FR"/>
        </w:rPr>
        <w:t> ;</w:t>
      </w:r>
      <w:r>
        <w:rPr>
          <w:lang w:val="fr-FR"/>
        </w:rPr>
        <w:t xml:space="preserve"> </w:t>
      </w:r>
      <w:r w:rsidRPr="00D15271">
        <w:rPr>
          <w:lang w:val="fr-FR"/>
        </w:rPr>
        <w:t xml:space="preserve">utiliser le terme </w:t>
      </w:r>
      <w:r>
        <w:rPr>
          <w:lang w:val="fr-FR"/>
        </w:rPr>
        <w:t>« </w:t>
      </w:r>
      <w:r w:rsidRPr="00D15271">
        <w:rPr>
          <w:lang w:val="fr-FR"/>
        </w:rPr>
        <w:t>éclatement</w:t>
      </w:r>
      <w:r>
        <w:rPr>
          <w:lang w:val="fr-FR"/>
        </w:rPr>
        <w:t> »</w:t>
      </w:r>
      <w:r w:rsidRPr="00D15271">
        <w:rPr>
          <w:lang w:val="fr-FR"/>
        </w:rPr>
        <w:t xml:space="preserve"> dans l</w:t>
      </w:r>
      <w:r>
        <w:rPr>
          <w:lang w:val="fr-FR"/>
        </w:rPr>
        <w:t>’</w:t>
      </w:r>
      <w:r w:rsidRPr="00D15271">
        <w:rPr>
          <w:lang w:val="fr-FR"/>
        </w:rPr>
        <w:t>énoncé de danger proposé</w:t>
      </w:r>
      <w:r w:rsidR="00041630">
        <w:rPr>
          <w:lang w:val="fr-FR"/>
        </w:rPr>
        <w:t> ;</w:t>
      </w:r>
      <w:r w:rsidRPr="00D15271">
        <w:rPr>
          <w:lang w:val="fr-FR"/>
        </w:rPr>
        <w:t xml:space="preserve"> </w:t>
      </w:r>
      <w:r>
        <w:rPr>
          <w:lang w:val="fr-FR"/>
        </w:rPr>
        <w:t xml:space="preserve">ou </w:t>
      </w:r>
      <w:r w:rsidRPr="00D15271">
        <w:rPr>
          <w:lang w:val="fr-FR"/>
        </w:rPr>
        <w:t>envisager d</w:t>
      </w:r>
      <w:r>
        <w:rPr>
          <w:lang w:val="fr-FR"/>
        </w:rPr>
        <w:t>’</w:t>
      </w:r>
      <w:r w:rsidRPr="00D15271">
        <w:rPr>
          <w:lang w:val="fr-FR"/>
        </w:rPr>
        <w:t xml:space="preserve">utiliser le terme </w:t>
      </w:r>
      <w:r>
        <w:rPr>
          <w:lang w:val="fr-FR"/>
        </w:rPr>
        <w:t>« </w:t>
      </w:r>
      <w:r w:rsidRPr="00D15271">
        <w:rPr>
          <w:lang w:val="fr-FR"/>
        </w:rPr>
        <w:t>produits chimiques</w:t>
      </w:r>
      <w:r>
        <w:rPr>
          <w:lang w:val="fr-FR"/>
        </w:rPr>
        <w:t> »</w:t>
      </w:r>
      <w:r w:rsidRPr="00D15271">
        <w:rPr>
          <w:lang w:val="fr-FR"/>
        </w:rPr>
        <w:t xml:space="preserve"> au lieu de </w:t>
      </w:r>
      <w:r>
        <w:rPr>
          <w:lang w:val="fr-FR"/>
        </w:rPr>
        <w:t>« </w:t>
      </w:r>
      <w:r w:rsidRPr="00D15271">
        <w:rPr>
          <w:lang w:val="fr-FR"/>
        </w:rPr>
        <w:t>liquides et solides</w:t>
      </w:r>
      <w:r>
        <w:rPr>
          <w:lang w:val="fr-FR"/>
        </w:rPr>
        <w:t> »</w:t>
      </w:r>
      <w:r w:rsidRPr="00D15271">
        <w:rPr>
          <w:lang w:val="fr-FR"/>
        </w:rPr>
        <w:t>)</w:t>
      </w:r>
      <w:r w:rsidRPr="008D0AEE">
        <w:rPr>
          <w:lang w:val="fr-FR"/>
        </w:rPr>
        <w:t>.</w:t>
      </w:r>
    </w:p>
    <w:p w:rsidR="00B627DC" w:rsidRPr="008D0AEE" w:rsidRDefault="00B627DC" w:rsidP="00B627DC">
      <w:pPr>
        <w:pStyle w:val="SingleTxtG"/>
        <w:rPr>
          <w:lang w:val="fr-FR"/>
        </w:rPr>
      </w:pPr>
      <w:r w:rsidRPr="008D0AEE">
        <w:rPr>
          <w:lang w:val="fr-FR"/>
        </w:rPr>
        <w:t>39.</w:t>
      </w:r>
      <w:r w:rsidRPr="008D0AEE">
        <w:rPr>
          <w:lang w:val="fr-FR"/>
        </w:rPr>
        <w:tab/>
      </w:r>
      <w:r w:rsidRPr="00D15271">
        <w:rPr>
          <w:lang w:val="fr-FR"/>
        </w:rPr>
        <w:t>Le Sous-Comité a invité les représentants du CEFIC et de l</w:t>
      </w:r>
      <w:r>
        <w:rPr>
          <w:lang w:val="fr-FR"/>
        </w:rPr>
        <w:t>’</w:t>
      </w:r>
      <w:r w:rsidRPr="00D15271">
        <w:rPr>
          <w:lang w:val="fr-FR"/>
        </w:rPr>
        <w:t>EIGA à tenir compte des observations formulées et à soumettre une proposition révisée à sa session suivante</w:t>
      </w:r>
      <w:r w:rsidRPr="008D0AEE">
        <w:rPr>
          <w:lang w:val="fr-FR"/>
        </w:rPr>
        <w:t xml:space="preserve">. </w:t>
      </w:r>
    </w:p>
    <w:p w:rsidR="00B627DC" w:rsidRPr="008D0AEE" w:rsidRDefault="00B627DC" w:rsidP="00BB7EDA">
      <w:pPr>
        <w:pStyle w:val="H23G"/>
        <w:rPr>
          <w:lang w:val="fr-FR"/>
        </w:rPr>
      </w:pPr>
      <w:r w:rsidRPr="008D0AEE">
        <w:rPr>
          <w:lang w:val="fr-FR"/>
        </w:rPr>
        <w:tab/>
        <w:t>5.</w:t>
      </w:r>
      <w:r w:rsidRPr="008D0AEE">
        <w:rPr>
          <w:lang w:val="fr-FR"/>
        </w:rPr>
        <w:tab/>
        <w:t>Conversion des diagrammes de décision en texte</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041630">
        <w:rPr>
          <w:lang w:val="fr-FR"/>
        </w:rPr>
        <w:t> :</w:t>
      </w:r>
      <w:r w:rsidR="00BB7EDA">
        <w:rPr>
          <w:lang w:val="fr-FR"/>
        </w:rPr>
        <w:t xml:space="preserve"> </w:t>
      </w:r>
      <w:r w:rsidR="00BB7EDA">
        <w:rPr>
          <w:lang w:val="fr-FR"/>
        </w:rPr>
        <w:tab/>
      </w:r>
      <w:r w:rsidRPr="008D0AEE">
        <w:rPr>
          <w:lang w:val="fr-FR"/>
        </w:rPr>
        <w:t>INF.13 (Canada)</w:t>
      </w:r>
      <w:r w:rsidR="00BB7EDA">
        <w:rPr>
          <w:lang w:val="fr-FR"/>
        </w:rPr>
        <w:t>.</w:t>
      </w:r>
    </w:p>
    <w:p w:rsidR="00B627DC" w:rsidRPr="008D0AEE" w:rsidRDefault="00B627DC" w:rsidP="00B627DC">
      <w:pPr>
        <w:pStyle w:val="SingleTxtG"/>
        <w:rPr>
          <w:lang w:val="fr-FR"/>
        </w:rPr>
      </w:pPr>
      <w:r w:rsidRPr="008D0AEE">
        <w:rPr>
          <w:lang w:val="fr-FR"/>
        </w:rPr>
        <w:t>40.</w:t>
      </w:r>
      <w:r w:rsidRPr="008D0AEE">
        <w:rPr>
          <w:lang w:val="fr-FR"/>
        </w:rPr>
        <w:tab/>
      </w:r>
      <w:r w:rsidRPr="008D7822">
        <w:rPr>
          <w:lang w:val="fr-FR"/>
        </w:rPr>
        <w:t>Il a été noté que</w:t>
      </w:r>
      <w:r>
        <w:rPr>
          <w:lang w:val="fr-FR"/>
        </w:rPr>
        <w:t>,</w:t>
      </w:r>
      <w:r w:rsidRPr="008D7822">
        <w:rPr>
          <w:lang w:val="fr-FR"/>
        </w:rPr>
        <w:t xml:space="preserve"> pour la plupart des classes de dangers, les diagrammes de décision ne faisaient pas partie des critères. Le Sous-Comité est convenu qu</w:t>
      </w:r>
      <w:r>
        <w:rPr>
          <w:lang w:val="fr-FR"/>
        </w:rPr>
        <w:t>’</w:t>
      </w:r>
      <w:r w:rsidRPr="008D7822">
        <w:rPr>
          <w:lang w:val="fr-FR"/>
        </w:rPr>
        <w:t>en principe, les critères devraient être exprimés en mots afin de permettre une mise en œuvre cohérente dans différentes juridictions</w:t>
      </w:r>
      <w:r w:rsidRPr="008D0AEE">
        <w:rPr>
          <w:lang w:val="fr-FR"/>
        </w:rPr>
        <w:t xml:space="preserve">. </w:t>
      </w:r>
    </w:p>
    <w:p w:rsidR="00B627DC" w:rsidRPr="008D0AEE" w:rsidRDefault="00B627DC" w:rsidP="00B627DC">
      <w:pPr>
        <w:pStyle w:val="SingleTxtG"/>
        <w:rPr>
          <w:rStyle w:val="SingleTxtGChar"/>
          <w:lang w:val="fr-FR"/>
        </w:rPr>
      </w:pPr>
      <w:r w:rsidRPr="008D0AEE">
        <w:rPr>
          <w:rStyle w:val="SingleTxtGChar"/>
          <w:lang w:val="fr-FR"/>
        </w:rPr>
        <w:t>41.</w:t>
      </w:r>
      <w:r w:rsidRPr="008D0AEE">
        <w:rPr>
          <w:rStyle w:val="SingleTxtGChar"/>
          <w:lang w:val="fr-FR"/>
        </w:rPr>
        <w:tab/>
      </w:r>
      <w:r w:rsidRPr="009F0EE2">
        <w:rPr>
          <w:rStyle w:val="SingleTxtGChar"/>
          <w:lang w:val="fr-FR"/>
        </w:rPr>
        <w:t>Le Sous-Comité a invité l</w:t>
      </w:r>
      <w:r>
        <w:rPr>
          <w:rStyle w:val="SingleTxtGChar"/>
          <w:lang w:val="fr-FR"/>
        </w:rPr>
        <w:t>’</w:t>
      </w:r>
      <w:r w:rsidRPr="009F0EE2">
        <w:rPr>
          <w:rStyle w:val="SingleTxtGChar"/>
          <w:lang w:val="fr-FR"/>
        </w:rPr>
        <w:t>expert du Canada et les représentants du CEFIC et de l</w:t>
      </w:r>
      <w:r>
        <w:rPr>
          <w:rStyle w:val="SingleTxtGChar"/>
          <w:lang w:val="fr-FR"/>
        </w:rPr>
        <w:t>’</w:t>
      </w:r>
      <w:r w:rsidRPr="009F0EE2">
        <w:rPr>
          <w:rStyle w:val="SingleTxtGChar"/>
          <w:lang w:val="fr-FR"/>
        </w:rPr>
        <w:t xml:space="preserve">EIGA à présenter les critères applicables aux aérosols selon cette méthode </w:t>
      </w:r>
      <w:r>
        <w:rPr>
          <w:rStyle w:val="SingleTxtGChar"/>
          <w:lang w:val="fr-FR"/>
        </w:rPr>
        <w:t xml:space="preserve">soit </w:t>
      </w:r>
      <w:r w:rsidRPr="009F0EE2">
        <w:rPr>
          <w:rStyle w:val="SingleTxtGChar"/>
          <w:lang w:val="fr-FR"/>
        </w:rPr>
        <w:t xml:space="preserve">dans un document de travail pour </w:t>
      </w:r>
      <w:r>
        <w:rPr>
          <w:rStyle w:val="SingleTxtGChar"/>
          <w:lang w:val="fr-FR"/>
        </w:rPr>
        <w:t>sa</w:t>
      </w:r>
      <w:r w:rsidRPr="009F0EE2">
        <w:rPr>
          <w:rStyle w:val="SingleTxtGChar"/>
          <w:lang w:val="fr-FR"/>
        </w:rPr>
        <w:t xml:space="preserve"> session</w:t>
      </w:r>
      <w:r>
        <w:rPr>
          <w:rStyle w:val="SingleTxtGChar"/>
          <w:lang w:val="fr-FR"/>
        </w:rPr>
        <w:t xml:space="preserve"> suivante</w:t>
      </w:r>
      <w:r w:rsidRPr="009F0EE2">
        <w:rPr>
          <w:rStyle w:val="SingleTxtGChar"/>
          <w:lang w:val="fr-FR"/>
        </w:rPr>
        <w:t>, soit dans le cadre de la révision du chapitre</w:t>
      </w:r>
      <w:r>
        <w:rPr>
          <w:rStyle w:val="SingleTxtGChar"/>
          <w:lang w:val="fr-FR"/>
        </w:rPr>
        <w:t> </w:t>
      </w:r>
      <w:r w:rsidRPr="009F0EE2">
        <w:rPr>
          <w:rStyle w:val="SingleTxtGChar"/>
          <w:lang w:val="fr-FR"/>
        </w:rPr>
        <w:t>2.3 de manière à y inclure les produits chimiques sous pression</w:t>
      </w:r>
      <w:r w:rsidRPr="008D0AEE">
        <w:rPr>
          <w:rStyle w:val="SingleTxtGChar"/>
          <w:lang w:val="fr-FR"/>
        </w:rPr>
        <w:t>.</w:t>
      </w:r>
    </w:p>
    <w:p w:rsidR="00B627DC" w:rsidRPr="008D0AEE" w:rsidRDefault="00B627DC" w:rsidP="00A54941">
      <w:pPr>
        <w:pStyle w:val="HChG"/>
        <w:rPr>
          <w:lang w:val="fr-FR"/>
        </w:rPr>
      </w:pPr>
      <w:r w:rsidRPr="008D0AEE">
        <w:rPr>
          <w:lang w:val="fr-FR"/>
        </w:rPr>
        <w:tab/>
        <w:t>IV.</w:t>
      </w:r>
      <w:r w:rsidRPr="008D0AEE">
        <w:rPr>
          <w:lang w:val="fr-FR"/>
        </w:rPr>
        <w:tab/>
      </w:r>
      <w:r w:rsidRPr="003E6CD1">
        <w:rPr>
          <w:lang w:val="fr-FR"/>
        </w:rPr>
        <w:t>Communication des dangers</w:t>
      </w:r>
      <w:r w:rsidRPr="008D0AEE">
        <w:rPr>
          <w:lang w:val="fr-FR"/>
        </w:rPr>
        <w:t xml:space="preserve"> </w:t>
      </w:r>
      <w:r w:rsidRPr="003E6CD1">
        <w:rPr>
          <w:lang w:val="fr-FR"/>
        </w:rPr>
        <w:t>(point 3 de l</w:t>
      </w:r>
      <w:r>
        <w:rPr>
          <w:lang w:val="fr-FR"/>
        </w:rPr>
        <w:t>’</w:t>
      </w:r>
      <w:r w:rsidRPr="003E6CD1">
        <w:rPr>
          <w:lang w:val="fr-FR"/>
        </w:rPr>
        <w:t>ordre du jour</w:t>
      </w:r>
      <w:r w:rsidRPr="008D0AEE">
        <w:rPr>
          <w:lang w:val="fr-FR"/>
        </w:rPr>
        <w:t>)</w:t>
      </w:r>
    </w:p>
    <w:p w:rsidR="00B627DC" w:rsidRPr="008D0AEE" w:rsidRDefault="00B627DC" w:rsidP="00A54941">
      <w:pPr>
        <w:pStyle w:val="H1G"/>
        <w:rPr>
          <w:lang w:val="fr-FR"/>
        </w:rPr>
      </w:pPr>
      <w:r w:rsidRPr="008D0AEE">
        <w:rPr>
          <w:lang w:val="fr-FR"/>
        </w:rPr>
        <w:tab/>
        <w:t>A.</w:t>
      </w:r>
      <w:r w:rsidRPr="008D0AEE">
        <w:rPr>
          <w:lang w:val="fr-FR"/>
        </w:rPr>
        <w:tab/>
      </w:r>
      <w:r w:rsidRPr="003E6CD1">
        <w:rPr>
          <w:lang w:val="fr-FR"/>
        </w:rPr>
        <w:t>Étiquetage de petits emballages</w:t>
      </w:r>
    </w:p>
    <w:p w:rsidR="00B627DC" w:rsidRPr="008D0AEE" w:rsidRDefault="00B627DC" w:rsidP="00862C48">
      <w:pPr>
        <w:pStyle w:val="SingleTxtG"/>
        <w:tabs>
          <w:tab w:val="left" w:pos="3119"/>
        </w:tabs>
        <w:ind w:left="3119" w:hanging="1985"/>
        <w:jc w:val="left"/>
        <w:rPr>
          <w:lang w:val="fr-FR"/>
        </w:rPr>
      </w:pPr>
      <w:r w:rsidRPr="008D0AEE">
        <w:rPr>
          <w:i/>
          <w:lang w:val="fr-FR"/>
        </w:rPr>
        <w:t>Document</w:t>
      </w:r>
      <w:r w:rsidR="00E65EE2" w:rsidRPr="00E65EE2">
        <w:rPr>
          <w:lang w:val="fr-FR"/>
        </w:rPr>
        <w:t> :</w:t>
      </w:r>
      <w:r w:rsidR="00A54941">
        <w:rPr>
          <w:lang w:val="fr-FR"/>
        </w:rPr>
        <w:t xml:space="preserve"> </w:t>
      </w:r>
      <w:r w:rsidR="00A54941">
        <w:rPr>
          <w:lang w:val="fr-FR"/>
        </w:rPr>
        <w:tab/>
      </w:r>
      <w:r w:rsidRPr="008D0AEE">
        <w:rPr>
          <w:lang w:val="fr-FR"/>
        </w:rPr>
        <w:t>ST/SG/AC.10/C.4/2017/5 (CEFIC)</w:t>
      </w:r>
      <w:r w:rsidR="00A54941">
        <w:rPr>
          <w:lang w:val="fr-FR"/>
        </w:rPr>
        <w:t>.</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041630">
        <w:rPr>
          <w:lang w:val="fr-FR"/>
        </w:rPr>
        <w:t> :</w:t>
      </w:r>
      <w:r w:rsidR="00A54941">
        <w:rPr>
          <w:lang w:val="fr-FR"/>
        </w:rPr>
        <w:t xml:space="preserve"> </w:t>
      </w:r>
      <w:r w:rsidR="00A54941">
        <w:rPr>
          <w:lang w:val="fr-FR"/>
        </w:rPr>
        <w:tab/>
      </w:r>
      <w:r w:rsidRPr="008D0AEE">
        <w:rPr>
          <w:lang w:val="fr-FR"/>
        </w:rPr>
        <w:t>INF.23 (</w:t>
      </w:r>
      <w:r>
        <w:rPr>
          <w:lang w:val="fr-FR"/>
        </w:rPr>
        <w:t>É</w:t>
      </w:r>
      <w:r w:rsidRPr="008D0AEE">
        <w:rPr>
          <w:lang w:val="fr-FR"/>
        </w:rPr>
        <w:t>tats</w:t>
      </w:r>
      <w:r>
        <w:rPr>
          <w:lang w:val="fr-FR"/>
        </w:rPr>
        <w:t>-Unis</w:t>
      </w:r>
      <w:r w:rsidRPr="008D0AEE">
        <w:rPr>
          <w:lang w:val="fr-FR"/>
        </w:rPr>
        <w:t xml:space="preserve"> </w:t>
      </w:r>
      <w:r>
        <w:rPr>
          <w:lang w:val="fr-FR"/>
        </w:rPr>
        <w:t>d’</w:t>
      </w:r>
      <w:r w:rsidRPr="008D0AEE">
        <w:rPr>
          <w:lang w:val="fr-FR"/>
        </w:rPr>
        <w:t>Am</w:t>
      </w:r>
      <w:r>
        <w:rPr>
          <w:lang w:val="fr-FR"/>
        </w:rPr>
        <w:t>érique</w:t>
      </w:r>
      <w:r w:rsidRPr="008D0AEE">
        <w:rPr>
          <w:lang w:val="fr-FR"/>
        </w:rPr>
        <w:t>)</w:t>
      </w:r>
      <w:r w:rsidR="00A54941">
        <w:rPr>
          <w:lang w:val="fr-FR"/>
        </w:rPr>
        <w:t>.</w:t>
      </w:r>
    </w:p>
    <w:p w:rsidR="00B627DC" w:rsidRPr="008D0AEE" w:rsidRDefault="00B627DC" w:rsidP="00B627DC">
      <w:pPr>
        <w:pStyle w:val="SingleTxtG"/>
        <w:rPr>
          <w:lang w:val="fr-FR"/>
        </w:rPr>
      </w:pPr>
      <w:r w:rsidRPr="008D0AEE">
        <w:rPr>
          <w:lang w:val="fr-FR"/>
        </w:rPr>
        <w:t>42.</w:t>
      </w:r>
      <w:r w:rsidRPr="008D0AEE">
        <w:rPr>
          <w:lang w:val="fr-FR"/>
        </w:rPr>
        <w:tab/>
      </w:r>
      <w:r w:rsidRPr="009F0EE2">
        <w:rPr>
          <w:lang w:val="fr-FR"/>
        </w:rPr>
        <w:t>Le Sous-Comité a noté que le groupe de travail informel avait examiné les exemples d</w:t>
      </w:r>
      <w:r>
        <w:rPr>
          <w:lang w:val="fr-FR"/>
        </w:rPr>
        <w:t>’</w:t>
      </w:r>
      <w:r w:rsidRPr="009F0EE2">
        <w:rPr>
          <w:lang w:val="fr-FR"/>
        </w:rPr>
        <w:t>étiquetage figurant dans le document ST/SG/AC.10/C.4/2017/5 et les amendements proposés dans le document informel INF.23, ainsi que d</w:t>
      </w:r>
      <w:r>
        <w:rPr>
          <w:lang w:val="fr-FR"/>
        </w:rPr>
        <w:t>’</w:t>
      </w:r>
      <w:r w:rsidRPr="009F0EE2">
        <w:rPr>
          <w:lang w:val="fr-FR"/>
        </w:rPr>
        <w:t xml:space="preserve">autres observations </w:t>
      </w:r>
      <w:r>
        <w:rPr>
          <w:lang w:val="fr-FR"/>
        </w:rPr>
        <w:t>faites</w:t>
      </w:r>
      <w:r w:rsidRPr="009F0EE2">
        <w:rPr>
          <w:lang w:val="fr-FR"/>
        </w:rPr>
        <w:t xml:space="preserve"> au cours du débat. Compte tenu des observations formulées, le groupe de travail informel a informé le Sous-Comité qu</w:t>
      </w:r>
      <w:r>
        <w:rPr>
          <w:lang w:val="fr-FR"/>
        </w:rPr>
        <w:t>’</w:t>
      </w:r>
      <w:r w:rsidRPr="009F0EE2">
        <w:rPr>
          <w:lang w:val="fr-FR"/>
        </w:rPr>
        <w:t>il présenterait une proposition révisée à la session suivante</w:t>
      </w:r>
      <w:r w:rsidRPr="008D0AEE">
        <w:rPr>
          <w:lang w:val="fr-FR"/>
        </w:rPr>
        <w:t>.</w:t>
      </w:r>
    </w:p>
    <w:p w:rsidR="00B627DC" w:rsidRPr="008D0AEE" w:rsidRDefault="00B627DC" w:rsidP="00B627DC">
      <w:pPr>
        <w:pStyle w:val="SingleTxtG"/>
        <w:rPr>
          <w:lang w:val="fr-FR"/>
        </w:rPr>
      </w:pPr>
      <w:r w:rsidRPr="008D0AEE">
        <w:rPr>
          <w:lang w:val="fr-FR"/>
        </w:rPr>
        <w:t>43.</w:t>
      </w:r>
      <w:r w:rsidRPr="008D0AEE">
        <w:rPr>
          <w:lang w:val="fr-FR"/>
        </w:rPr>
        <w:tab/>
      </w:r>
      <w:r w:rsidRPr="00CF6A01">
        <w:rPr>
          <w:lang w:val="fr-FR"/>
        </w:rPr>
        <w:t>La représentante du CEFIC a invité les experts à se demander s</w:t>
      </w:r>
      <w:r>
        <w:rPr>
          <w:lang w:val="fr-FR"/>
        </w:rPr>
        <w:t>’</w:t>
      </w:r>
      <w:r w:rsidRPr="00CF6A01">
        <w:rPr>
          <w:lang w:val="fr-FR"/>
        </w:rPr>
        <w:t>il convenait d</w:t>
      </w:r>
      <w:r>
        <w:rPr>
          <w:lang w:val="fr-FR"/>
        </w:rPr>
        <w:t>’</w:t>
      </w:r>
      <w:r w:rsidRPr="00CF6A01">
        <w:rPr>
          <w:lang w:val="fr-FR"/>
        </w:rPr>
        <w:t>élaborer d</w:t>
      </w:r>
      <w:r>
        <w:rPr>
          <w:lang w:val="fr-FR"/>
        </w:rPr>
        <w:t>’</w:t>
      </w:r>
      <w:r w:rsidRPr="00CF6A01">
        <w:rPr>
          <w:lang w:val="fr-FR"/>
        </w:rPr>
        <w:t>autres exemples</w:t>
      </w:r>
      <w:r w:rsidRPr="008D0AEE">
        <w:rPr>
          <w:lang w:val="fr-FR"/>
        </w:rPr>
        <w:t>.</w:t>
      </w:r>
    </w:p>
    <w:p w:rsidR="00B627DC" w:rsidRPr="008D0AEE" w:rsidRDefault="00B627DC" w:rsidP="00B627DC">
      <w:pPr>
        <w:pStyle w:val="H1G"/>
        <w:rPr>
          <w:lang w:val="fr-FR"/>
        </w:rPr>
      </w:pPr>
      <w:r w:rsidRPr="008D0AEE">
        <w:rPr>
          <w:lang w:val="fr-FR"/>
        </w:rPr>
        <w:tab/>
        <w:t>B.</w:t>
      </w:r>
      <w:r w:rsidRPr="008D0AEE">
        <w:rPr>
          <w:lang w:val="fr-FR"/>
        </w:rPr>
        <w:tab/>
      </w:r>
      <w:r w:rsidRPr="003E6CD1">
        <w:rPr>
          <w:lang w:val="fr-FR"/>
        </w:rPr>
        <w:t xml:space="preserve">Amélioration des annexes 1 à 3 et poursuite de la rationalisation </w:t>
      </w:r>
      <w:r w:rsidRPr="003E6CD1">
        <w:rPr>
          <w:lang w:val="fr-FR"/>
        </w:rPr>
        <w:br/>
        <w:t>des conseils de prudence</w:t>
      </w:r>
    </w:p>
    <w:p w:rsidR="00B627DC" w:rsidRPr="008D0AEE" w:rsidRDefault="00B627DC" w:rsidP="00B627DC">
      <w:pPr>
        <w:pStyle w:val="SingleTxtG"/>
        <w:rPr>
          <w:lang w:val="fr-FR"/>
        </w:rPr>
      </w:pPr>
      <w:r w:rsidRPr="008D0AEE">
        <w:rPr>
          <w:lang w:val="fr-FR"/>
        </w:rPr>
        <w:t>44.</w:t>
      </w:r>
      <w:r w:rsidRPr="008D0AEE">
        <w:rPr>
          <w:lang w:val="fr-FR"/>
        </w:rPr>
        <w:tab/>
      </w:r>
      <w:r w:rsidRPr="00CF6A01">
        <w:rPr>
          <w:lang w:val="fr-FR"/>
        </w:rPr>
        <w:t>Le Sous-Comité a noté que le groupe de travail informel avait examiné à sa dernière réunion les conseils de prudence concernant l</w:t>
      </w:r>
      <w:r>
        <w:rPr>
          <w:lang w:val="fr-FR"/>
        </w:rPr>
        <w:t>’</w:t>
      </w:r>
      <w:r w:rsidRPr="00CF6A01">
        <w:rPr>
          <w:lang w:val="fr-FR"/>
        </w:rPr>
        <w:t>intervention médicale et le pictogramme d</w:t>
      </w:r>
      <w:r>
        <w:rPr>
          <w:lang w:val="fr-FR"/>
        </w:rPr>
        <w:t>’</w:t>
      </w:r>
      <w:r w:rsidRPr="00CF6A01">
        <w:rPr>
          <w:lang w:val="fr-FR"/>
        </w:rPr>
        <w:t xml:space="preserve">avertissement </w:t>
      </w:r>
      <w:r>
        <w:rPr>
          <w:lang w:val="fr-FR"/>
        </w:rPr>
        <w:t>« Tenir</w:t>
      </w:r>
      <w:r w:rsidRPr="00CF6A01">
        <w:rPr>
          <w:lang w:val="fr-FR"/>
        </w:rPr>
        <w:t xml:space="preserve"> hors de portée des enfants</w:t>
      </w:r>
      <w:r>
        <w:rPr>
          <w:lang w:val="fr-FR"/>
        </w:rPr>
        <w:t> »</w:t>
      </w:r>
      <w:r w:rsidRPr="008D0AEE">
        <w:rPr>
          <w:lang w:val="fr-FR"/>
        </w:rPr>
        <w:t xml:space="preserve">. </w:t>
      </w:r>
    </w:p>
    <w:p w:rsidR="00B627DC" w:rsidRPr="008D0AEE" w:rsidRDefault="00B627DC" w:rsidP="00B627DC">
      <w:pPr>
        <w:pStyle w:val="SingleTxtG"/>
        <w:rPr>
          <w:lang w:val="fr-FR"/>
        </w:rPr>
      </w:pPr>
      <w:r w:rsidRPr="008D0AEE">
        <w:rPr>
          <w:lang w:val="fr-FR"/>
        </w:rPr>
        <w:t>45.</w:t>
      </w:r>
      <w:r w:rsidRPr="008D0AEE">
        <w:rPr>
          <w:lang w:val="fr-FR"/>
        </w:rPr>
        <w:tab/>
      </w:r>
      <w:r w:rsidRPr="00160C6B">
        <w:rPr>
          <w:lang w:val="fr-FR"/>
        </w:rPr>
        <w:t xml:space="preserve">Il a été noté que les travaux sur les conseils de prudence relatifs </w:t>
      </w:r>
      <w:r>
        <w:rPr>
          <w:lang w:val="fr-FR"/>
        </w:rPr>
        <w:t xml:space="preserve">aux </w:t>
      </w:r>
      <w:r w:rsidRPr="00160C6B">
        <w:rPr>
          <w:lang w:val="fr-FR"/>
        </w:rPr>
        <w:t>intervention</w:t>
      </w:r>
      <w:r>
        <w:rPr>
          <w:lang w:val="fr-FR"/>
        </w:rPr>
        <w:t>s</w:t>
      </w:r>
      <w:r w:rsidRPr="00160C6B">
        <w:rPr>
          <w:lang w:val="fr-FR"/>
        </w:rPr>
        <w:t xml:space="preserve"> médicale</w:t>
      </w:r>
      <w:r>
        <w:rPr>
          <w:lang w:val="fr-FR"/>
        </w:rPr>
        <w:t>s</w:t>
      </w:r>
      <w:r w:rsidRPr="00160C6B">
        <w:rPr>
          <w:lang w:val="fr-FR"/>
        </w:rPr>
        <w:t xml:space="preserve"> continuaient d</w:t>
      </w:r>
      <w:r>
        <w:rPr>
          <w:lang w:val="fr-FR"/>
        </w:rPr>
        <w:t>’</w:t>
      </w:r>
      <w:r w:rsidRPr="00160C6B">
        <w:rPr>
          <w:lang w:val="fr-FR"/>
        </w:rPr>
        <w:t>examiner la traductibilité des conseils de prudence recommandés</w:t>
      </w:r>
      <w:r>
        <w:rPr>
          <w:lang w:val="fr-FR"/>
        </w:rPr>
        <w:t>,</w:t>
      </w:r>
      <w:r w:rsidRPr="00160C6B">
        <w:rPr>
          <w:lang w:val="fr-FR"/>
        </w:rPr>
        <w:t xml:space="preserve"> et que le groupe de travail informel avait l</w:t>
      </w:r>
      <w:r>
        <w:rPr>
          <w:lang w:val="fr-FR"/>
        </w:rPr>
        <w:t>’</w:t>
      </w:r>
      <w:r w:rsidRPr="00160C6B">
        <w:rPr>
          <w:lang w:val="fr-FR"/>
        </w:rPr>
        <w:t>intention de soumettre une proposition officielle lors de la session suivante</w:t>
      </w:r>
      <w:r w:rsidRPr="008D0AEE">
        <w:rPr>
          <w:lang w:val="fr-FR"/>
        </w:rPr>
        <w:t xml:space="preserve">. </w:t>
      </w:r>
    </w:p>
    <w:p w:rsidR="00B627DC" w:rsidRPr="008D0AEE" w:rsidRDefault="00B627DC" w:rsidP="000120AA">
      <w:pPr>
        <w:pStyle w:val="SingleTxtG"/>
        <w:spacing w:after="100"/>
        <w:rPr>
          <w:lang w:val="fr-FR"/>
        </w:rPr>
      </w:pPr>
      <w:r w:rsidRPr="008D0AEE">
        <w:rPr>
          <w:lang w:val="fr-FR"/>
        </w:rPr>
        <w:t>46.</w:t>
      </w:r>
      <w:r w:rsidRPr="008D0AEE">
        <w:rPr>
          <w:lang w:val="fr-FR"/>
        </w:rPr>
        <w:tab/>
      </w:r>
      <w:r w:rsidRPr="00160C6B">
        <w:rPr>
          <w:lang w:val="fr-FR"/>
        </w:rPr>
        <w:t>En ce qui concernait le pictogramme d</w:t>
      </w:r>
      <w:r>
        <w:rPr>
          <w:lang w:val="fr-FR"/>
        </w:rPr>
        <w:t>’</w:t>
      </w:r>
      <w:r w:rsidRPr="00160C6B">
        <w:rPr>
          <w:lang w:val="fr-FR"/>
        </w:rPr>
        <w:t xml:space="preserve">avertissement </w:t>
      </w:r>
      <w:r>
        <w:rPr>
          <w:lang w:val="fr-FR"/>
        </w:rPr>
        <w:t>« </w:t>
      </w:r>
      <w:r w:rsidRPr="00160C6B">
        <w:rPr>
          <w:lang w:val="fr-FR"/>
        </w:rPr>
        <w:t>Tenir hors de portée des enfants</w:t>
      </w:r>
      <w:r>
        <w:rPr>
          <w:lang w:val="fr-FR"/>
        </w:rPr>
        <w:t> »</w:t>
      </w:r>
      <w:r w:rsidRPr="00160C6B">
        <w:rPr>
          <w:lang w:val="fr-FR"/>
        </w:rPr>
        <w:t xml:space="preserve">, le Sous-Comité a noté que le groupe de travail informel avait examiné plusieurs options </w:t>
      </w:r>
      <w:r>
        <w:rPr>
          <w:lang w:val="fr-FR"/>
        </w:rPr>
        <w:t xml:space="preserve">en se </w:t>
      </w:r>
      <w:r w:rsidRPr="00160C6B">
        <w:rPr>
          <w:lang w:val="fr-FR"/>
        </w:rPr>
        <w:t>fond</w:t>
      </w:r>
      <w:r>
        <w:rPr>
          <w:lang w:val="fr-FR"/>
        </w:rPr>
        <w:t>ant</w:t>
      </w:r>
      <w:r w:rsidRPr="00160C6B">
        <w:rPr>
          <w:lang w:val="fr-FR"/>
        </w:rPr>
        <w:t xml:space="preserve"> sur les débats et </w:t>
      </w:r>
      <w:r>
        <w:rPr>
          <w:lang w:val="fr-FR"/>
        </w:rPr>
        <w:t xml:space="preserve">sur </w:t>
      </w:r>
      <w:r w:rsidRPr="00160C6B">
        <w:rPr>
          <w:lang w:val="fr-FR"/>
        </w:rPr>
        <w:t>les résultats de tests de compréhension</w:t>
      </w:r>
      <w:r w:rsidRPr="007F0AA8">
        <w:rPr>
          <w:lang w:val="fr-FR"/>
        </w:rPr>
        <w:t xml:space="preserve"> </w:t>
      </w:r>
      <w:r>
        <w:rPr>
          <w:lang w:val="fr-FR"/>
        </w:rPr>
        <w:t xml:space="preserve">du </w:t>
      </w:r>
      <w:r w:rsidRPr="00160C6B">
        <w:rPr>
          <w:lang w:val="fr-FR"/>
        </w:rPr>
        <w:t>pictogramme de l</w:t>
      </w:r>
      <w:r>
        <w:rPr>
          <w:lang w:val="fr-FR"/>
        </w:rPr>
        <w:t>’</w:t>
      </w:r>
      <w:r w:rsidRPr="00160C6B">
        <w:rPr>
          <w:lang w:val="fr-FR"/>
        </w:rPr>
        <w:t xml:space="preserve">AISE </w:t>
      </w:r>
      <w:r>
        <w:rPr>
          <w:lang w:val="fr-FR"/>
        </w:rPr>
        <w:t>menés</w:t>
      </w:r>
      <w:r w:rsidRPr="00160C6B">
        <w:rPr>
          <w:lang w:val="fr-FR"/>
        </w:rPr>
        <w:t xml:space="preserve"> dans l</w:t>
      </w:r>
      <w:r>
        <w:rPr>
          <w:lang w:val="fr-FR"/>
        </w:rPr>
        <w:t>’</w:t>
      </w:r>
      <w:r w:rsidRPr="00160C6B">
        <w:rPr>
          <w:lang w:val="fr-FR"/>
        </w:rPr>
        <w:t>Union européenne et aux États-Unis, en Chine, au Brésil et en Afrique du Sud. En conséquence, les pictogrammes de l</w:t>
      </w:r>
      <w:r>
        <w:rPr>
          <w:lang w:val="fr-FR"/>
        </w:rPr>
        <w:t>’</w:t>
      </w:r>
      <w:r w:rsidRPr="00160C6B">
        <w:rPr>
          <w:lang w:val="fr-FR"/>
        </w:rPr>
        <w:t>AISE et du Japon avaient été choisis. Il a également été noté que le groupe de travail informel soumettrait au Sous-Comité une proposition visant à inclure ce</w:t>
      </w:r>
      <w:r>
        <w:rPr>
          <w:lang w:val="fr-FR"/>
        </w:rPr>
        <w:t>s</w:t>
      </w:r>
      <w:r w:rsidRPr="00160C6B">
        <w:rPr>
          <w:lang w:val="fr-FR"/>
        </w:rPr>
        <w:t xml:space="preserve"> pictogramme</w:t>
      </w:r>
      <w:r>
        <w:rPr>
          <w:lang w:val="fr-FR"/>
        </w:rPr>
        <w:t>s</w:t>
      </w:r>
      <w:r w:rsidRPr="00160C6B">
        <w:rPr>
          <w:lang w:val="fr-FR"/>
        </w:rPr>
        <w:t xml:space="preserve"> à titre d</w:t>
      </w:r>
      <w:r>
        <w:rPr>
          <w:lang w:val="fr-FR"/>
        </w:rPr>
        <w:t>’</w:t>
      </w:r>
      <w:r w:rsidRPr="00160C6B">
        <w:rPr>
          <w:lang w:val="fr-FR"/>
        </w:rPr>
        <w:t>exemples dans la section</w:t>
      </w:r>
      <w:r>
        <w:rPr>
          <w:lang w:val="fr-FR"/>
        </w:rPr>
        <w:t> </w:t>
      </w:r>
      <w:r w:rsidRPr="00160C6B">
        <w:rPr>
          <w:lang w:val="fr-FR"/>
        </w:rPr>
        <w:t xml:space="preserve">5 </w:t>
      </w:r>
      <w:r w:rsidRPr="00160C6B">
        <w:rPr>
          <w:lang w:val="fr-FR"/>
        </w:rPr>
        <w:lastRenderedPageBreak/>
        <w:t>de l</w:t>
      </w:r>
      <w:r>
        <w:rPr>
          <w:lang w:val="fr-FR"/>
        </w:rPr>
        <w:t>’</w:t>
      </w:r>
      <w:r w:rsidRPr="00160C6B">
        <w:rPr>
          <w:lang w:val="fr-FR"/>
        </w:rPr>
        <w:t>annexe 3 du SGH et examinerait plus avant la possibilité d</w:t>
      </w:r>
      <w:r>
        <w:rPr>
          <w:lang w:val="fr-FR"/>
        </w:rPr>
        <w:t>e l’</w:t>
      </w:r>
      <w:r w:rsidRPr="00160C6B">
        <w:rPr>
          <w:lang w:val="fr-FR"/>
        </w:rPr>
        <w:t>utiliser sur une étiquette du SGH</w:t>
      </w:r>
      <w:r w:rsidRPr="008D0AEE">
        <w:rPr>
          <w:lang w:val="fr-FR"/>
        </w:rPr>
        <w:t>.</w:t>
      </w:r>
    </w:p>
    <w:p w:rsidR="00B627DC" w:rsidRPr="008D0AEE" w:rsidRDefault="00B627DC" w:rsidP="000120AA">
      <w:pPr>
        <w:pStyle w:val="SingleTxtG"/>
        <w:spacing w:after="100"/>
        <w:rPr>
          <w:lang w:val="fr-FR"/>
        </w:rPr>
      </w:pPr>
      <w:r w:rsidRPr="008D0AEE">
        <w:rPr>
          <w:lang w:val="fr-FR"/>
        </w:rPr>
        <w:t>47.</w:t>
      </w:r>
      <w:r w:rsidRPr="008D0AEE">
        <w:rPr>
          <w:lang w:val="fr-FR"/>
        </w:rPr>
        <w:tab/>
      </w:r>
      <w:r w:rsidRPr="00F963D0">
        <w:rPr>
          <w:lang w:val="fr-FR"/>
        </w:rPr>
        <w:t>Le Sous-Comité a également noté que le groupe de travail informel, faute de temps</w:t>
      </w:r>
      <w:r>
        <w:rPr>
          <w:lang w:val="fr-FR"/>
        </w:rPr>
        <w:t>,</w:t>
      </w:r>
      <w:r w:rsidRPr="00F963D0">
        <w:rPr>
          <w:lang w:val="fr-FR"/>
        </w:rPr>
        <w:t xml:space="preserve"> avait reporté</w:t>
      </w:r>
      <w:r w:rsidRPr="00B22002">
        <w:rPr>
          <w:lang w:val="fr-FR"/>
        </w:rPr>
        <w:t xml:space="preserve"> </w:t>
      </w:r>
      <w:r w:rsidRPr="00F963D0">
        <w:rPr>
          <w:lang w:val="fr-FR"/>
        </w:rPr>
        <w:t>à sa réunion suivante l</w:t>
      </w:r>
      <w:r>
        <w:rPr>
          <w:lang w:val="fr-FR"/>
        </w:rPr>
        <w:t>’</w:t>
      </w:r>
      <w:r w:rsidRPr="00F963D0">
        <w:rPr>
          <w:lang w:val="fr-FR"/>
        </w:rPr>
        <w:t>examen du document de réflexion</w:t>
      </w:r>
      <w:r>
        <w:rPr>
          <w:lang w:val="fr-FR"/>
        </w:rPr>
        <w:t xml:space="preserve"> sur l’</w:t>
      </w:r>
      <w:r w:rsidRPr="00B22002">
        <w:rPr>
          <w:lang w:val="fr-FR"/>
        </w:rPr>
        <w:t>instruction d</w:t>
      </w:r>
      <w:r>
        <w:rPr>
          <w:lang w:val="fr-FR"/>
        </w:rPr>
        <w:t>’</w:t>
      </w:r>
      <w:r w:rsidRPr="00B22002">
        <w:rPr>
          <w:lang w:val="fr-FR"/>
        </w:rPr>
        <w:t>emballage</w:t>
      </w:r>
      <w:r w:rsidRPr="00F963D0">
        <w:rPr>
          <w:lang w:val="fr-FR"/>
        </w:rPr>
        <w:t xml:space="preserve"> P501</w:t>
      </w:r>
      <w:r w:rsidRPr="008D0AEE">
        <w:rPr>
          <w:lang w:val="fr-FR"/>
        </w:rPr>
        <w:t xml:space="preserve">. </w:t>
      </w:r>
    </w:p>
    <w:p w:rsidR="00B627DC" w:rsidRPr="008D0AEE" w:rsidRDefault="00B627DC" w:rsidP="00A54941">
      <w:pPr>
        <w:pStyle w:val="H1G"/>
        <w:rPr>
          <w:lang w:val="fr-FR"/>
        </w:rPr>
      </w:pPr>
      <w:r w:rsidRPr="008D0AEE">
        <w:rPr>
          <w:lang w:val="fr-FR"/>
        </w:rPr>
        <w:tab/>
        <w:t>C.</w:t>
      </w:r>
      <w:r w:rsidRPr="008D0AEE">
        <w:rPr>
          <w:lang w:val="fr-FR"/>
        </w:rPr>
        <w:tab/>
      </w:r>
      <w:r w:rsidRPr="003E6CD1">
        <w:rPr>
          <w:lang w:val="fr-FR"/>
        </w:rPr>
        <w:t>Utilisation des « plages de proportion »</w:t>
      </w:r>
      <w:r w:rsidR="00041630">
        <w:rPr>
          <w:lang w:val="fr-FR"/>
        </w:rPr>
        <w:t> :</w:t>
      </w:r>
      <w:r w:rsidRPr="003E6CD1">
        <w:rPr>
          <w:lang w:val="fr-FR"/>
        </w:rPr>
        <w:t xml:space="preserve"> révision </w:t>
      </w:r>
      <w:r w:rsidR="00A54941">
        <w:rPr>
          <w:lang w:val="fr-FR"/>
        </w:rPr>
        <w:br/>
      </w:r>
      <w:r w:rsidRPr="003E6CD1">
        <w:rPr>
          <w:lang w:val="fr-FR"/>
        </w:rPr>
        <w:t>du paragraphe A4.3.3.2.3 de l</w:t>
      </w:r>
      <w:r>
        <w:rPr>
          <w:lang w:val="fr-FR"/>
        </w:rPr>
        <w:t>’</w:t>
      </w:r>
      <w:r w:rsidRPr="003E6CD1">
        <w:rPr>
          <w:lang w:val="fr-FR"/>
        </w:rPr>
        <w:t>annexe 4</w:t>
      </w:r>
    </w:p>
    <w:p w:rsidR="00B627DC" w:rsidRPr="008D0AEE" w:rsidRDefault="00B627DC" w:rsidP="000120AA">
      <w:pPr>
        <w:pStyle w:val="SingleTxtG"/>
        <w:spacing w:after="100"/>
        <w:rPr>
          <w:rFonts w:eastAsia="MS Mincho"/>
          <w:lang w:val="fr-FR" w:eastAsia="ja-JP"/>
        </w:rPr>
      </w:pPr>
      <w:r w:rsidRPr="008D0AEE">
        <w:rPr>
          <w:rFonts w:eastAsia="MS Mincho"/>
          <w:lang w:val="fr-FR" w:eastAsia="ja-JP"/>
        </w:rPr>
        <w:t>48.</w:t>
      </w:r>
      <w:r w:rsidRPr="008D0AEE">
        <w:rPr>
          <w:rFonts w:eastAsia="MS Mincho"/>
          <w:lang w:val="fr-FR" w:eastAsia="ja-JP"/>
        </w:rPr>
        <w:tab/>
      </w:r>
      <w:r w:rsidRPr="0077671B">
        <w:rPr>
          <w:lang w:val="fr-FR"/>
        </w:rPr>
        <w:t>Aucun document n</w:t>
      </w:r>
      <w:r>
        <w:rPr>
          <w:lang w:val="fr-FR"/>
        </w:rPr>
        <w:t>’</w:t>
      </w:r>
      <w:r w:rsidRPr="0077671B">
        <w:rPr>
          <w:lang w:val="fr-FR"/>
        </w:rPr>
        <w:t>ayant été soumis au titre de ce point de l</w:t>
      </w:r>
      <w:r>
        <w:rPr>
          <w:lang w:val="fr-FR"/>
        </w:rPr>
        <w:t>’</w:t>
      </w:r>
      <w:r w:rsidRPr="0077671B">
        <w:rPr>
          <w:lang w:val="fr-FR"/>
        </w:rPr>
        <w:t>ordre du jour, cette question n</w:t>
      </w:r>
      <w:r>
        <w:rPr>
          <w:lang w:val="fr-FR"/>
        </w:rPr>
        <w:t>’</w:t>
      </w:r>
      <w:r w:rsidRPr="0077671B">
        <w:rPr>
          <w:lang w:val="fr-FR"/>
        </w:rPr>
        <w:t>a</w:t>
      </w:r>
      <w:r>
        <w:rPr>
          <w:lang w:val="fr-FR"/>
        </w:rPr>
        <w:t xml:space="preserve"> pas</w:t>
      </w:r>
      <w:r w:rsidRPr="0077671B">
        <w:rPr>
          <w:lang w:val="fr-FR"/>
        </w:rPr>
        <w:t xml:space="preserve"> été abordée</w:t>
      </w:r>
      <w:r w:rsidRPr="008D0AEE">
        <w:rPr>
          <w:lang w:val="fr-FR"/>
        </w:rPr>
        <w:t>.</w:t>
      </w:r>
    </w:p>
    <w:p w:rsidR="00B627DC" w:rsidRPr="008D0AEE" w:rsidRDefault="00B627DC" w:rsidP="00A54941">
      <w:pPr>
        <w:pStyle w:val="H1G"/>
        <w:rPr>
          <w:lang w:val="fr-FR"/>
        </w:rPr>
      </w:pPr>
      <w:r w:rsidRPr="008D0AEE">
        <w:rPr>
          <w:lang w:val="fr-FR"/>
        </w:rPr>
        <w:tab/>
        <w:t>D.</w:t>
      </w:r>
      <w:r w:rsidRPr="008D0AEE">
        <w:rPr>
          <w:lang w:val="fr-FR"/>
        </w:rPr>
        <w:tab/>
      </w:r>
      <w:r w:rsidRPr="003E6CD1">
        <w:rPr>
          <w:lang w:val="fr-FR"/>
        </w:rPr>
        <w:t>Autres questions</w:t>
      </w:r>
    </w:p>
    <w:p w:rsidR="00B627DC" w:rsidRPr="008D0AEE" w:rsidRDefault="00B627DC" w:rsidP="000120AA">
      <w:pPr>
        <w:pStyle w:val="H23G"/>
        <w:spacing w:after="100"/>
        <w:rPr>
          <w:lang w:val="fr-FR"/>
        </w:rPr>
      </w:pPr>
      <w:r w:rsidRPr="008D0AEE">
        <w:rPr>
          <w:lang w:val="fr-FR"/>
        </w:rPr>
        <w:tab/>
        <w:t>1.</w:t>
      </w:r>
      <w:r w:rsidRPr="008D0AEE">
        <w:rPr>
          <w:lang w:val="fr-FR"/>
        </w:rPr>
        <w:tab/>
        <w:t>Étiquetage des biens de consommation</w:t>
      </w:r>
    </w:p>
    <w:p w:rsidR="00B627DC" w:rsidRPr="008D0AEE" w:rsidRDefault="00B627DC" w:rsidP="000120AA">
      <w:pPr>
        <w:pStyle w:val="SingleTxtG"/>
        <w:tabs>
          <w:tab w:val="left" w:pos="3119"/>
        </w:tabs>
        <w:spacing w:after="100"/>
        <w:ind w:left="3119" w:hanging="1985"/>
        <w:jc w:val="left"/>
        <w:rPr>
          <w:lang w:val="fr-FR"/>
        </w:rPr>
      </w:pPr>
      <w:r w:rsidRPr="008D0AEE">
        <w:rPr>
          <w:i/>
          <w:lang w:val="fr-FR"/>
        </w:rPr>
        <w:t>Document informel</w:t>
      </w:r>
      <w:r w:rsidR="00041630">
        <w:rPr>
          <w:lang w:val="fr-FR"/>
        </w:rPr>
        <w:t> :</w:t>
      </w:r>
      <w:r w:rsidR="00A54941">
        <w:rPr>
          <w:lang w:val="fr-FR"/>
        </w:rPr>
        <w:t xml:space="preserve"> </w:t>
      </w:r>
      <w:r w:rsidR="00A54941">
        <w:rPr>
          <w:lang w:val="fr-FR"/>
        </w:rPr>
        <w:tab/>
        <w:t>INF.5 (AISE).</w:t>
      </w:r>
    </w:p>
    <w:p w:rsidR="00B627DC" w:rsidRPr="008D0AEE" w:rsidRDefault="00B627DC" w:rsidP="000120AA">
      <w:pPr>
        <w:pStyle w:val="SingleTxtG"/>
        <w:spacing w:after="100"/>
        <w:rPr>
          <w:lang w:val="fr-FR"/>
        </w:rPr>
      </w:pPr>
      <w:r w:rsidRPr="008D0AEE">
        <w:rPr>
          <w:lang w:val="fr-FR"/>
        </w:rPr>
        <w:t>49.</w:t>
      </w:r>
      <w:r w:rsidRPr="008D0AEE">
        <w:rPr>
          <w:lang w:val="fr-FR"/>
        </w:rPr>
        <w:tab/>
      </w:r>
      <w:r w:rsidRPr="00FC4ACE">
        <w:rPr>
          <w:lang w:val="fr-FR"/>
        </w:rPr>
        <w:t>Le Sous-Comité s</w:t>
      </w:r>
      <w:r>
        <w:rPr>
          <w:lang w:val="fr-FR"/>
        </w:rPr>
        <w:t>’</w:t>
      </w:r>
      <w:r w:rsidRPr="00FC4ACE">
        <w:rPr>
          <w:lang w:val="fr-FR"/>
        </w:rPr>
        <w:t>est félicité des informations fournies par le représentant de l</w:t>
      </w:r>
      <w:r>
        <w:rPr>
          <w:lang w:val="fr-FR"/>
        </w:rPr>
        <w:t>’</w:t>
      </w:r>
      <w:r w:rsidRPr="00FC4ACE">
        <w:rPr>
          <w:lang w:val="fr-FR"/>
        </w:rPr>
        <w:t>AISE et a pris note des conclusions de l</w:t>
      </w:r>
      <w:r>
        <w:rPr>
          <w:lang w:val="fr-FR"/>
        </w:rPr>
        <w:t>’</w:t>
      </w:r>
      <w:r w:rsidRPr="00FC4ACE">
        <w:rPr>
          <w:lang w:val="fr-FR"/>
        </w:rPr>
        <w:t>étude. La plupart des experts se sont déclarés favorables à la poursuite de ces travaux pour étudier les moyens d</w:t>
      </w:r>
      <w:r>
        <w:rPr>
          <w:lang w:val="fr-FR"/>
        </w:rPr>
        <w:t>’</w:t>
      </w:r>
      <w:r w:rsidRPr="00FC4ACE">
        <w:rPr>
          <w:lang w:val="fr-FR"/>
        </w:rPr>
        <w:t>améliorer la communication des risques dans le SGH. Certains ont estimé qu</w:t>
      </w:r>
      <w:r>
        <w:rPr>
          <w:lang w:val="fr-FR"/>
        </w:rPr>
        <w:t>’</w:t>
      </w:r>
      <w:r w:rsidRPr="00FC4ACE">
        <w:rPr>
          <w:lang w:val="fr-FR"/>
        </w:rPr>
        <w:t>il serait utile de mener des études similaires en dehors de l</w:t>
      </w:r>
      <w:r>
        <w:rPr>
          <w:lang w:val="fr-FR"/>
        </w:rPr>
        <w:t>’</w:t>
      </w:r>
      <w:r w:rsidRPr="00FC4ACE">
        <w:rPr>
          <w:lang w:val="fr-FR"/>
        </w:rPr>
        <w:t>Union européenne</w:t>
      </w:r>
      <w:r w:rsidRPr="008D0AEE">
        <w:rPr>
          <w:lang w:val="fr-FR"/>
        </w:rPr>
        <w:t>.</w:t>
      </w:r>
    </w:p>
    <w:p w:rsidR="00B627DC" w:rsidRPr="008D0AEE" w:rsidRDefault="00B627DC" w:rsidP="000120AA">
      <w:pPr>
        <w:pStyle w:val="H23G"/>
        <w:spacing w:after="100"/>
        <w:rPr>
          <w:lang w:val="fr-FR"/>
        </w:rPr>
      </w:pPr>
      <w:r w:rsidRPr="008D0AEE">
        <w:rPr>
          <w:lang w:val="fr-FR"/>
        </w:rPr>
        <w:tab/>
        <w:t>2.</w:t>
      </w:r>
      <w:r w:rsidRPr="008D0AEE">
        <w:rPr>
          <w:lang w:val="fr-FR"/>
        </w:rPr>
        <w:tab/>
      </w:r>
      <w:r w:rsidRPr="003E6CD1">
        <w:rPr>
          <w:lang w:val="fr-FR"/>
        </w:rPr>
        <w:t>Amendements à l</w:t>
      </w:r>
      <w:r>
        <w:rPr>
          <w:lang w:val="fr-FR"/>
        </w:rPr>
        <w:t>’</w:t>
      </w:r>
      <w:r w:rsidRPr="003E6CD1">
        <w:rPr>
          <w:lang w:val="fr-FR"/>
        </w:rPr>
        <w:t>annexe 7</w:t>
      </w:r>
      <w:r w:rsidR="00041630">
        <w:rPr>
          <w:lang w:val="fr-FR"/>
        </w:rPr>
        <w:t> :</w:t>
      </w:r>
      <w:r w:rsidRPr="003E6CD1">
        <w:rPr>
          <w:lang w:val="fr-FR"/>
        </w:rPr>
        <w:t xml:space="preserve"> </w:t>
      </w:r>
      <w:r w:rsidRPr="008D0AEE">
        <w:rPr>
          <w:lang w:val="fr-FR"/>
        </w:rPr>
        <w:t>exemples 1 à 7</w:t>
      </w:r>
    </w:p>
    <w:p w:rsidR="00B627DC" w:rsidRPr="008D0AEE" w:rsidRDefault="00B627DC" w:rsidP="000120AA">
      <w:pPr>
        <w:pStyle w:val="SingleTxtG"/>
        <w:tabs>
          <w:tab w:val="left" w:pos="3119"/>
        </w:tabs>
        <w:spacing w:after="100"/>
        <w:ind w:left="3119" w:hanging="1985"/>
        <w:jc w:val="left"/>
        <w:rPr>
          <w:lang w:val="fr-FR"/>
        </w:rPr>
      </w:pPr>
      <w:r w:rsidRPr="008D0AEE">
        <w:rPr>
          <w:i/>
          <w:lang w:val="fr-FR"/>
        </w:rPr>
        <w:t>Document informel</w:t>
      </w:r>
      <w:r w:rsidR="00041630">
        <w:rPr>
          <w:lang w:val="fr-FR"/>
        </w:rPr>
        <w:t> :</w:t>
      </w:r>
      <w:r w:rsidR="00A54941">
        <w:rPr>
          <w:lang w:val="fr-FR"/>
        </w:rPr>
        <w:t xml:space="preserve"> </w:t>
      </w:r>
      <w:r w:rsidR="00A54941">
        <w:rPr>
          <w:lang w:val="fr-FR"/>
        </w:rPr>
        <w:tab/>
      </w:r>
      <w:r w:rsidRPr="008D0AEE">
        <w:rPr>
          <w:lang w:val="fr-FR"/>
        </w:rPr>
        <w:t>INF.19 (UNITAR)</w:t>
      </w:r>
      <w:r w:rsidR="00A54941">
        <w:rPr>
          <w:lang w:val="fr-FR"/>
        </w:rPr>
        <w:t>.</w:t>
      </w:r>
    </w:p>
    <w:p w:rsidR="00B627DC" w:rsidRPr="008D0AEE" w:rsidRDefault="00B627DC" w:rsidP="000120AA">
      <w:pPr>
        <w:pStyle w:val="SingleTxtG"/>
        <w:spacing w:after="100"/>
        <w:rPr>
          <w:lang w:val="fr-FR"/>
        </w:rPr>
      </w:pPr>
      <w:r w:rsidRPr="008D0AEE">
        <w:rPr>
          <w:lang w:val="fr-FR"/>
        </w:rPr>
        <w:t>50.</w:t>
      </w:r>
      <w:r w:rsidRPr="008D0AEE">
        <w:rPr>
          <w:lang w:val="fr-FR"/>
        </w:rPr>
        <w:tab/>
      </w:r>
      <w:r w:rsidRPr="00005974">
        <w:rPr>
          <w:lang w:val="fr-FR"/>
        </w:rPr>
        <w:t xml:space="preserve">Le Sous-Comité a pris note des amendements et </w:t>
      </w:r>
      <w:r>
        <w:rPr>
          <w:lang w:val="fr-FR"/>
        </w:rPr>
        <w:t>rectificatifs</w:t>
      </w:r>
      <w:r w:rsidRPr="00005974">
        <w:rPr>
          <w:lang w:val="fr-FR"/>
        </w:rPr>
        <w:t xml:space="preserve"> proposés </w:t>
      </w:r>
      <w:r>
        <w:rPr>
          <w:lang w:val="fr-FR"/>
        </w:rPr>
        <w:t>pour les</w:t>
      </w:r>
      <w:r w:rsidRPr="00005974">
        <w:rPr>
          <w:lang w:val="fr-FR"/>
        </w:rPr>
        <w:t xml:space="preserve"> exemples 1 à 7 de l</w:t>
      </w:r>
      <w:r>
        <w:rPr>
          <w:lang w:val="fr-FR"/>
        </w:rPr>
        <w:t>’</w:t>
      </w:r>
      <w:r w:rsidRPr="00005974">
        <w:rPr>
          <w:lang w:val="fr-FR"/>
        </w:rPr>
        <w:t>annexe 7 du SGH et a invité les experts à faire part de leurs observations au représentant de l</w:t>
      </w:r>
      <w:r>
        <w:rPr>
          <w:lang w:val="fr-FR"/>
        </w:rPr>
        <w:t>’</w:t>
      </w:r>
      <w:r w:rsidRPr="00005974">
        <w:rPr>
          <w:lang w:val="fr-FR"/>
        </w:rPr>
        <w:t>UNITAR</w:t>
      </w:r>
      <w:r w:rsidRPr="008D0AEE">
        <w:rPr>
          <w:lang w:val="fr-FR"/>
        </w:rPr>
        <w:t xml:space="preserve">. </w:t>
      </w:r>
    </w:p>
    <w:p w:rsidR="00B627DC" w:rsidRPr="008D0AEE" w:rsidRDefault="00B627DC" w:rsidP="000120AA">
      <w:pPr>
        <w:pStyle w:val="H23G"/>
        <w:spacing w:after="100"/>
        <w:rPr>
          <w:lang w:val="fr-FR"/>
        </w:rPr>
      </w:pPr>
      <w:r w:rsidRPr="008D0AEE">
        <w:rPr>
          <w:lang w:val="fr-FR"/>
        </w:rPr>
        <w:tab/>
        <w:t>3.</w:t>
      </w:r>
      <w:r w:rsidRPr="008D0AEE">
        <w:rPr>
          <w:lang w:val="fr-FR"/>
        </w:rPr>
        <w:tab/>
      </w:r>
      <w:r w:rsidRPr="003E6CD1">
        <w:rPr>
          <w:lang w:val="fr-FR"/>
        </w:rPr>
        <w:t>Numérotation des sous-titres dans les fiches de données de sécurité</w:t>
      </w:r>
    </w:p>
    <w:p w:rsidR="00B627DC" w:rsidRPr="008D0AEE" w:rsidRDefault="00B627DC" w:rsidP="000120AA">
      <w:pPr>
        <w:pStyle w:val="SingleTxtG"/>
        <w:tabs>
          <w:tab w:val="left" w:pos="3119"/>
        </w:tabs>
        <w:spacing w:after="100"/>
        <w:ind w:left="3119" w:hanging="1985"/>
        <w:jc w:val="left"/>
        <w:rPr>
          <w:lang w:val="fr-FR"/>
        </w:rPr>
      </w:pPr>
      <w:r w:rsidRPr="008D0AEE">
        <w:rPr>
          <w:i/>
          <w:lang w:val="fr-FR"/>
        </w:rPr>
        <w:t>Document informel</w:t>
      </w:r>
      <w:r w:rsidR="00041630">
        <w:rPr>
          <w:lang w:val="fr-FR"/>
        </w:rPr>
        <w:t> :</w:t>
      </w:r>
      <w:r w:rsidR="00A54941">
        <w:rPr>
          <w:lang w:val="fr-FR"/>
        </w:rPr>
        <w:t xml:space="preserve"> </w:t>
      </w:r>
      <w:r w:rsidRPr="008D0AEE">
        <w:rPr>
          <w:lang w:val="fr-FR"/>
        </w:rPr>
        <w:tab/>
        <w:t>INF.24 (RPMASA)</w:t>
      </w:r>
      <w:r w:rsidR="00A54941">
        <w:rPr>
          <w:lang w:val="fr-FR"/>
        </w:rPr>
        <w:t>.</w:t>
      </w:r>
    </w:p>
    <w:p w:rsidR="00B627DC" w:rsidRPr="008D0AEE" w:rsidRDefault="00B627DC" w:rsidP="000120AA">
      <w:pPr>
        <w:pStyle w:val="SingleTxtG"/>
        <w:spacing w:after="100"/>
        <w:rPr>
          <w:lang w:val="fr-FR"/>
        </w:rPr>
      </w:pPr>
      <w:r w:rsidRPr="008D0AEE">
        <w:rPr>
          <w:lang w:val="fr-FR"/>
        </w:rPr>
        <w:t>51.</w:t>
      </w:r>
      <w:r w:rsidRPr="008D0AEE">
        <w:rPr>
          <w:lang w:val="fr-FR"/>
        </w:rPr>
        <w:tab/>
      </w:r>
      <w:r w:rsidRPr="00005974">
        <w:rPr>
          <w:lang w:val="fr-FR"/>
        </w:rPr>
        <w:t>Le Sous-Comité a pris note du résumé des</w:t>
      </w:r>
      <w:r>
        <w:rPr>
          <w:lang w:val="fr-FR"/>
        </w:rPr>
        <w:t xml:space="preserve"> nouvelles</w:t>
      </w:r>
      <w:r w:rsidRPr="00005974">
        <w:rPr>
          <w:lang w:val="fr-FR"/>
        </w:rPr>
        <w:t xml:space="preserve"> contributions reçues par </w:t>
      </w:r>
      <w:r>
        <w:rPr>
          <w:lang w:val="fr-FR"/>
        </w:rPr>
        <w:t xml:space="preserve">la </w:t>
      </w:r>
      <w:r w:rsidRPr="00005974">
        <w:rPr>
          <w:lang w:val="fr-FR"/>
        </w:rPr>
        <w:t>RPMASA depuis la session précédente au sujet de son enquête sur les différentes méthodes de numérotation des sous-titres dans les fiches de données de sécurité. Les experts ont été invités à continuer de fournir des informations sur cette question</w:t>
      </w:r>
      <w:r w:rsidRPr="008D0AEE">
        <w:rPr>
          <w:lang w:val="fr-FR"/>
        </w:rPr>
        <w:t>.</w:t>
      </w:r>
    </w:p>
    <w:p w:rsidR="00B627DC" w:rsidRPr="008D0AEE" w:rsidRDefault="00B627DC" w:rsidP="000120AA">
      <w:pPr>
        <w:pStyle w:val="HChG"/>
        <w:spacing w:before="320"/>
        <w:rPr>
          <w:lang w:val="fr-FR"/>
        </w:rPr>
      </w:pPr>
      <w:r w:rsidRPr="008D0AEE">
        <w:rPr>
          <w:lang w:val="fr-FR"/>
        </w:rPr>
        <w:tab/>
        <w:t>V.</w:t>
      </w:r>
      <w:r w:rsidRPr="008D0AEE">
        <w:rPr>
          <w:lang w:val="fr-FR"/>
        </w:rPr>
        <w:tab/>
      </w:r>
      <w:r w:rsidRPr="003E6CD1">
        <w:rPr>
          <w:lang w:val="fr-FR"/>
        </w:rPr>
        <w:t>Mise en œuvre du SGH (point 4 de l</w:t>
      </w:r>
      <w:r>
        <w:rPr>
          <w:lang w:val="fr-FR"/>
        </w:rPr>
        <w:t>’</w:t>
      </w:r>
      <w:r w:rsidRPr="003E6CD1">
        <w:rPr>
          <w:lang w:val="fr-FR"/>
        </w:rPr>
        <w:t>ordre du jour</w:t>
      </w:r>
      <w:r w:rsidRPr="008D0AEE">
        <w:rPr>
          <w:lang w:val="fr-FR"/>
        </w:rPr>
        <w:t>)</w:t>
      </w:r>
    </w:p>
    <w:p w:rsidR="00B627DC" w:rsidRPr="008D0AEE" w:rsidRDefault="00B627DC" w:rsidP="000120AA">
      <w:pPr>
        <w:pStyle w:val="H1G"/>
        <w:spacing w:before="320"/>
        <w:rPr>
          <w:lang w:val="fr-FR"/>
        </w:rPr>
      </w:pPr>
      <w:r w:rsidRPr="008D0AEE">
        <w:rPr>
          <w:lang w:val="fr-FR"/>
        </w:rPr>
        <w:tab/>
        <w:t>A.</w:t>
      </w:r>
      <w:r w:rsidRPr="008D0AEE">
        <w:rPr>
          <w:lang w:val="fr-FR"/>
        </w:rPr>
        <w:tab/>
      </w:r>
      <w:r w:rsidRPr="003E6CD1">
        <w:rPr>
          <w:lang w:val="fr-FR"/>
        </w:rPr>
        <w:t>Élaboration d</w:t>
      </w:r>
      <w:r>
        <w:rPr>
          <w:lang w:val="fr-FR"/>
        </w:rPr>
        <w:t>’</w:t>
      </w:r>
      <w:r w:rsidRPr="003E6CD1">
        <w:rPr>
          <w:lang w:val="fr-FR"/>
        </w:rPr>
        <w:t xml:space="preserve">une liste de produits chimiques classés </w:t>
      </w:r>
      <w:r w:rsidR="000120AA">
        <w:rPr>
          <w:lang w:val="fr-FR"/>
        </w:rPr>
        <w:br/>
      </w:r>
      <w:r w:rsidRPr="003E6CD1">
        <w:rPr>
          <w:lang w:val="fr-FR"/>
        </w:rPr>
        <w:t>conformément au SGH</w:t>
      </w:r>
    </w:p>
    <w:p w:rsidR="00B627DC" w:rsidRPr="008D0AEE" w:rsidRDefault="00B627DC" w:rsidP="000120AA">
      <w:pPr>
        <w:pStyle w:val="SingleTxtG"/>
        <w:tabs>
          <w:tab w:val="left" w:pos="3119"/>
        </w:tabs>
        <w:spacing w:after="100"/>
        <w:ind w:left="3119" w:hanging="1985"/>
        <w:jc w:val="left"/>
        <w:rPr>
          <w:lang w:val="fr-FR"/>
        </w:rPr>
      </w:pPr>
      <w:r w:rsidRPr="008D0AEE">
        <w:rPr>
          <w:i/>
          <w:lang w:val="fr-FR"/>
        </w:rPr>
        <w:t>Document</w:t>
      </w:r>
      <w:r w:rsidR="00E65EE2" w:rsidRPr="00E65EE2">
        <w:rPr>
          <w:lang w:val="fr-FR"/>
        </w:rPr>
        <w:t> :</w:t>
      </w:r>
      <w:r w:rsidR="000120AA">
        <w:rPr>
          <w:lang w:val="fr-FR"/>
        </w:rPr>
        <w:t xml:space="preserve"> </w:t>
      </w:r>
      <w:r w:rsidR="000120AA">
        <w:rPr>
          <w:lang w:val="fr-FR"/>
        </w:rPr>
        <w:tab/>
      </w:r>
      <w:r w:rsidRPr="008D0AEE">
        <w:rPr>
          <w:lang w:val="fr-FR"/>
        </w:rPr>
        <w:t>ST/SG/AC.10/C.4/2017/4 (</w:t>
      </w:r>
      <w:r>
        <w:rPr>
          <w:lang w:val="fr-FR"/>
        </w:rPr>
        <w:t>É</w:t>
      </w:r>
      <w:r w:rsidRPr="008D0AEE">
        <w:rPr>
          <w:lang w:val="fr-FR"/>
        </w:rPr>
        <w:t>tat</w:t>
      </w:r>
      <w:r>
        <w:rPr>
          <w:lang w:val="fr-FR"/>
        </w:rPr>
        <w:t>s-Unis d’</w:t>
      </w:r>
      <w:r w:rsidRPr="008D0AEE">
        <w:rPr>
          <w:lang w:val="fr-FR"/>
        </w:rPr>
        <w:t>Am</w:t>
      </w:r>
      <w:r>
        <w:rPr>
          <w:lang w:val="fr-FR"/>
        </w:rPr>
        <w:t>érique</w:t>
      </w:r>
      <w:r w:rsidRPr="008D0AEE">
        <w:rPr>
          <w:lang w:val="fr-FR"/>
        </w:rPr>
        <w:t>)</w:t>
      </w:r>
      <w:r w:rsidR="000120AA">
        <w:rPr>
          <w:lang w:val="fr-FR"/>
        </w:rPr>
        <w:t>.</w:t>
      </w:r>
    </w:p>
    <w:p w:rsidR="00B627DC" w:rsidRPr="008D0AEE" w:rsidRDefault="00B627DC" w:rsidP="000120AA">
      <w:pPr>
        <w:pStyle w:val="SingleTxtG"/>
        <w:tabs>
          <w:tab w:val="left" w:pos="3119"/>
        </w:tabs>
        <w:spacing w:after="100"/>
        <w:ind w:left="3119" w:hanging="1985"/>
        <w:jc w:val="left"/>
        <w:rPr>
          <w:lang w:val="fr-FR"/>
        </w:rPr>
      </w:pPr>
      <w:r w:rsidRPr="008D0AEE">
        <w:rPr>
          <w:i/>
          <w:lang w:val="fr-FR"/>
        </w:rPr>
        <w:t>Document informel</w:t>
      </w:r>
      <w:r w:rsidR="00041630">
        <w:rPr>
          <w:lang w:val="fr-FR"/>
        </w:rPr>
        <w:t> :</w:t>
      </w:r>
      <w:r w:rsidR="000120AA">
        <w:rPr>
          <w:lang w:val="fr-FR"/>
        </w:rPr>
        <w:t xml:space="preserve"> </w:t>
      </w:r>
      <w:r w:rsidR="000120AA">
        <w:rPr>
          <w:lang w:val="fr-FR"/>
        </w:rPr>
        <w:tab/>
      </w:r>
      <w:r w:rsidRPr="008D0AEE">
        <w:rPr>
          <w:lang w:val="fr-FR"/>
        </w:rPr>
        <w:t>INF.22 (</w:t>
      </w:r>
      <w:r w:rsidRPr="002A1BC1">
        <w:rPr>
          <w:lang w:val="fr-FR"/>
        </w:rPr>
        <w:t>États-Unis d</w:t>
      </w:r>
      <w:r>
        <w:rPr>
          <w:lang w:val="fr-FR"/>
        </w:rPr>
        <w:t>’</w:t>
      </w:r>
      <w:r w:rsidRPr="002A1BC1">
        <w:rPr>
          <w:lang w:val="fr-FR"/>
        </w:rPr>
        <w:t>Amérique</w:t>
      </w:r>
      <w:r w:rsidRPr="008D0AEE">
        <w:rPr>
          <w:lang w:val="fr-FR"/>
        </w:rPr>
        <w:t>)</w:t>
      </w:r>
      <w:r w:rsidR="000120AA">
        <w:rPr>
          <w:lang w:val="fr-FR"/>
        </w:rPr>
        <w:t>.</w:t>
      </w:r>
    </w:p>
    <w:p w:rsidR="00B627DC" w:rsidRPr="008D0AEE" w:rsidRDefault="00B627DC" w:rsidP="00B627DC">
      <w:pPr>
        <w:pStyle w:val="SingleTxtG"/>
        <w:rPr>
          <w:rStyle w:val="SingleTxtGChar"/>
          <w:lang w:val="fr-FR"/>
        </w:rPr>
      </w:pPr>
      <w:r w:rsidRPr="008D0AEE">
        <w:rPr>
          <w:rStyle w:val="SingleTxtGChar"/>
          <w:lang w:val="fr-FR"/>
        </w:rPr>
        <w:t>52.</w:t>
      </w:r>
      <w:r w:rsidRPr="008D0AEE">
        <w:rPr>
          <w:rStyle w:val="SingleTxtGChar"/>
          <w:lang w:val="fr-FR"/>
        </w:rPr>
        <w:tab/>
      </w:r>
      <w:r w:rsidRPr="002A1BC1">
        <w:rPr>
          <w:rStyle w:val="SingleTxtGChar"/>
          <w:lang w:val="fr-FR"/>
        </w:rPr>
        <w:t>La majorité des experts et des représentants de l</w:t>
      </w:r>
      <w:r>
        <w:rPr>
          <w:rStyle w:val="SingleTxtGChar"/>
          <w:lang w:val="fr-FR"/>
        </w:rPr>
        <w:t>’</w:t>
      </w:r>
      <w:r w:rsidRPr="002A1BC1">
        <w:rPr>
          <w:rStyle w:val="SingleTxtGChar"/>
          <w:lang w:val="fr-FR"/>
        </w:rPr>
        <w:t>industrie qui ont pris la parole se sont prononcés en faveur du principe d</w:t>
      </w:r>
      <w:r>
        <w:rPr>
          <w:rStyle w:val="SingleTxtGChar"/>
          <w:lang w:val="fr-FR"/>
        </w:rPr>
        <w:t>’</w:t>
      </w:r>
      <w:r w:rsidRPr="002A1BC1">
        <w:rPr>
          <w:rStyle w:val="SingleTxtGChar"/>
          <w:lang w:val="fr-FR"/>
        </w:rPr>
        <w:t xml:space="preserve">une liste non contraignante de produits chimiques classés conformément au SGH sous les auspices du Sous-Comité. Certains ont contesté la capacité, </w:t>
      </w:r>
      <w:r>
        <w:rPr>
          <w:rStyle w:val="SingleTxtGChar"/>
          <w:lang w:val="fr-FR"/>
        </w:rPr>
        <w:t>les compétences</w:t>
      </w:r>
      <w:r w:rsidRPr="002A1BC1">
        <w:rPr>
          <w:rStyle w:val="SingleTxtGChar"/>
          <w:lang w:val="fr-FR"/>
        </w:rPr>
        <w:t xml:space="preserve"> et les ressources du Sous-Comité, par rapport à celles dont dispos</w:t>
      </w:r>
      <w:r>
        <w:rPr>
          <w:rStyle w:val="SingleTxtGChar"/>
          <w:lang w:val="fr-FR"/>
        </w:rPr>
        <w:t>ai</w:t>
      </w:r>
      <w:r w:rsidRPr="002A1BC1">
        <w:rPr>
          <w:rStyle w:val="SingleTxtGChar"/>
          <w:lang w:val="fr-FR"/>
        </w:rPr>
        <w:t>ent d</w:t>
      </w:r>
      <w:r>
        <w:rPr>
          <w:rStyle w:val="SingleTxtGChar"/>
          <w:lang w:val="fr-FR"/>
        </w:rPr>
        <w:t>’</w:t>
      </w:r>
      <w:r w:rsidRPr="002A1BC1">
        <w:rPr>
          <w:rStyle w:val="SingleTxtGChar"/>
          <w:lang w:val="fr-FR"/>
        </w:rPr>
        <w:t>autres organes, pour effectuer</w:t>
      </w:r>
      <w:r w:rsidRPr="0096200F">
        <w:rPr>
          <w:rStyle w:val="SingleTxtGChar"/>
          <w:lang w:val="fr-FR"/>
        </w:rPr>
        <w:t xml:space="preserve"> </w:t>
      </w:r>
      <w:r w:rsidRPr="002A1BC1">
        <w:rPr>
          <w:rStyle w:val="SingleTxtGChar"/>
          <w:lang w:val="fr-FR"/>
        </w:rPr>
        <w:t xml:space="preserve">les classifications et </w:t>
      </w:r>
      <w:r>
        <w:rPr>
          <w:rStyle w:val="SingleTxtGChar"/>
          <w:lang w:val="fr-FR"/>
        </w:rPr>
        <w:t>les tenir</w:t>
      </w:r>
      <w:r w:rsidRPr="002A1BC1">
        <w:rPr>
          <w:rStyle w:val="SingleTxtGChar"/>
          <w:lang w:val="fr-FR"/>
        </w:rPr>
        <w:t xml:space="preserve"> à jour. Toutefois, plusieurs experts ont estimé que, compte tenu de l</w:t>
      </w:r>
      <w:r>
        <w:rPr>
          <w:rStyle w:val="SingleTxtGChar"/>
          <w:lang w:val="fr-FR"/>
        </w:rPr>
        <w:t>’</w:t>
      </w:r>
      <w:r w:rsidRPr="002A1BC1">
        <w:rPr>
          <w:rStyle w:val="SingleTxtGChar"/>
          <w:lang w:val="fr-FR"/>
        </w:rPr>
        <w:t>ampleur des compétences et des ressources déjà investies dans l</w:t>
      </w:r>
      <w:r>
        <w:rPr>
          <w:rStyle w:val="SingleTxtGChar"/>
          <w:lang w:val="fr-FR"/>
        </w:rPr>
        <w:t>’</w:t>
      </w:r>
      <w:r w:rsidRPr="002A1BC1">
        <w:rPr>
          <w:rStyle w:val="SingleTxtGChar"/>
          <w:lang w:val="fr-FR"/>
        </w:rPr>
        <w:t>élaboration de listes aux niveaux national et régional, il semblait possible de tirer parti des ressources, des données et des compétences existantes</w:t>
      </w:r>
      <w:r>
        <w:rPr>
          <w:rStyle w:val="SingleTxtGChar"/>
          <w:lang w:val="fr-FR"/>
        </w:rPr>
        <w:t>,</w:t>
      </w:r>
      <w:r w:rsidRPr="002A1BC1">
        <w:rPr>
          <w:rStyle w:val="SingleTxtGChar"/>
          <w:lang w:val="fr-FR"/>
        </w:rPr>
        <w:t xml:space="preserve"> </w:t>
      </w:r>
      <w:r>
        <w:rPr>
          <w:rStyle w:val="SingleTxtGChar"/>
          <w:lang w:val="fr-FR"/>
        </w:rPr>
        <w:t>notamment l</w:t>
      </w:r>
      <w:r w:rsidR="009E618A">
        <w:rPr>
          <w:rStyle w:val="SingleTxtGChar"/>
          <w:lang w:val="fr-FR"/>
        </w:rPr>
        <w:t>es bases de données et plate</w:t>
      </w:r>
      <w:r w:rsidRPr="002A1BC1">
        <w:rPr>
          <w:rStyle w:val="SingleTxtGChar"/>
          <w:lang w:val="fr-FR"/>
        </w:rPr>
        <w:t xml:space="preserve">formes existantes </w:t>
      </w:r>
      <w:r>
        <w:rPr>
          <w:rStyle w:val="SingleTxtGChar"/>
          <w:lang w:val="fr-FR"/>
        </w:rPr>
        <w:t>(</w:t>
      </w:r>
      <w:r w:rsidRPr="002A1BC1">
        <w:rPr>
          <w:rStyle w:val="SingleTxtGChar"/>
          <w:lang w:val="fr-FR"/>
        </w:rPr>
        <w:t>portail eCHEM de l</w:t>
      </w:r>
      <w:r>
        <w:rPr>
          <w:rStyle w:val="SingleTxtGChar"/>
          <w:lang w:val="fr-FR"/>
        </w:rPr>
        <w:t>’</w:t>
      </w:r>
      <w:r w:rsidRPr="002A1BC1">
        <w:rPr>
          <w:rStyle w:val="SingleTxtGChar"/>
          <w:lang w:val="fr-FR"/>
        </w:rPr>
        <w:t>OCDE, fiches de l</w:t>
      </w:r>
      <w:r>
        <w:rPr>
          <w:rStyle w:val="SingleTxtGChar"/>
          <w:lang w:val="fr-FR"/>
        </w:rPr>
        <w:t>’</w:t>
      </w:r>
      <w:r w:rsidRPr="002A1BC1">
        <w:rPr>
          <w:rStyle w:val="SingleTxtGChar"/>
          <w:lang w:val="fr-FR"/>
        </w:rPr>
        <w:t>OMS et l</w:t>
      </w:r>
      <w:r>
        <w:rPr>
          <w:rStyle w:val="SingleTxtGChar"/>
          <w:lang w:val="fr-FR"/>
        </w:rPr>
        <w:t>’</w:t>
      </w:r>
      <w:r w:rsidRPr="002A1BC1">
        <w:rPr>
          <w:rStyle w:val="SingleTxtGChar"/>
          <w:lang w:val="fr-FR"/>
        </w:rPr>
        <w:t xml:space="preserve">OIT sur la sécurité chimique, bases de données et travaux de classification nationaux ou régionaux en cours, liste des marchandises dangereuses figurant dans le Règlement type sur le transport </w:t>
      </w:r>
      <w:r w:rsidRPr="002A1BC1">
        <w:rPr>
          <w:rStyle w:val="SingleTxtGChar"/>
          <w:lang w:val="fr-FR"/>
        </w:rPr>
        <w:lastRenderedPageBreak/>
        <w:t>des marchandises dangereuses</w:t>
      </w:r>
      <w:r>
        <w:rPr>
          <w:rStyle w:val="SingleTxtGChar"/>
          <w:lang w:val="fr-FR"/>
        </w:rPr>
        <w:t>, etc.).</w:t>
      </w:r>
      <w:r w:rsidRPr="002A1BC1">
        <w:rPr>
          <w:rStyle w:val="SingleTxtGChar"/>
          <w:lang w:val="fr-FR"/>
        </w:rPr>
        <w:t xml:space="preserve"> Ils </w:t>
      </w:r>
      <w:r>
        <w:rPr>
          <w:rStyle w:val="SingleTxtGChar"/>
          <w:lang w:val="fr-FR"/>
        </w:rPr>
        <w:t xml:space="preserve">ont aussi </w:t>
      </w:r>
      <w:r w:rsidRPr="002A1BC1">
        <w:rPr>
          <w:rStyle w:val="SingleTxtGChar"/>
          <w:lang w:val="fr-FR"/>
        </w:rPr>
        <w:t>estim</w:t>
      </w:r>
      <w:r>
        <w:rPr>
          <w:rStyle w:val="SingleTxtGChar"/>
          <w:lang w:val="fr-FR"/>
        </w:rPr>
        <w:t>é</w:t>
      </w:r>
      <w:r w:rsidRPr="002A1BC1">
        <w:rPr>
          <w:rStyle w:val="SingleTxtGChar"/>
          <w:lang w:val="fr-FR"/>
        </w:rPr>
        <w:t xml:space="preserve"> que l</w:t>
      </w:r>
      <w:r>
        <w:rPr>
          <w:rStyle w:val="SingleTxtGChar"/>
          <w:lang w:val="fr-FR"/>
        </w:rPr>
        <w:t>’</w:t>
      </w:r>
      <w:r w:rsidRPr="002A1BC1">
        <w:rPr>
          <w:rStyle w:val="SingleTxtGChar"/>
          <w:lang w:val="fr-FR"/>
        </w:rPr>
        <w:t>élaboration d</w:t>
      </w:r>
      <w:r>
        <w:rPr>
          <w:rStyle w:val="SingleTxtGChar"/>
          <w:lang w:val="fr-FR"/>
        </w:rPr>
        <w:t>’</w:t>
      </w:r>
      <w:r w:rsidRPr="002A1BC1">
        <w:rPr>
          <w:rStyle w:val="SingleTxtGChar"/>
          <w:lang w:val="fr-FR"/>
        </w:rPr>
        <w:t>une</w:t>
      </w:r>
      <w:r>
        <w:rPr>
          <w:rStyle w:val="SingleTxtGChar"/>
          <w:lang w:val="fr-FR"/>
        </w:rPr>
        <w:t xml:space="preserve"> telle</w:t>
      </w:r>
      <w:r w:rsidRPr="002A1BC1">
        <w:rPr>
          <w:rStyle w:val="SingleTxtGChar"/>
          <w:lang w:val="fr-FR"/>
        </w:rPr>
        <w:t xml:space="preserve"> liste pourrait leur donner l</w:t>
      </w:r>
      <w:r>
        <w:rPr>
          <w:rStyle w:val="SingleTxtGChar"/>
          <w:lang w:val="fr-FR"/>
        </w:rPr>
        <w:t>’</w:t>
      </w:r>
      <w:r w:rsidRPr="002A1BC1">
        <w:rPr>
          <w:rStyle w:val="SingleTxtGChar"/>
          <w:lang w:val="fr-FR"/>
        </w:rPr>
        <w:t xml:space="preserve">occasion de </w:t>
      </w:r>
      <w:r>
        <w:rPr>
          <w:rStyle w:val="SingleTxtGChar"/>
          <w:lang w:val="fr-FR"/>
        </w:rPr>
        <w:t>déceler</w:t>
      </w:r>
      <w:r w:rsidRPr="002A1BC1">
        <w:rPr>
          <w:rStyle w:val="SingleTxtGChar"/>
          <w:lang w:val="fr-FR"/>
        </w:rPr>
        <w:t xml:space="preserve"> et de </w:t>
      </w:r>
      <w:r>
        <w:rPr>
          <w:rStyle w:val="SingleTxtGChar"/>
          <w:lang w:val="fr-FR"/>
        </w:rPr>
        <w:t>régler</w:t>
      </w:r>
      <w:r w:rsidRPr="002A1BC1">
        <w:rPr>
          <w:rStyle w:val="SingleTxtGChar"/>
          <w:lang w:val="fr-FR"/>
        </w:rPr>
        <w:t xml:space="preserve"> </w:t>
      </w:r>
      <w:r>
        <w:rPr>
          <w:rStyle w:val="SingleTxtGChar"/>
          <w:lang w:val="fr-FR"/>
        </w:rPr>
        <w:t>certaines</w:t>
      </w:r>
      <w:r w:rsidRPr="002A1BC1">
        <w:rPr>
          <w:rStyle w:val="SingleTxtGChar"/>
          <w:lang w:val="fr-FR"/>
        </w:rPr>
        <w:t xml:space="preserve"> difficultés </w:t>
      </w:r>
      <w:r>
        <w:rPr>
          <w:rStyle w:val="SingleTxtGChar"/>
          <w:lang w:val="fr-FR"/>
        </w:rPr>
        <w:t>d’</w:t>
      </w:r>
      <w:r w:rsidRPr="002A1BC1">
        <w:rPr>
          <w:rStyle w:val="SingleTxtGChar"/>
          <w:lang w:val="fr-FR"/>
        </w:rPr>
        <w:t>application des critères de classification du SGH</w:t>
      </w:r>
      <w:r w:rsidRPr="008D0AEE">
        <w:rPr>
          <w:rStyle w:val="SingleTxtGChar"/>
          <w:lang w:val="fr-FR"/>
        </w:rPr>
        <w:t xml:space="preserve">. </w:t>
      </w:r>
    </w:p>
    <w:p w:rsidR="00B627DC" w:rsidRPr="008D0AEE" w:rsidRDefault="00B627DC" w:rsidP="00B627DC">
      <w:pPr>
        <w:pStyle w:val="SingleTxtG"/>
        <w:rPr>
          <w:rStyle w:val="SingleTxtGChar"/>
          <w:lang w:val="fr-FR"/>
        </w:rPr>
      </w:pPr>
      <w:r w:rsidRPr="008D0AEE">
        <w:rPr>
          <w:rStyle w:val="SingleTxtGChar"/>
          <w:lang w:val="fr-FR"/>
        </w:rPr>
        <w:t>53.</w:t>
      </w:r>
      <w:r w:rsidRPr="008D0AEE">
        <w:rPr>
          <w:rStyle w:val="SingleTxtGChar"/>
          <w:lang w:val="fr-FR"/>
        </w:rPr>
        <w:tab/>
      </w:r>
      <w:r w:rsidRPr="00BB0C1A">
        <w:rPr>
          <w:rStyle w:val="SingleTxtGChar"/>
          <w:lang w:val="fr-FR"/>
        </w:rPr>
        <w:t>Certains ont suggéré que les travaux pourraient commencer par la détermination des substances pour lesquelles des problèmes spécifiques avaient déjà été signalés par les autorités compétentes ou les industriels. D</w:t>
      </w:r>
      <w:r>
        <w:rPr>
          <w:rStyle w:val="SingleTxtGChar"/>
          <w:lang w:val="fr-FR"/>
        </w:rPr>
        <w:t>’</w:t>
      </w:r>
      <w:r w:rsidRPr="00BB0C1A">
        <w:rPr>
          <w:rStyle w:val="SingleTxtGChar"/>
          <w:lang w:val="fr-FR"/>
        </w:rPr>
        <w:t>autres ont estimé qu</w:t>
      </w:r>
      <w:r>
        <w:rPr>
          <w:rStyle w:val="SingleTxtGChar"/>
          <w:lang w:val="fr-FR"/>
        </w:rPr>
        <w:t>’</w:t>
      </w:r>
      <w:r w:rsidRPr="00BB0C1A">
        <w:rPr>
          <w:rStyle w:val="SingleTxtGChar"/>
          <w:lang w:val="fr-FR"/>
        </w:rPr>
        <w:t xml:space="preserve">il serait préférable de commencer à dresser une liste des substances pour lesquelles les classifications </w:t>
      </w:r>
      <w:r>
        <w:rPr>
          <w:rStyle w:val="SingleTxtGChar"/>
          <w:lang w:val="fr-FR"/>
        </w:rPr>
        <w:t>étaient</w:t>
      </w:r>
      <w:r w:rsidRPr="00BB0C1A">
        <w:rPr>
          <w:rStyle w:val="SingleTxtGChar"/>
          <w:lang w:val="fr-FR"/>
        </w:rPr>
        <w:t xml:space="preserve"> harmonisées. D</w:t>
      </w:r>
      <w:r>
        <w:rPr>
          <w:rStyle w:val="SingleTxtGChar"/>
          <w:lang w:val="fr-FR"/>
        </w:rPr>
        <w:t>’</w:t>
      </w:r>
      <w:r w:rsidRPr="00BB0C1A">
        <w:rPr>
          <w:rStyle w:val="SingleTxtGChar"/>
          <w:lang w:val="fr-FR"/>
        </w:rPr>
        <w:t>autres ont estimé qu</w:t>
      </w:r>
      <w:r>
        <w:rPr>
          <w:rStyle w:val="SingleTxtGChar"/>
          <w:lang w:val="fr-FR"/>
        </w:rPr>
        <w:t>’</w:t>
      </w:r>
      <w:r w:rsidRPr="00BB0C1A">
        <w:rPr>
          <w:rStyle w:val="SingleTxtGChar"/>
          <w:lang w:val="fr-FR"/>
        </w:rPr>
        <w:t>il ne fallait pas aborder la question de la classification des substances controversées et se sont dits préoccupés par la manière de résoudre les conflits entre les résultats des classifications dans les listes juridiquement contraignantes existantes</w:t>
      </w:r>
      <w:r w:rsidRPr="008D0AEE">
        <w:rPr>
          <w:rStyle w:val="SingleTxtGChar"/>
          <w:lang w:val="fr-FR"/>
        </w:rPr>
        <w:t>.</w:t>
      </w:r>
    </w:p>
    <w:p w:rsidR="00B627DC" w:rsidRPr="008D0AEE" w:rsidRDefault="00B627DC" w:rsidP="00B627DC">
      <w:pPr>
        <w:pStyle w:val="SingleTxtG"/>
        <w:rPr>
          <w:rStyle w:val="SingleTxtGChar"/>
          <w:lang w:val="fr-FR"/>
        </w:rPr>
      </w:pPr>
      <w:r w:rsidRPr="008D0AEE">
        <w:rPr>
          <w:rStyle w:val="SingleTxtGChar"/>
          <w:lang w:val="fr-FR"/>
        </w:rPr>
        <w:t>54.</w:t>
      </w:r>
      <w:r w:rsidRPr="008D0AEE">
        <w:rPr>
          <w:rStyle w:val="SingleTxtGChar"/>
          <w:lang w:val="fr-FR"/>
        </w:rPr>
        <w:tab/>
      </w:r>
      <w:r w:rsidRPr="00BB0C1A">
        <w:rPr>
          <w:rStyle w:val="SingleTxtGChar"/>
          <w:lang w:val="fr-FR"/>
        </w:rPr>
        <w:t>À l</w:t>
      </w:r>
      <w:r>
        <w:rPr>
          <w:rStyle w:val="SingleTxtGChar"/>
          <w:lang w:val="fr-FR"/>
        </w:rPr>
        <w:t>’</w:t>
      </w:r>
      <w:r w:rsidRPr="00BB0C1A">
        <w:rPr>
          <w:rStyle w:val="SingleTxtGChar"/>
          <w:lang w:val="fr-FR"/>
        </w:rPr>
        <w:t>issue d</w:t>
      </w:r>
      <w:r>
        <w:rPr>
          <w:rStyle w:val="SingleTxtGChar"/>
          <w:lang w:val="fr-FR"/>
        </w:rPr>
        <w:t>’</w:t>
      </w:r>
      <w:r w:rsidRPr="00BB0C1A">
        <w:rPr>
          <w:rStyle w:val="SingleTxtGChar"/>
          <w:lang w:val="fr-FR"/>
        </w:rPr>
        <w:t xml:space="preserve">un débat, le Sous-Comité a invité le groupe de travail informel à tenir compte des observations formulées et à examiner certaines suggestions et idées </w:t>
      </w:r>
      <w:r>
        <w:rPr>
          <w:rStyle w:val="SingleTxtGChar"/>
          <w:lang w:val="fr-FR"/>
        </w:rPr>
        <w:t>concernant</w:t>
      </w:r>
      <w:r w:rsidRPr="00BB0C1A">
        <w:rPr>
          <w:rStyle w:val="SingleTxtGChar"/>
          <w:lang w:val="fr-FR"/>
        </w:rPr>
        <w:t xml:space="preserve"> la poursui</w:t>
      </w:r>
      <w:r>
        <w:rPr>
          <w:rStyle w:val="SingleTxtGChar"/>
          <w:lang w:val="fr-FR"/>
        </w:rPr>
        <w:t>te d</w:t>
      </w:r>
      <w:r w:rsidRPr="00BB0C1A">
        <w:rPr>
          <w:rStyle w:val="SingleTxtGChar"/>
          <w:lang w:val="fr-FR"/>
        </w:rPr>
        <w:t>es travaux</w:t>
      </w:r>
      <w:r w:rsidRPr="008D0AEE">
        <w:rPr>
          <w:rStyle w:val="SingleTxtGChar"/>
          <w:lang w:val="fr-FR"/>
        </w:rPr>
        <w:t xml:space="preserve">. </w:t>
      </w:r>
    </w:p>
    <w:p w:rsidR="00B627DC" w:rsidRPr="008D0AEE" w:rsidRDefault="00B627DC" w:rsidP="00183001">
      <w:pPr>
        <w:pStyle w:val="H1G"/>
        <w:rPr>
          <w:lang w:val="fr-FR"/>
        </w:rPr>
      </w:pPr>
      <w:r w:rsidRPr="008D0AEE">
        <w:rPr>
          <w:lang w:val="fr-FR"/>
        </w:rPr>
        <w:tab/>
        <w:t>B.</w:t>
      </w:r>
      <w:r w:rsidRPr="008D0AEE">
        <w:rPr>
          <w:lang w:val="fr-FR"/>
        </w:rPr>
        <w:tab/>
      </w:r>
      <w:r w:rsidRPr="003E6CD1">
        <w:rPr>
          <w:lang w:val="fr-FR"/>
        </w:rPr>
        <w:t>Rapports relatifs à l</w:t>
      </w:r>
      <w:r>
        <w:rPr>
          <w:lang w:val="fr-FR"/>
        </w:rPr>
        <w:t>’</w:t>
      </w:r>
      <w:r w:rsidRPr="003E6CD1">
        <w:rPr>
          <w:lang w:val="fr-FR"/>
        </w:rPr>
        <w:t>état de la mise en œuvre</w:t>
      </w:r>
    </w:p>
    <w:p w:rsidR="00B627DC" w:rsidRPr="008D0AEE" w:rsidRDefault="00B627DC" w:rsidP="00183001">
      <w:pPr>
        <w:pStyle w:val="H23G"/>
        <w:rPr>
          <w:lang w:val="fr-FR"/>
        </w:rPr>
      </w:pPr>
      <w:r w:rsidRPr="008D0AEE">
        <w:rPr>
          <w:lang w:val="fr-FR"/>
        </w:rPr>
        <w:tab/>
        <w:t>1.</w:t>
      </w:r>
      <w:r w:rsidRPr="008D0AEE">
        <w:rPr>
          <w:lang w:val="fr-FR"/>
        </w:rPr>
        <w:tab/>
        <w:t>SGH</w:t>
      </w:r>
      <w:r w:rsidR="00041630">
        <w:rPr>
          <w:lang w:val="fr-FR"/>
        </w:rPr>
        <w:t> :</w:t>
      </w:r>
      <w:r w:rsidRPr="003E6CD1">
        <w:rPr>
          <w:lang w:val="fr-FR"/>
        </w:rPr>
        <w:t xml:space="preserve"> </w:t>
      </w:r>
      <w:r w:rsidRPr="008D0AEE">
        <w:rPr>
          <w:lang w:val="fr-FR"/>
        </w:rPr>
        <w:t xml:space="preserve">expliquer les lacunes de </w:t>
      </w:r>
      <w:r w:rsidRPr="003E6CD1">
        <w:rPr>
          <w:lang w:val="fr-FR"/>
        </w:rPr>
        <w:t>la mise en œuvre</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041630">
        <w:rPr>
          <w:lang w:val="fr-FR"/>
        </w:rPr>
        <w:t> :</w:t>
      </w:r>
      <w:r w:rsidR="00183001">
        <w:rPr>
          <w:lang w:val="fr-FR"/>
        </w:rPr>
        <w:t xml:space="preserve"> </w:t>
      </w:r>
      <w:r w:rsidR="00183001">
        <w:rPr>
          <w:lang w:val="fr-FR"/>
        </w:rPr>
        <w:tab/>
      </w:r>
      <w:r w:rsidRPr="008D0AEE">
        <w:rPr>
          <w:lang w:val="fr-FR"/>
        </w:rPr>
        <w:t>INF.17 (S</w:t>
      </w:r>
      <w:r>
        <w:rPr>
          <w:lang w:val="fr-FR"/>
        </w:rPr>
        <w:t>uè</w:t>
      </w:r>
      <w:r w:rsidRPr="008D0AEE">
        <w:rPr>
          <w:lang w:val="fr-FR"/>
        </w:rPr>
        <w:t>de)</w:t>
      </w:r>
      <w:r w:rsidR="00183001">
        <w:rPr>
          <w:lang w:val="fr-FR"/>
        </w:rPr>
        <w:t>.</w:t>
      </w:r>
    </w:p>
    <w:p w:rsidR="00B627DC" w:rsidRPr="008D0AEE" w:rsidRDefault="00B627DC" w:rsidP="00B627DC">
      <w:pPr>
        <w:pStyle w:val="SingleTxtG"/>
        <w:rPr>
          <w:lang w:val="fr-FR"/>
        </w:rPr>
      </w:pPr>
      <w:r w:rsidRPr="008D0AEE">
        <w:rPr>
          <w:lang w:val="fr-FR"/>
        </w:rPr>
        <w:t>55.</w:t>
      </w:r>
      <w:r w:rsidRPr="008D0AEE">
        <w:rPr>
          <w:lang w:val="fr-FR"/>
        </w:rPr>
        <w:tab/>
      </w:r>
      <w:r w:rsidRPr="005C7AAD">
        <w:rPr>
          <w:lang w:val="fr-FR"/>
        </w:rPr>
        <w:t>Le Sous-Comité s</w:t>
      </w:r>
      <w:r>
        <w:rPr>
          <w:lang w:val="fr-FR"/>
        </w:rPr>
        <w:t>’</w:t>
      </w:r>
      <w:r w:rsidRPr="005C7AAD">
        <w:rPr>
          <w:lang w:val="fr-FR"/>
        </w:rPr>
        <w:t>est félicité des résultats de l</w:t>
      </w:r>
      <w:r>
        <w:rPr>
          <w:lang w:val="fr-FR"/>
        </w:rPr>
        <w:t>’</w:t>
      </w:r>
      <w:r w:rsidRPr="005C7AAD">
        <w:rPr>
          <w:lang w:val="fr-FR"/>
        </w:rPr>
        <w:t xml:space="preserve">étude et a noté que, même si les pays semblaient largement favorables au renforcement de la collaboration internationale pour parvenir à une gestion rationnelle des produits chimiques, plusieurs </w:t>
      </w:r>
      <w:r>
        <w:rPr>
          <w:lang w:val="fr-FR"/>
        </w:rPr>
        <w:t>résistances</w:t>
      </w:r>
      <w:r w:rsidRPr="005C7AAD">
        <w:rPr>
          <w:lang w:val="fr-FR"/>
        </w:rPr>
        <w:t xml:space="preserve"> et obstacles à la mise en œuvre du SGH au niveau national persistaient dans certains pays. Il a également noté que, selon l</w:t>
      </w:r>
      <w:r>
        <w:rPr>
          <w:lang w:val="fr-FR"/>
        </w:rPr>
        <w:t>’</w:t>
      </w:r>
      <w:r w:rsidRPr="005C7AAD">
        <w:rPr>
          <w:lang w:val="fr-FR"/>
        </w:rPr>
        <w:t>étude, il sembl</w:t>
      </w:r>
      <w:r>
        <w:rPr>
          <w:lang w:val="fr-FR"/>
        </w:rPr>
        <w:t>ait</w:t>
      </w:r>
      <w:r w:rsidRPr="005C7AAD">
        <w:rPr>
          <w:lang w:val="fr-FR"/>
        </w:rPr>
        <w:t xml:space="preserve"> exister une corrélation claire entre les capacités financières et réglementaires d</w:t>
      </w:r>
      <w:r>
        <w:rPr>
          <w:lang w:val="fr-FR"/>
        </w:rPr>
        <w:t>’</w:t>
      </w:r>
      <w:r w:rsidRPr="005C7AAD">
        <w:rPr>
          <w:lang w:val="fr-FR"/>
        </w:rPr>
        <w:t>un pays et l</w:t>
      </w:r>
      <w:r>
        <w:rPr>
          <w:lang w:val="fr-FR"/>
        </w:rPr>
        <w:t>’</w:t>
      </w:r>
      <w:r w:rsidRPr="005C7AAD">
        <w:rPr>
          <w:lang w:val="fr-FR"/>
        </w:rPr>
        <w:t>état de la mise en œuvre du SGH. La</w:t>
      </w:r>
      <w:r w:rsidR="00183001">
        <w:rPr>
          <w:lang w:val="fr-FR"/>
        </w:rPr>
        <w:t> </w:t>
      </w:r>
      <w:r w:rsidRPr="005C7AAD">
        <w:rPr>
          <w:lang w:val="fr-FR"/>
        </w:rPr>
        <w:t>capacité à formuler et à mettre en place une législation et la disponibilité d</w:t>
      </w:r>
      <w:r>
        <w:rPr>
          <w:lang w:val="fr-FR"/>
        </w:rPr>
        <w:t>’</w:t>
      </w:r>
      <w:r w:rsidRPr="005C7AAD">
        <w:rPr>
          <w:lang w:val="fr-FR"/>
        </w:rPr>
        <w:t xml:space="preserve">un renforcement soutenu des capacités </w:t>
      </w:r>
      <w:r>
        <w:rPr>
          <w:lang w:val="fr-FR"/>
        </w:rPr>
        <w:t>d</w:t>
      </w:r>
      <w:r w:rsidRPr="005C7AAD">
        <w:rPr>
          <w:lang w:val="fr-FR"/>
        </w:rPr>
        <w:t>es législateurs semblaient être des facteurs cl</w:t>
      </w:r>
      <w:r w:rsidR="009E618A">
        <w:rPr>
          <w:lang w:val="fr-FR"/>
        </w:rPr>
        <w:t>ef</w:t>
      </w:r>
      <w:r w:rsidRPr="005C7AAD">
        <w:rPr>
          <w:lang w:val="fr-FR"/>
        </w:rPr>
        <w:t xml:space="preserve">s de </w:t>
      </w:r>
      <w:r>
        <w:rPr>
          <w:lang w:val="fr-FR"/>
        </w:rPr>
        <w:t>cette</w:t>
      </w:r>
      <w:r w:rsidRPr="005C7AAD">
        <w:rPr>
          <w:lang w:val="fr-FR"/>
        </w:rPr>
        <w:t xml:space="preserve"> mise en œuvre</w:t>
      </w:r>
      <w:r w:rsidRPr="008D0AEE">
        <w:rPr>
          <w:lang w:val="fr-FR"/>
        </w:rPr>
        <w:t xml:space="preserve">. </w:t>
      </w:r>
    </w:p>
    <w:p w:rsidR="00B627DC" w:rsidRPr="008D0AEE" w:rsidRDefault="00B627DC" w:rsidP="00183001">
      <w:pPr>
        <w:pStyle w:val="H23G"/>
        <w:rPr>
          <w:lang w:val="fr-FR"/>
        </w:rPr>
      </w:pPr>
      <w:r w:rsidRPr="008D0AEE">
        <w:rPr>
          <w:lang w:val="fr-FR"/>
        </w:rPr>
        <w:tab/>
        <w:t>2.</w:t>
      </w:r>
      <w:r w:rsidRPr="008D0AEE">
        <w:rPr>
          <w:lang w:val="fr-FR"/>
        </w:rPr>
        <w:tab/>
        <w:t>Costa Rica</w:t>
      </w:r>
    </w:p>
    <w:p w:rsidR="00B627DC" w:rsidRPr="008D0AEE" w:rsidRDefault="00B627DC" w:rsidP="00862C48">
      <w:pPr>
        <w:pStyle w:val="SingleTxtG"/>
        <w:tabs>
          <w:tab w:val="left" w:pos="3119"/>
        </w:tabs>
        <w:ind w:left="3119" w:hanging="1985"/>
        <w:jc w:val="left"/>
        <w:rPr>
          <w:i/>
          <w:lang w:val="fr-FR"/>
        </w:rPr>
      </w:pPr>
      <w:r w:rsidRPr="008D0AEE">
        <w:rPr>
          <w:i/>
          <w:lang w:val="fr-FR"/>
        </w:rPr>
        <w:t>Document informel</w:t>
      </w:r>
      <w:r w:rsidR="00E65EE2" w:rsidRPr="00E65EE2">
        <w:rPr>
          <w:lang w:val="fr-FR"/>
        </w:rPr>
        <w:t> :</w:t>
      </w:r>
      <w:r w:rsidRPr="008D0AEE">
        <w:rPr>
          <w:i/>
          <w:lang w:val="fr-FR"/>
        </w:rPr>
        <w:t xml:space="preserve"> </w:t>
      </w:r>
      <w:r w:rsidRPr="008D0AEE">
        <w:rPr>
          <w:i/>
          <w:lang w:val="fr-FR"/>
        </w:rPr>
        <w:tab/>
      </w:r>
      <w:r w:rsidRPr="008D0AEE">
        <w:rPr>
          <w:lang w:val="fr-FR"/>
        </w:rPr>
        <w:t>INF.18 (secrétariat)</w:t>
      </w:r>
      <w:r w:rsidR="00183001">
        <w:rPr>
          <w:i/>
          <w:lang w:val="fr-FR"/>
        </w:rPr>
        <w:t>.</w:t>
      </w:r>
    </w:p>
    <w:p w:rsidR="00B627DC" w:rsidRPr="008D0AEE" w:rsidRDefault="00B627DC" w:rsidP="00B627DC">
      <w:pPr>
        <w:pStyle w:val="SingleTxtG"/>
        <w:rPr>
          <w:lang w:val="fr-FR"/>
        </w:rPr>
      </w:pPr>
      <w:r w:rsidRPr="008D0AEE">
        <w:rPr>
          <w:lang w:val="fr-FR"/>
        </w:rPr>
        <w:t>56.</w:t>
      </w:r>
      <w:r w:rsidRPr="008D0AEE">
        <w:rPr>
          <w:lang w:val="fr-FR"/>
        </w:rPr>
        <w:tab/>
      </w:r>
      <w:r w:rsidRPr="005C7AAD">
        <w:rPr>
          <w:lang w:val="fr-FR"/>
        </w:rPr>
        <w:t>Le Sous-Comité a pris note des informations concernant la publication et l</w:t>
      </w:r>
      <w:r>
        <w:rPr>
          <w:lang w:val="fr-FR"/>
        </w:rPr>
        <w:t>’</w:t>
      </w:r>
      <w:r w:rsidRPr="005C7AAD">
        <w:rPr>
          <w:lang w:val="fr-FR"/>
        </w:rPr>
        <w:t>entrée en vigueur de deux décrets exécutifs et des règlements techniques connexes</w:t>
      </w:r>
      <w:r>
        <w:rPr>
          <w:lang w:val="fr-FR"/>
        </w:rPr>
        <w:t xml:space="preserve"> mettant en œuvre l</w:t>
      </w:r>
      <w:r w:rsidRPr="005C7AAD">
        <w:rPr>
          <w:lang w:val="fr-FR"/>
        </w:rPr>
        <w:t>es dispositions de la sixième édition révisée du SGH au Costa Rica</w:t>
      </w:r>
      <w:r w:rsidRPr="008D0AEE">
        <w:rPr>
          <w:lang w:val="fr-FR"/>
        </w:rPr>
        <w:t>.</w:t>
      </w:r>
    </w:p>
    <w:p w:rsidR="00B627DC" w:rsidRPr="008D0AEE" w:rsidRDefault="00B627DC" w:rsidP="00E65EE2">
      <w:pPr>
        <w:pStyle w:val="H1G"/>
        <w:rPr>
          <w:lang w:val="fr-FR"/>
        </w:rPr>
      </w:pPr>
      <w:r w:rsidRPr="008D0AEE">
        <w:rPr>
          <w:lang w:val="fr-FR"/>
        </w:rPr>
        <w:tab/>
        <w:t>C.</w:t>
      </w:r>
      <w:r w:rsidRPr="008D0AEE">
        <w:rPr>
          <w:lang w:val="fr-FR"/>
        </w:rPr>
        <w:tab/>
      </w:r>
      <w:r w:rsidRPr="003E6CD1">
        <w:rPr>
          <w:lang w:val="fr-FR"/>
        </w:rPr>
        <w:t>Coopération avec d</w:t>
      </w:r>
      <w:r>
        <w:rPr>
          <w:lang w:val="fr-FR"/>
        </w:rPr>
        <w:t>’</w:t>
      </w:r>
      <w:r w:rsidRPr="003E6CD1">
        <w:rPr>
          <w:lang w:val="fr-FR"/>
        </w:rPr>
        <w:t>autres organes ou organisations internationales</w:t>
      </w:r>
    </w:p>
    <w:p w:rsidR="00B627DC" w:rsidRPr="008D0AEE" w:rsidRDefault="00B627DC" w:rsidP="00B627DC">
      <w:pPr>
        <w:pStyle w:val="SingleTxtG"/>
        <w:rPr>
          <w:lang w:val="fr-FR"/>
        </w:rPr>
      </w:pPr>
      <w:r w:rsidRPr="008D0AEE">
        <w:rPr>
          <w:lang w:val="fr-FR"/>
        </w:rPr>
        <w:t>57.</w:t>
      </w:r>
      <w:r w:rsidRPr="008D0AEE">
        <w:rPr>
          <w:lang w:val="fr-FR"/>
        </w:rPr>
        <w:tab/>
      </w:r>
      <w:r w:rsidRPr="008C6262">
        <w:rPr>
          <w:lang w:val="fr-FR"/>
        </w:rPr>
        <w:t>Le Sous-Comité a noté que le Ministère japonais de l</w:t>
      </w:r>
      <w:r>
        <w:rPr>
          <w:lang w:val="fr-FR"/>
        </w:rPr>
        <w:t>’</w:t>
      </w:r>
      <w:r w:rsidRPr="008C6262">
        <w:rPr>
          <w:lang w:val="fr-FR"/>
        </w:rPr>
        <w:t>économie, du commerce et de l</w:t>
      </w:r>
      <w:r>
        <w:rPr>
          <w:lang w:val="fr-FR"/>
        </w:rPr>
        <w:t>’</w:t>
      </w:r>
      <w:r w:rsidRPr="008C6262">
        <w:rPr>
          <w:lang w:val="fr-FR"/>
        </w:rPr>
        <w:t>industrie avait élaboré</w:t>
      </w:r>
      <w:r>
        <w:rPr>
          <w:lang w:val="fr-FR"/>
        </w:rPr>
        <w:t>,</w:t>
      </w:r>
      <w:r w:rsidRPr="008C6262">
        <w:rPr>
          <w:lang w:val="fr-FR"/>
        </w:rPr>
        <w:t xml:space="preserve"> conjointement avec les pays de </w:t>
      </w:r>
      <w:r>
        <w:rPr>
          <w:lang w:val="fr-FR"/>
        </w:rPr>
        <w:t>l’</w:t>
      </w:r>
      <w:r w:rsidRPr="00DB4CF6">
        <w:rPr>
          <w:lang w:val="fr-FR"/>
        </w:rPr>
        <w:t>Association des nations de l</w:t>
      </w:r>
      <w:r>
        <w:rPr>
          <w:lang w:val="fr-FR"/>
        </w:rPr>
        <w:t>’</w:t>
      </w:r>
      <w:r w:rsidRPr="00DB4CF6">
        <w:rPr>
          <w:lang w:val="fr-FR"/>
        </w:rPr>
        <w:t xml:space="preserve">Asie du Sud-Est </w:t>
      </w:r>
      <w:r>
        <w:rPr>
          <w:lang w:val="fr-FR"/>
        </w:rPr>
        <w:t>(</w:t>
      </w:r>
      <w:r w:rsidRPr="008C6262">
        <w:rPr>
          <w:lang w:val="fr-FR"/>
        </w:rPr>
        <w:t>A</w:t>
      </w:r>
      <w:r w:rsidR="00561F66">
        <w:rPr>
          <w:lang w:val="fr-FR"/>
        </w:rPr>
        <w:t>SEAN</w:t>
      </w:r>
      <w:r>
        <w:rPr>
          <w:lang w:val="fr-FR"/>
        </w:rPr>
        <w:t>),</w:t>
      </w:r>
      <w:r w:rsidRPr="008C6262">
        <w:rPr>
          <w:lang w:val="fr-FR"/>
        </w:rPr>
        <w:t xml:space="preserve"> la Base de données </w:t>
      </w:r>
      <w:r w:rsidR="00561F66">
        <w:rPr>
          <w:lang w:val="fr-FR"/>
        </w:rPr>
        <w:t>ASEAN</w:t>
      </w:r>
      <w:r w:rsidRPr="008C6262">
        <w:rPr>
          <w:lang w:val="fr-FR"/>
        </w:rPr>
        <w:t>-Japon sur la sécurité chimique, qui était pleinement fonctionnelle depuis le 28</w:t>
      </w:r>
      <w:r w:rsidR="00E65EE2">
        <w:rPr>
          <w:lang w:val="fr-FR"/>
        </w:rPr>
        <w:t> </w:t>
      </w:r>
      <w:r w:rsidRPr="008C6262">
        <w:rPr>
          <w:lang w:val="fr-FR"/>
        </w:rPr>
        <w:t>avril 2016. Cette base de données, gérée par l</w:t>
      </w:r>
      <w:r>
        <w:rPr>
          <w:lang w:val="fr-FR"/>
        </w:rPr>
        <w:t>’</w:t>
      </w:r>
      <w:r w:rsidRPr="008C6262">
        <w:rPr>
          <w:lang w:val="fr-FR"/>
        </w:rPr>
        <w:t>Institut national japonais de technologie et d</w:t>
      </w:r>
      <w:r>
        <w:rPr>
          <w:lang w:val="fr-FR"/>
        </w:rPr>
        <w:t>’</w:t>
      </w:r>
      <w:r w:rsidRPr="008C6262">
        <w:rPr>
          <w:lang w:val="fr-FR"/>
        </w:rPr>
        <w:t xml:space="preserve">évaluation, comprenait des données de classification de différents pays. En juillet </w:t>
      </w:r>
      <w:r>
        <w:rPr>
          <w:lang w:val="fr-FR"/>
        </w:rPr>
        <w:t>2017</w:t>
      </w:r>
      <w:r w:rsidRPr="00303A8A">
        <w:rPr>
          <w:lang w:val="fr-FR"/>
        </w:rPr>
        <w:t xml:space="preserve"> </w:t>
      </w:r>
      <w:r w:rsidRPr="008C6262">
        <w:rPr>
          <w:lang w:val="fr-FR"/>
        </w:rPr>
        <w:t>avaient été ajoutés les résultats de la classification SGH du Myanmar pour 50</w:t>
      </w:r>
      <w:r>
        <w:rPr>
          <w:lang w:val="fr-FR"/>
        </w:rPr>
        <w:t> </w:t>
      </w:r>
      <w:r w:rsidRPr="008C6262">
        <w:rPr>
          <w:lang w:val="fr-FR"/>
        </w:rPr>
        <w:t>produits chimiques. La base de données comprenait actuellement les résultats de la classification du SGH pour le Myanmar (90</w:t>
      </w:r>
      <w:r w:rsidR="00E65EE2">
        <w:rPr>
          <w:lang w:val="fr-FR"/>
        </w:rPr>
        <w:t> </w:t>
      </w:r>
      <w:r w:rsidRPr="008C6262">
        <w:rPr>
          <w:lang w:val="fr-FR"/>
        </w:rPr>
        <w:t>produits chimiques), la Malaisie (229</w:t>
      </w:r>
      <w:r w:rsidR="00E65EE2">
        <w:rPr>
          <w:lang w:val="fr-FR"/>
        </w:rPr>
        <w:t> </w:t>
      </w:r>
      <w:r w:rsidRPr="008C6262">
        <w:rPr>
          <w:lang w:val="fr-FR"/>
        </w:rPr>
        <w:t>produits chimiques) et le Japon (3</w:t>
      </w:r>
      <w:r>
        <w:rPr>
          <w:lang w:val="fr-FR"/>
        </w:rPr>
        <w:t> </w:t>
      </w:r>
      <w:r w:rsidRPr="008C6262">
        <w:rPr>
          <w:lang w:val="fr-FR"/>
        </w:rPr>
        <w:t>034 produits chimiques). On s</w:t>
      </w:r>
      <w:r>
        <w:rPr>
          <w:lang w:val="fr-FR"/>
        </w:rPr>
        <w:t>’</w:t>
      </w:r>
      <w:r w:rsidRPr="008C6262">
        <w:rPr>
          <w:lang w:val="fr-FR"/>
        </w:rPr>
        <w:t>attendait</w:t>
      </w:r>
      <w:r>
        <w:rPr>
          <w:lang w:val="fr-FR"/>
        </w:rPr>
        <w:t xml:space="preserve"> </w:t>
      </w:r>
      <w:r w:rsidR="001C0B2D">
        <w:rPr>
          <w:lang w:val="fr-FR"/>
        </w:rPr>
        <w:t xml:space="preserve">à ce </w:t>
      </w:r>
      <w:r w:rsidRPr="008C6262">
        <w:rPr>
          <w:lang w:val="fr-FR"/>
        </w:rPr>
        <w:t xml:space="preserve">que les résultats de la classification de la Thaïlande </w:t>
      </w:r>
      <w:r>
        <w:rPr>
          <w:lang w:val="fr-FR"/>
        </w:rPr>
        <w:t xml:space="preserve">y </w:t>
      </w:r>
      <w:r w:rsidRPr="008C6262">
        <w:rPr>
          <w:lang w:val="fr-FR"/>
        </w:rPr>
        <w:t xml:space="preserve">soient </w:t>
      </w:r>
      <w:r>
        <w:rPr>
          <w:lang w:val="fr-FR"/>
        </w:rPr>
        <w:t>intégrés</w:t>
      </w:r>
      <w:r w:rsidRPr="008C6262">
        <w:rPr>
          <w:lang w:val="fr-FR"/>
        </w:rPr>
        <w:t xml:space="preserve"> à l</w:t>
      </w:r>
      <w:r>
        <w:rPr>
          <w:lang w:val="fr-FR"/>
        </w:rPr>
        <w:t>’</w:t>
      </w:r>
      <w:r w:rsidRPr="008C6262">
        <w:rPr>
          <w:lang w:val="fr-FR"/>
        </w:rPr>
        <w:t>avenir</w:t>
      </w:r>
      <w:r w:rsidRPr="008D0AEE">
        <w:rPr>
          <w:lang w:val="fr-FR"/>
        </w:rPr>
        <w:t xml:space="preserve">. </w:t>
      </w:r>
    </w:p>
    <w:p w:rsidR="00B627DC" w:rsidRPr="008D0AEE" w:rsidRDefault="00B627DC" w:rsidP="00E65EE2">
      <w:pPr>
        <w:pStyle w:val="H1G"/>
        <w:rPr>
          <w:lang w:val="fr-FR"/>
        </w:rPr>
      </w:pPr>
      <w:r w:rsidRPr="008D0AEE">
        <w:rPr>
          <w:lang w:val="fr-FR"/>
        </w:rPr>
        <w:tab/>
        <w:t>D.</w:t>
      </w:r>
      <w:r w:rsidRPr="008D0AEE">
        <w:rPr>
          <w:lang w:val="fr-FR"/>
        </w:rPr>
        <w:tab/>
      </w:r>
      <w:r w:rsidRPr="003E6CD1">
        <w:rPr>
          <w:lang w:val="fr-FR"/>
        </w:rPr>
        <w:t>Divers</w:t>
      </w:r>
    </w:p>
    <w:p w:rsidR="00B627DC" w:rsidRPr="008D0AEE" w:rsidRDefault="00B627DC" w:rsidP="00B627DC">
      <w:pPr>
        <w:pStyle w:val="SingleTxtG"/>
        <w:rPr>
          <w:lang w:val="fr-FR"/>
        </w:rPr>
      </w:pPr>
      <w:r w:rsidRPr="008D0AEE">
        <w:rPr>
          <w:lang w:val="fr-FR"/>
        </w:rPr>
        <w:t>58.</w:t>
      </w:r>
      <w:r w:rsidRPr="008D0AEE">
        <w:rPr>
          <w:lang w:val="fr-FR"/>
        </w:rPr>
        <w:tab/>
      </w:r>
      <w:r w:rsidRPr="0077671B">
        <w:rPr>
          <w:lang w:val="fr-FR"/>
        </w:rPr>
        <w:t>Aucun document n</w:t>
      </w:r>
      <w:r>
        <w:rPr>
          <w:lang w:val="fr-FR"/>
        </w:rPr>
        <w:t>’</w:t>
      </w:r>
      <w:r w:rsidRPr="0077671B">
        <w:rPr>
          <w:lang w:val="fr-FR"/>
        </w:rPr>
        <w:t>ayant été soumis au titre de ce point de l</w:t>
      </w:r>
      <w:r>
        <w:rPr>
          <w:lang w:val="fr-FR"/>
        </w:rPr>
        <w:t>’</w:t>
      </w:r>
      <w:r w:rsidRPr="0077671B">
        <w:rPr>
          <w:lang w:val="fr-FR"/>
        </w:rPr>
        <w:t>ordre du jour,</w:t>
      </w:r>
      <w:r>
        <w:rPr>
          <w:lang w:val="fr-FR"/>
        </w:rPr>
        <w:t xml:space="preserve"> celui-ci n’a donné lieu à aucun débat</w:t>
      </w:r>
      <w:r w:rsidRPr="008D0AEE">
        <w:rPr>
          <w:lang w:val="fr-FR"/>
        </w:rPr>
        <w:t>.</w:t>
      </w:r>
    </w:p>
    <w:p w:rsidR="00B627DC" w:rsidRPr="008D0AEE" w:rsidRDefault="00B627DC" w:rsidP="00E65EE2">
      <w:pPr>
        <w:pStyle w:val="HChG"/>
        <w:rPr>
          <w:lang w:val="fr-FR"/>
        </w:rPr>
      </w:pPr>
      <w:r w:rsidRPr="008D0AEE">
        <w:rPr>
          <w:lang w:val="fr-FR"/>
        </w:rPr>
        <w:lastRenderedPageBreak/>
        <w:tab/>
        <w:t>VI.</w:t>
      </w:r>
      <w:r w:rsidRPr="008D0AEE">
        <w:rPr>
          <w:lang w:val="fr-FR"/>
        </w:rPr>
        <w:tab/>
      </w:r>
      <w:r w:rsidRPr="003E6CD1">
        <w:rPr>
          <w:lang w:val="fr-FR"/>
        </w:rPr>
        <w:t>Mise au point de directives pour l</w:t>
      </w:r>
      <w:r>
        <w:rPr>
          <w:lang w:val="fr-FR"/>
        </w:rPr>
        <w:t>’</w:t>
      </w:r>
      <w:r w:rsidRPr="003E6CD1">
        <w:rPr>
          <w:lang w:val="fr-FR"/>
        </w:rPr>
        <w:t>application des critères du</w:t>
      </w:r>
      <w:r w:rsidRPr="008D0AEE">
        <w:rPr>
          <w:lang w:val="fr-FR"/>
        </w:rPr>
        <w:t> </w:t>
      </w:r>
      <w:r w:rsidRPr="003E6CD1">
        <w:rPr>
          <w:lang w:val="fr-FR"/>
        </w:rPr>
        <w:t>SGH (point 5 de l</w:t>
      </w:r>
      <w:r>
        <w:rPr>
          <w:lang w:val="fr-FR"/>
        </w:rPr>
        <w:t>’</w:t>
      </w:r>
      <w:r w:rsidRPr="003E6CD1">
        <w:rPr>
          <w:lang w:val="fr-FR"/>
        </w:rPr>
        <w:t>ordre du jour</w:t>
      </w:r>
      <w:r w:rsidRPr="008D0AEE">
        <w:rPr>
          <w:lang w:val="fr-FR"/>
        </w:rPr>
        <w:t>)</w:t>
      </w:r>
    </w:p>
    <w:p w:rsidR="00B627DC" w:rsidRPr="008D0AEE" w:rsidRDefault="00B627DC" w:rsidP="00B627DC">
      <w:pPr>
        <w:pStyle w:val="SingleTxtG"/>
        <w:rPr>
          <w:lang w:val="fr-FR"/>
        </w:rPr>
      </w:pPr>
      <w:r w:rsidRPr="008D0AEE">
        <w:rPr>
          <w:lang w:val="fr-FR"/>
        </w:rPr>
        <w:t>59.</w:t>
      </w:r>
      <w:r w:rsidRPr="008D0AEE">
        <w:rPr>
          <w:lang w:val="fr-FR"/>
        </w:rPr>
        <w:tab/>
      </w:r>
      <w:r w:rsidRPr="0077671B">
        <w:rPr>
          <w:lang w:val="fr-FR"/>
        </w:rPr>
        <w:t>Aucun document n</w:t>
      </w:r>
      <w:r>
        <w:rPr>
          <w:lang w:val="fr-FR"/>
        </w:rPr>
        <w:t>’</w:t>
      </w:r>
      <w:r w:rsidRPr="0077671B">
        <w:rPr>
          <w:lang w:val="fr-FR"/>
        </w:rPr>
        <w:t>ayant été soumis au titre de ce point de l</w:t>
      </w:r>
      <w:r>
        <w:rPr>
          <w:lang w:val="fr-FR"/>
        </w:rPr>
        <w:t>’</w:t>
      </w:r>
      <w:r w:rsidRPr="0077671B">
        <w:rPr>
          <w:lang w:val="fr-FR"/>
        </w:rPr>
        <w:t>ordre du jour, cette question n</w:t>
      </w:r>
      <w:r>
        <w:rPr>
          <w:lang w:val="fr-FR"/>
        </w:rPr>
        <w:t>’</w:t>
      </w:r>
      <w:r w:rsidRPr="0077671B">
        <w:rPr>
          <w:lang w:val="fr-FR"/>
        </w:rPr>
        <w:t>a pas été abordée</w:t>
      </w:r>
      <w:r w:rsidRPr="008D0AEE">
        <w:rPr>
          <w:lang w:val="fr-FR"/>
        </w:rPr>
        <w:t>.</w:t>
      </w:r>
    </w:p>
    <w:p w:rsidR="00B627DC" w:rsidRPr="008D0AEE" w:rsidRDefault="00B627DC" w:rsidP="00E65EE2">
      <w:pPr>
        <w:pStyle w:val="HChG"/>
        <w:rPr>
          <w:lang w:val="fr-FR"/>
        </w:rPr>
      </w:pPr>
      <w:r w:rsidRPr="008D0AEE">
        <w:rPr>
          <w:lang w:val="fr-FR"/>
        </w:rPr>
        <w:tab/>
        <w:t>VII.</w:t>
      </w:r>
      <w:r w:rsidRPr="008D0AEE">
        <w:rPr>
          <w:lang w:val="fr-FR"/>
        </w:rPr>
        <w:tab/>
      </w:r>
      <w:r w:rsidRPr="003E6CD1">
        <w:rPr>
          <w:lang w:val="fr-FR"/>
        </w:rPr>
        <w:t>Renforcement des capacités (point 6 de l</w:t>
      </w:r>
      <w:r>
        <w:rPr>
          <w:lang w:val="fr-FR"/>
        </w:rPr>
        <w:t>’</w:t>
      </w:r>
      <w:r w:rsidRPr="003E6CD1">
        <w:rPr>
          <w:lang w:val="fr-FR"/>
        </w:rPr>
        <w:t>ordre du jour</w:t>
      </w:r>
      <w:r w:rsidRPr="008D0AEE">
        <w:rPr>
          <w:lang w:val="fr-FR"/>
        </w:rPr>
        <w:t>)</w:t>
      </w:r>
    </w:p>
    <w:p w:rsidR="00B627DC" w:rsidRPr="008D0AEE" w:rsidRDefault="00B627DC" w:rsidP="00B627DC">
      <w:pPr>
        <w:pStyle w:val="SingleTxtG"/>
        <w:rPr>
          <w:rFonts w:eastAsia="MS Mincho"/>
          <w:lang w:val="fr-FR" w:eastAsia="ja-JP"/>
        </w:rPr>
      </w:pPr>
      <w:r w:rsidRPr="008D0AEE">
        <w:rPr>
          <w:rFonts w:eastAsia="MS Mincho"/>
          <w:lang w:val="fr-FR" w:eastAsia="ja-JP"/>
        </w:rPr>
        <w:t>60.</w:t>
      </w:r>
      <w:r w:rsidRPr="008D0AEE">
        <w:rPr>
          <w:rFonts w:eastAsia="MS Mincho"/>
          <w:lang w:val="fr-FR" w:eastAsia="ja-JP"/>
        </w:rPr>
        <w:tab/>
      </w:r>
      <w:r w:rsidRPr="008C6262">
        <w:rPr>
          <w:rFonts w:eastAsia="MS Mincho"/>
          <w:lang w:val="fr-FR" w:eastAsia="ja-JP"/>
        </w:rPr>
        <w:t>Le représentant de l</w:t>
      </w:r>
      <w:r>
        <w:rPr>
          <w:rFonts w:eastAsia="MS Mincho"/>
          <w:lang w:val="fr-FR" w:eastAsia="ja-JP"/>
        </w:rPr>
        <w:t>’</w:t>
      </w:r>
      <w:r w:rsidRPr="008C6262">
        <w:rPr>
          <w:rFonts w:eastAsia="MS Mincho"/>
          <w:lang w:val="fr-FR" w:eastAsia="ja-JP"/>
        </w:rPr>
        <w:t>UNITAR a indiqué que des projets relatifs à l</w:t>
      </w:r>
      <w:r>
        <w:rPr>
          <w:rFonts w:eastAsia="MS Mincho"/>
          <w:lang w:val="fr-FR" w:eastAsia="ja-JP"/>
        </w:rPr>
        <w:t>’</w:t>
      </w:r>
      <w:r w:rsidRPr="008C6262">
        <w:rPr>
          <w:rFonts w:eastAsia="MS Mincho"/>
          <w:lang w:val="fr-FR" w:eastAsia="ja-JP"/>
        </w:rPr>
        <w:t>élaboration de stratégies de mise en œuvre du SGH avaient été lancés en avril et juin 2017 en Ouzbékistan et en République de Guinée, respectivement, et qu</w:t>
      </w:r>
      <w:r>
        <w:rPr>
          <w:rFonts w:eastAsia="MS Mincho"/>
          <w:lang w:val="fr-FR" w:eastAsia="ja-JP"/>
        </w:rPr>
        <w:t>’</w:t>
      </w:r>
      <w:r w:rsidRPr="008C6262">
        <w:rPr>
          <w:rFonts w:eastAsia="MS Mincho"/>
          <w:lang w:val="fr-FR" w:eastAsia="ja-JP"/>
        </w:rPr>
        <w:t>il fournirait des informations complémentaires au Sous-Comité à sa session suivante</w:t>
      </w:r>
      <w:r w:rsidRPr="008D0AEE">
        <w:rPr>
          <w:rFonts w:eastAsia="MS Mincho"/>
          <w:lang w:val="fr-FR" w:eastAsia="ja-JP"/>
        </w:rPr>
        <w:t xml:space="preserve">. </w:t>
      </w:r>
    </w:p>
    <w:p w:rsidR="00B627DC" w:rsidRPr="008D0AEE" w:rsidRDefault="00B627DC" w:rsidP="00E65EE2">
      <w:pPr>
        <w:pStyle w:val="HChG"/>
        <w:rPr>
          <w:lang w:val="fr-FR"/>
        </w:rPr>
      </w:pPr>
      <w:r w:rsidRPr="008D0AEE">
        <w:rPr>
          <w:lang w:val="fr-FR"/>
        </w:rPr>
        <w:tab/>
        <w:t>VIII.</w:t>
      </w:r>
      <w:r w:rsidRPr="008D0AEE">
        <w:rPr>
          <w:lang w:val="fr-FR"/>
        </w:rPr>
        <w:tab/>
      </w:r>
      <w:r w:rsidRPr="003E6CD1">
        <w:rPr>
          <w:lang w:val="fr-FR"/>
        </w:rPr>
        <w:t>Questions diverses (point 7 de l</w:t>
      </w:r>
      <w:r>
        <w:rPr>
          <w:lang w:val="fr-FR"/>
        </w:rPr>
        <w:t>’</w:t>
      </w:r>
      <w:r w:rsidRPr="003E6CD1">
        <w:rPr>
          <w:lang w:val="fr-FR"/>
        </w:rPr>
        <w:t>ordre du jour</w:t>
      </w:r>
      <w:r w:rsidRPr="008D0AEE">
        <w:rPr>
          <w:lang w:val="fr-FR"/>
        </w:rPr>
        <w:t>)</w:t>
      </w:r>
    </w:p>
    <w:p w:rsidR="00B627DC" w:rsidRPr="008D0AEE" w:rsidRDefault="00B627DC" w:rsidP="00E65EE2">
      <w:pPr>
        <w:pStyle w:val="H1G"/>
        <w:rPr>
          <w:lang w:val="fr-FR"/>
        </w:rPr>
      </w:pPr>
      <w:r w:rsidRPr="008D0AEE">
        <w:rPr>
          <w:lang w:val="fr-FR"/>
        </w:rPr>
        <w:tab/>
        <w:t>A.</w:t>
      </w:r>
      <w:r w:rsidRPr="008D0AEE">
        <w:rPr>
          <w:lang w:val="fr-FR"/>
        </w:rPr>
        <w:tab/>
        <w:t>Travaux des groupes de travail informels</w:t>
      </w:r>
    </w:p>
    <w:p w:rsidR="00B627DC" w:rsidRPr="008D0AEE" w:rsidRDefault="00B627DC" w:rsidP="00862C48">
      <w:pPr>
        <w:pStyle w:val="SingleTxtG"/>
        <w:tabs>
          <w:tab w:val="left" w:pos="3119"/>
        </w:tabs>
        <w:ind w:left="3119" w:hanging="1985"/>
        <w:jc w:val="left"/>
        <w:rPr>
          <w:lang w:val="fr-FR"/>
        </w:rPr>
      </w:pPr>
      <w:r w:rsidRPr="008D0AEE">
        <w:rPr>
          <w:i/>
          <w:lang w:val="fr-FR"/>
        </w:rPr>
        <w:t>Document informel</w:t>
      </w:r>
      <w:r w:rsidR="00E65EE2" w:rsidRPr="00E65EE2">
        <w:rPr>
          <w:lang w:val="fr-FR"/>
        </w:rPr>
        <w:t> :</w:t>
      </w:r>
      <w:r w:rsidRPr="008D0AEE">
        <w:rPr>
          <w:i/>
          <w:lang w:val="fr-FR"/>
        </w:rPr>
        <w:t xml:space="preserve"> </w:t>
      </w:r>
      <w:r w:rsidR="00E65EE2">
        <w:rPr>
          <w:i/>
          <w:lang w:val="fr-FR"/>
        </w:rPr>
        <w:tab/>
      </w:r>
      <w:r w:rsidRPr="008D0AEE">
        <w:rPr>
          <w:lang w:val="fr-FR"/>
        </w:rPr>
        <w:t>INF.16 (</w:t>
      </w:r>
      <w:r>
        <w:rPr>
          <w:lang w:val="fr-FR"/>
        </w:rPr>
        <w:t>Présidente</w:t>
      </w:r>
      <w:r w:rsidRPr="008D0AEE">
        <w:rPr>
          <w:lang w:val="fr-FR"/>
        </w:rPr>
        <w:t xml:space="preserve"> </w:t>
      </w:r>
      <w:r>
        <w:rPr>
          <w:lang w:val="fr-FR"/>
        </w:rPr>
        <w:t>et Vice-président</w:t>
      </w:r>
      <w:r w:rsidRPr="008D0AEE">
        <w:rPr>
          <w:lang w:val="fr-FR"/>
        </w:rPr>
        <w:t>)</w:t>
      </w:r>
      <w:r w:rsidR="00E65EE2">
        <w:rPr>
          <w:lang w:val="fr-FR"/>
        </w:rPr>
        <w:t>.</w:t>
      </w:r>
    </w:p>
    <w:p w:rsidR="00B627DC" w:rsidRPr="008D0AEE" w:rsidRDefault="00B627DC" w:rsidP="00B627DC">
      <w:pPr>
        <w:pStyle w:val="SingleTxtG"/>
        <w:rPr>
          <w:lang w:val="fr-FR"/>
        </w:rPr>
      </w:pPr>
      <w:r w:rsidRPr="008D0AEE">
        <w:rPr>
          <w:lang w:val="fr-FR"/>
        </w:rPr>
        <w:t>61.</w:t>
      </w:r>
      <w:r w:rsidRPr="008D0AEE">
        <w:rPr>
          <w:lang w:val="fr-FR"/>
        </w:rPr>
        <w:tab/>
      </w:r>
      <w:r w:rsidRPr="00242524">
        <w:rPr>
          <w:lang w:val="fr-FR"/>
        </w:rPr>
        <w:t xml:space="preserve">Le Sous-Comité a approuvé les modalités proposées au paragraphe 8 du document informel INF.16 </w:t>
      </w:r>
      <w:r>
        <w:rPr>
          <w:lang w:val="fr-FR"/>
        </w:rPr>
        <w:t>concernant</w:t>
      </w:r>
      <w:r w:rsidRPr="00242524">
        <w:rPr>
          <w:lang w:val="fr-FR"/>
        </w:rPr>
        <w:t xml:space="preserve"> les travaux des groupes de travail informels</w:t>
      </w:r>
      <w:r w:rsidRPr="008D0AEE">
        <w:rPr>
          <w:lang w:val="fr-FR"/>
        </w:rPr>
        <w:t>.</w:t>
      </w:r>
    </w:p>
    <w:p w:rsidR="00B627DC" w:rsidRPr="008D0AEE" w:rsidRDefault="00B627DC" w:rsidP="00E65EE2">
      <w:pPr>
        <w:pStyle w:val="H1G"/>
        <w:rPr>
          <w:lang w:val="fr-FR"/>
        </w:rPr>
      </w:pPr>
      <w:r w:rsidRPr="008D0AEE">
        <w:rPr>
          <w:lang w:val="fr-FR"/>
        </w:rPr>
        <w:tab/>
        <w:t>B.</w:t>
      </w:r>
      <w:r w:rsidRPr="008D0AEE">
        <w:rPr>
          <w:lang w:val="fr-FR"/>
        </w:rPr>
        <w:tab/>
        <w:t>Session conjointe des Sous-Comités TMD et SGH</w:t>
      </w:r>
    </w:p>
    <w:p w:rsidR="00B627DC" w:rsidRPr="008D0AEE" w:rsidRDefault="00B627DC" w:rsidP="00B627DC">
      <w:pPr>
        <w:pStyle w:val="SingleTxtG"/>
        <w:rPr>
          <w:lang w:val="fr-FR"/>
        </w:rPr>
      </w:pPr>
      <w:r w:rsidRPr="008D0AEE">
        <w:rPr>
          <w:lang w:val="fr-FR"/>
        </w:rPr>
        <w:t>62.</w:t>
      </w:r>
      <w:r w:rsidRPr="008D0AEE">
        <w:rPr>
          <w:lang w:val="fr-FR"/>
        </w:rPr>
        <w:tab/>
      </w:r>
      <w:r w:rsidRPr="005F5AEE">
        <w:rPr>
          <w:lang w:val="fr-FR"/>
        </w:rPr>
        <w:t>Le Sous-Comité a convenu avec le Sous-Comité TMD qu</w:t>
      </w:r>
      <w:r>
        <w:rPr>
          <w:lang w:val="fr-FR"/>
        </w:rPr>
        <w:t>’</w:t>
      </w:r>
      <w:r w:rsidRPr="005F5AEE">
        <w:rPr>
          <w:lang w:val="fr-FR"/>
        </w:rPr>
        <w:t xml:space="preserve">il </w:t>
      </w:r>
      <w:r>
        <w:rPr>
          <w:lang w:val="fr-FR"/>
        </w:rPr>
        <w:t>serait opportun</w:t>
      </w:r>
      <w:r w:rsidRPr="005F5AEE">
        <w:rPr>
          <w:lang w:val="fr-FR"/>
        </w:rPr>
        <w:t xml:space="preserve"> de tenir</w:t>
      </w:r>
      <w:r w:rsidR="00E65EE2">
        <w:rPr>
          <w:lang w:val="fr-FR"/>
        </w:rPr>
        <w:t> </w:t>
      </w:r>
      <w:r w:rsidRPr="005F5AEE">
        <w:rPr>
          <w:lang w:val="fr-FR"/>
        </w:rPr>
        <w:t xml:space="preserve">en juillet 2018 une réunion conjointe des deux </w:t>
      </w:r>
      <w:r w:rsidR="001C0B2D">
        <w:rPr>
          <w:lang w:val="fr-FR"/>
        </w:rPr>
        <w:t>S</w:t>
      </w:r>
      <w:r w:rsidRPr="005F5AEE">
        <w:rPr>
          <w:lang w:val="fr-FR"/>
        </w:rPr>
        <w:t>ous-</w:t>
      </w:r>
      <w:r w:rsidR="001C0B2D">
        <w:rPr>
          <w:lang w:val="fr-FR"/>
        </w:rPr>
        <w:t>C</w:t>
      </w:r>
      <w:r w:rsidRPr="005F5AEE">
        <w:rPr>
          <w:lang w:val="fr-FR"/>
        </w:rPr>
        <w:t>omités pour examiner conjointement des sujets d</w:t>
      </w:r>
      <w:r>
        <w:rPr>
          <w:lang w:val="fr-FR"/>
        </w:rPr>
        <w:t>’</w:t>
      </w:r>
      <w:r w:rsidRPr="005F5AEE">
        <w:rPr>
          <w:lang w:val="fr-FR"/>
        </w:rPr>
        <w:t>intérêt commun (</w:t>
      </w:r>
      <w:r>
        <w:rPr>
          <w:lang w:val="fr-FR"/>
        </w:rPr>
        <w:t xml:space="preserve">notamment la révision </w:t>
      </w:r>
      <w:r w:rsidRPr="005F5AEE">
        <w:rPr>
          <w:lang w:val="fr-FR"/>
        </w:rPr>
        <w:t>du chapitre</w:t>
      </w:r>
      <w:r w:rsidR="00E65EE2">
        <w:rPr>
          <w:lang w:val="fr-FR"/>
        </w:rPr>
        <w:t> </w:t>
      </w:r>
      <w:r w:rsidRPr="005F5AEE">
        <w:rPr>
          <w:lang w:val="fr-FR"/>
        </w:rPr>
        <w:t xml:space="preserve">2.1 du SGH). Les </w:t>
      </w:r>
      <w:r w:rsidR="001C0B2D">
        <w:rPr>
          <w:lang w:val="fr-FR"/>
        </w:rPr>
        <w:t>P</w:t>
      </w:r>
      <w:r w:rsidRPr="005F5AEE">
        <w:rPr>
          <w:lang w:val="fr-FR"/>
        </w:rPr>
        <w:t xml:space="preserve">résidents des deux </w:t>
      </w:r>
      <w:r w:rsidR="001C0B2D">
        <w:rPr>
          <w:lang w:val="fr-FR"/>
        </w:rPr>
        <w:t>S</w:t>
      </w:r>
      <w:r w:rsidRPr="005F5AEE">
        <w:rPr>
          <w:lang w:val="fr-FR"/>
        </w:rPr>
        <w:t>ous-</w:t>
      </w:r>
      <w:r w:rsidR="001C0B2D">
        <w:rPr>
          <w:lang w:val="fr-FR"/>
        </w:rPr>
        <w:t>C</w:t>
      </w:r>
      <w:r w:rsidRPr="005F5AEE">
        <w:rPr>
          <w:lang w:val="fr-FR"/>
        </w:rPr>
        <w:t>omités, en consultation avec le secrétariat, décideraient, après la date limite de soumission des documents, de la date, du temps</w:t>
      </w:r>
      <w:r>
        <w:rPr>
          <w:lang w:val="fr-FR"/>
        </w:rPr>
        <w:t xml:space="preserve"> de réunion</w:t>
      </w:r>
      <w:r w:rsidRPr="005F5AEE">
        <w:rPr>
          <w:lang w:val="fr-FR"/>
        </w:rPr>
        <w:t xml:space="preserve"> nécessaire et des sujets à examiner</w:t>
      </w:r>
      <w:r w:rsidRPr="008D0AEE">
        <w:rPr>
          <w:lang w:val="fr-FR"/>
        </w:rPr>
        <w:t xml:space="preserve">. </w:t>
      </w:r>
    </w:p>
    <w:p w:rsidR="00B627DC" w:rsidRPr="008D0AEE" w:rsidRDefault="00B627DC" w:rsidP="00E65EE2">
      <w:pPr>
        <w:pStyle w:val="H1G"/>
        <w:rPr>
          <w:lang w:val="fr-FR"/>
        </w:rPr>
      </w:pPr>
      <w:r w:rsidRPr="008D0AEE">
        <w:rPr>
          <w:lang w:val="fr-FR"/>
        </w:rPr>
        <w:tab/>
        <w:t>C.</w:t>
      </w:r>
      <w:r w:rsidRPr="008D0AEE">
        <w:rPr>
          <w:lang w:val="fr-FR"/>
        </w:rPr>
        <w:tab/>
      </w:r>
      <w:r w:rsidRPr="003E6CD1">
        <w:rPr>
          <w:lang w:val="fr-FR"/>
        </w:rPr>
        <w:t>Hommage à</w:t>
      </w:r>
      <w:r w:rsidRPr="008D0AEE">
        <w:rPr>
          <w:lang w:val="fr-FR"/>
        </w:rPr>
        <w:t xml:space="preserve"> M. O. Kervella (secrétariat) </w:t>
      </w:r>
      <w:r w:rsidRPr="008D0AEE">
        <w:rPr>
          <w:lang w:val="fr-FR"/>
        </w:rPr>
        <w:br/>
        <w:t>et à</w:t>
      </w:r>
      <w:r w:rsidRPr="003E6CD1">
        <w:rPr>
          <w:lang w:val="fr-FR"/>
        </w:rPr>
        <w:t xml:space="preserve"> M</w:t>
      </w:r>
      <w:r w:rsidRPr="003E6CD1">
        <w:rPr>
          <w:vertAlign w:val="superscript"/>
          <w:lang w:val="fr-FR"/>
        </w:rPr>
        <w:t>me</w:t>
      </w:r>
      <w:r w:rsidRPr="003E6CD1">
        <w:rPr>
          <w:lang w:val="fr-FR"/>
        </w:rPr>
        <w:t> </w:t>
      </w:r>
      <w:r w:rsidRPr="008D0AEE">
        <w:rPr>
          <w:lang w:val="fr-FR"/>
        </w:rPr>
        <w:t>G. Ericsson</w:t>
      </w:r>
      <w:r w:rsidRPr="003E6CD1">
        <w:rPr>
          <w:lang w:val="fr-FR"/>
        </w:rPr>
        <w:t xml:space="preserve"> (</w:t>
      </w:r>
      <w:r w:rsidRPr="008D0AEE">
        <w:rPr>
          <w:lang w:val="fr-FR"/>
        </w:rPr>
        <w:t>Union européenne)</w:t>
      </w:r>
    </w:p>
    <w:p w:rsidR="00B627DC" w:rsidRPr="008D0AEE" w:rsidRDefault="00B627DC" w:rsidP="00B627DC">
      <w:pPr>
        <w:pStyle w:val="SingleTxtG"/>
        <w:rPr>
          <w:lang w:val="fr-FR"/>
        </w:rPr>
      </w:pPr>
      <w:r w:rsidRPr="008D0AEE">
        <w:rPr>
          <w:lang w:val="fr-FR"/>
        </w:rPr>
        <w:t>63.</w:t>
      </w:r>
      <w:r w:rsidRPr="008D0AEE">
        <w:rPr>
          <w:lang w:val="fr-FR"/>
        </w:rPr>
        <w:tab/>
      </w:r>
      <w:r w:rsidRPr="005F5AEE">
        <w:rPr>
          <w:lang w:val="fr-FR"/>
        </w:rPr>
        <w:t>Le Sous-Comité a été informé que, comme il l</w:t>
      </w:r>
      <w:r>
        <w:rPr>
          <w:lang w:val="fr-FR"/>
        </w:rPr>
        <w:t>’</w:t>
      </w:r>
      <w:r w:rsidRPr="005F5AEE">
        <w:rPr>
          <w:lang w:val="fr-FR"/>
        </w:rPr>
        <w:t>avait annoncé à la session précédente (voir ST/SG/AC.10/C.4/66, par. 54), le Chef de la Section des marchandises dangereuses et des cargaisons spéciales de la Division des transports durables de la CEE, M.</w:t>
      </w:r>
      <w:r w:rsidR="00E65EE2">
        <w:rPr>
          <w:lang w:val="fr-FR"/>
        </w:rPr>
        <w:t> </w:t>
      </w:r>
      <w:r w:rsidRPr="005F5AEE">
        <w:rPr>
          <w:lang w:val="fr-FR"/>
        </w:rPr>
        <w:t>O.</w:t>
      </w:r>
      <w:r w:rsidR="00E65EE2">
        <w:rPr>
          <w:lang w:val="fr-FR"/>
        </w:rPr>
        <w:t> </w:t>
      </w:r>
      <w:r w:rsidRPr="005F5AEE">
        <w:rPr>
          <w:lang w:val="fr-FR"/>
        </w:rPr>
        <w:t>Kervella, avait atteint l</w:t>
      </w:r>
      <w:r>
        <w:rPr>
          <w:lang w:val="fr-FR"/>
        </w:rPr>
        <w:t>’</w:t>
      </w:r>
      <w:r w:rsidRPr="005F5AEE">
        <w:rPr>
          <w:lang w:val="fr-FR"/>
        </w:rPr>
        <w:t>âge de la retraite obligatoire de 62</w:t>
      </w:r>
      <w:r w:rsidR="00E65EE2">
        <w:rPr>
          <w:lang w:val="fr-FR"/>
        </w:rPr>
        <w:t> </w:t>
      </w:r>
      <w:r w:rsidRPr="005F5AEE">
        <w:rPr>
          <w:lang w:val="fr-FR"/>
        </w:rPr>
        <w:t xml:space="preserve">ans </w:t>
      </w:r>
      <w:r>
        <w:rPr>
          <w:lang w:val="fr-FR"/>
        </w:rPr>
        <w:t>pendant</w:t>
      </w:r>
      <w:r w:rsidRPr="005F5AEE">
        <w:rPr>
          <w:lang w:val="fr-FR"/>
        </w:rPr>
        <w:t xml:space="preserve"> sa cinquante-deuxième session</w:t>
      </w:r>
      <w:r w:rsidRPr="008D0AEE">
        <w:rPr>
          <w:lang w:val="fr-FR"/>
        </w:rPr>
        <w:t>.</w:t>
      </w:r>
    </w:p>
    <w:p w:rsidR="00B627DC" w:rsidRPr="008D0AEE" w:rsidRDefault="00B627DC" w:rsidP="00B627DC">
      <w:pPr>
        <w:pStyle w:val="SingleTxtG"/>
        <w:rPr>
          <w:lang w:val="fr-FR"/>
        </w:rPr>
      </w:pPr>
      <w:r w:rsidRPr="008D0AEE">
        <w:rPr>
          <w:lang w:val="fr-FR"/>
        </w:rPr>
        <w:t>64.</w:t>
      </w:r>
      <w:r w:rsidRPr="008D0AEE">
        <w:rPr>
          <w:lang w:val="fr-FR"/>
        </w:rPr>
        <w:tab/>
      </w:r>
      <w:r w:rsidRPr="00C74665">
        <w:rPr>
          <w:lang w:val="fr-FR"/>
        </w:rPr>
        <w:t>M. O. Kervella avait consacré toute sa carrière au sein du système des Nations Unies aux questions relatives au transport des marchandises dangereuses et à la gestion des produits chimiques. Il avait commencé à travailler pour la CEE en octobre 1982, avant de rejoindre l</w:t>
      </w:r>
      <w:r>
        <w:rPr>
          <w:lang w:val="fr-FR"/>
        </w:rPr>
        <w:t>’</w:t>
      </w:r>
      <w:r w:rsidRPr="00C74665">
        <w:rPr>
          <w:lang w:val="fr-FR"/>
        </w:rPr>
        <w:t>OMI en 1987 et de revenir à la CEE en 1992</w:t>
      </w:r>
      <w:r w:rsidRPr="008D0AEE">
        <w:rPr>
          <w:lang w:val="fr-FR" w:eastAsia="fr-CH"/>
        </w:rPr>
        <w:t>.</w:t>
      </w:r>
      <w:r w:rsidRPr="008D0AEE">
        <w:rPr>
          <w:lang w:val="fr-FR"/>
        </w:rPr>
        <w:t xml:space="preserve"> </w:t>
      </w:r>
    </w:p>
    <w:p w:rsidR="00B627DC" w:rsidRPr="008D0AEE" w:rsidRDefault="00B627DC" w:rsidP="00B627DC">
      <w:pPr>
        <w:pStyle w:val="SingleTxtG"/>
        <w:rPr>
          <w:lang w:val="fr-FR"/>
        </w:rPr>
      </w:pPr>
      <w:r w:rsidRPr="008D0AEE">
        <w:rPr>
          <w:lang w:val="fr-FR"/>
        </w:rPr>
        <w:t>65.</w:t>
      </w:r>
      <w:r w:rsidRPr="008D0AEE">
        <w:rPr>
          <w:lang w:val="fr-FR"/>
        </w:rPr>
        <w:tab/>
      </w:r>
      <w:r w:rsidRPr="000030AB">
        <w:rPr>
          <w:lang w:val="fr-FR"/>
        </w:rPr>
        <w:t>Le Sous-Comité lui a exprimé sa profonde gratitude pour tout le travail qu</w:t>
      </w:r>
      <w:r>
        <w:rPr>
          <w:lang w:val="fr-FR"/>
        </w:rPr>
        <w:t>’</w:t>
      </w:r>
      <w:r w:rsidRPr="000030AB">
        <w:rPr>
          <w:lang w:val="fr-FR"/>
        </w:rPr>
        <w:t xml:space="preserve">il avait accompli au cours des </w:t>
      </w:r>
      <w:r w:rsidR="00E65EE2">
        <w:rPr>
          <w:lang w:val="fr-FR"/>
        </w:rPr>
        <w:t xml:space="preserve">trente-cinq </w:t>
      </w:r>
      <w:r w:rsidRPr="000030AB">
        <w:rPr>
          <w:lang w:val="fr-FR"/>
        </w:rPr>
        <w:t>dernières années, et en particulier pour sa participation à l</w:t>
      </w:r>
      <w:r>
        <w:rPr>
          <w:lang w:val="fr-FR"/>
        </w:rPr>
        <w:t>’</w:t>
      </w:r>
      <w:r w:rsidRPr="000030AB">
        <w:rPr>
          <w:lang w:val="fr-FR"/>
        </w:rPr>
        <w:t>élaboration du SGH, depuis les premières étapes de son élaboration au début des années 1990 jusqu</w:t>
      </w:r>
      <w:r>
        <w:rPr>
          <w:lang w:val="fr-FR"/>
        </w:rPr>
        <w:t>’</w:t>
      </w:r>
      <w:r w:rsidRPr="000030AB">
        <w:rPr>
          <w:lang w:val="fr-FR"/>
        </w:rPr>
        <w:t>à la création du Sous-Comité en 1999, et pour ses conseils et son appui continus afin d</w:t>
      </w:r>
      <w:r>
        <w:rPr>
          <w:lang w:val="fr-FR"/>
        </w:rPr>
        <w:t>’</w:t>
      </w:r>
      <w:r w:rsidRPr="000030AB">
        <w:rPr>
          <w:lang w:val="fr-FR"/>
        </w:rPr>
        <w:t>assurer le bon fonctionnement du Sous-Comité</w:t>
      </w:r>
      <w:r w:rsidRPr="008D0AEE">
        <w:rPr>
          <w:lang w:val="fr-FR"/>
        </w:rPr>
        <w:t>.</w:t>
      </w:r>
    </w:p>
    <w:p w:rsidR="00B627DC" w:rsidRPr="008D0AEE" w:rsidRDefault="00B627DC" w:rsidP="00B627DC">
      <w:pPr>
        <w:pStyle w:val="SingleTxtG"/>
        <w:rPr>
          <w:lang w:val="fr-FR"/>
        </w:rPr>
      </w:pPr>
      <w:r w:rsidRPr="008D0AEE">
        <w:rPr>
          <w:lang w:val="fr-FR"/>
        </w:rPr>
        <w:t>66.</w:t>
      </w:r>
      <w:r w:rsidRPr="008D0AEE">
        <w:rPr>
          <w:lang w:val="fr-FR"/>
        </w:rPr>
        <w:tab/>
      </w:r>
      <w:r w:rsidRPr="008B733D">
        <w:rPr>
          <w:lang w:val="fr-FR"/>
        </w:rPr>
        <w:t>Le Sous-Comité a également été informé que M</w:t>
      </w:r>
      <w:r w:rsidRPr="008B733D">
        <w:rPr>
          <w:vertAlign w:val="superscript"/>
          <w:lang w:val="fr-FR"/>
        </w:rPr>
        <w:t>me</w:t>
      </w:r>
      <w:r w:rsidRPr="008B733D">
        <w:rPr>
          <w:lang w:val="fr-FR"/>
        </w:rPr>
        <w:t xml:space="preserve"> G. Ericsson, qui avait siégé au Sous-Comité d</w:t>
      </w:r>
      <w:r>
        <w:rPr>
          <w:lang w:val="fr-FR"/>
        </w:rPr>
        <w:t>’</w:t>
      </w:r>
      <w:r w:rsidRPr="008B733D">
        <w:rPr>
          <w:lang w:val="fr-FR"/>
        </w:rPr>
        <w:t>abord en tant que membre de la délégation suédoise, puis en tant que représentante de l</w:t>
      </w:r>
      <w:r>
        <w:rPr>
          <w:lang w:val="fr-FR"/>
        </w:rPr>
        <w:t>’</w:t>
      </w:r>
      <w:r w:rsidRPr="008B733D">
        <w:rPr>
          <w:lang w:val="fr-FR"/>
        </w:rPr>
        <w:t>Union européenne, assistait pour la dernière fois à une session du Sous</w:t>
      </w:r>
      <w:r w:rsidR="00CB4DC1">
        <w:rPr>
          <w:lang w:val="fr-FR"/>
        </w:rPr>
        <w:noBreakHyphen/>
      </w:r>
      <w:r w:rsidRPr="008B733D">
        <w:rPr>
          <w:lang w:val="fr-FR"/>
        </w:rPr>
        <w:t>Comité puisqu</w:t>
      </w:r>
      <w:r>
        <w:rPr>
          <w:lang w:val="fr-FR"/>
        </w:rPr>
        <w:t>’</w:t>
      </w:r>
      <w:r w:rsidRPr="008B733D">
        <w:rPr>
          <w:lang w:val="fr-FR"/>
        </w:rPr>
        <w:t>elle prendrait bientôt sa retraite. Le Sous-Comité lui a exprimé sa gratitude pour sa contribution à l</w:t>
      </w:r>
      <w:r>
        <w:rPr>
          <w:lang w:val="fr-FR"/>
        </w:rPr>
        <w:t>’</w:t>
      </w:r>
      <w:r w:rsidRPr="008B733D">
        <w:rPr>
          <w:lang w:val="fr-FR"/>
        </w:rPr>
        <w:t>élaboration du SGH et lui a souhaité une longue et heureuse retraite</w:t>
      </w:r>
      <w:r w:rsidRPr="008D0AEE">
        <w:rPr>
          <w:lang w:val="fr-FR"/>
        </w:rPr>
        <w:t>.</w:t>
      </w:r>
    </w:p>
    <w:p w:rsidR="00B627DC" w:rsidRPr="008D0AEE" w:rsidRDefault="00B627DC" w:rsidP="00E65EE2">
      <w:pPr>
        <w:pStyle w:val="HChG"/>
        <w:rPr>
          <w:lang w:val="fr-FR"/>
        </w:rPr>
      </w:pPr>
      <w:r w:rsidRPr="008D0AEE">
        <w:rPr>
          <w:lang w:val="fr-FR"/>
        </w:rPr>
        <w:lastRenderedPageBreak/>
        <w:tab/>
        <w:t>IX.</w:t>
      </w:r>
      <w:r w:rsidRPr="008D0AEE">
        <w:rPr>
          <w:lang w:val="fr-FR"/>
        </w:rPr>
        <w:tab/>
      </w:r>
      <w:r w:rsidRPr="003E6CD1">
        <w:rPr>
          <w:lang w:val="fr-FR"/>
        </w:rPr>
        <w:t>Adoption du rapport (point 8 de l</w:t>
      </w:r>
      <w:r>
        <w:rPr>
          <w:lang w:val="fr-FR"/>
        </w:rPr>
        <w:t>’</w:t>
      </w:r>
      <w:r w:rsidRPr="003E6CD1">
        <w:rPr>
          <w:lang w:val="fr-FR"/>
        </w:rPr>
        <w:t>ordre du jour</w:t>
      </w:r>
      <w:r w:rsidRPr="008D0AEE">
        <w:rPr>
          <w:lang w:val="fr-FR"/>
        </w:rPr>
        <w:t>)</w:t>
      </w:r>
    </w:p>
    <w:p w:rsidR="00B627DC" w:rsidRPr="008D0AEE" w:rsidRDefault="00B627DC" w:rsidP="00467265">
      <w:pPr>
        <w:pStyle w:val="SingleTxtG"/>
        <w:rPr>
          <w:lang w:val="fr-FR"/>
        </w:rPr>
      </w:pPr>
      <w:r w:rsidRPr="008D0AEE">
        <w:rPr>
          <w:lang w:val="fr-FR"/>
        </w:rPr>
        <w:t>67.</w:t>
      </w:r>
      <w:r w:rsidRPr="008D0AEE">
        <w:rPr>
          <w:lang w:val="fr-FR"/>
        </w:rPr>
        <w:tab/>
      </w:r>
      <w:r w:rsidRPr="0087655B">
        <w:rPr>
          <w:lang w:val="fr-FR"/>
        </w:rPr>
        <w:t>Le Sous-Comité a adopté le rapport de sa trente-quatrième session sur la base d</w:t>
      </w:r>
      <w:r>
        <w:rPr>
          <w:lang w:val="fr-FR"/>
        </w:rPr>
        <w:t>’</w:t>
      </w:r>
      <w:r w:rsidRPr="0087655B">
        <w:rPr>
          <w:lang w:val="fr-FR"/>
        </w:rPr>
        <w:t>un projet établi par le secrétariat</w:t>
      </w:r>
      <w:r w:rsidRPr="008D0AEE">
        <w:rPr>
          <w:lang w:val="fr-FR"/>
        </w:rPr>
        <w:t>.</w:t>
      </w:r>
    </w:p>
    <w:p w:rsidR="00B627DC" w:rsidRDefault="00B627DC" w:rsidP="00C36DFA">
      <w:pPr>
        <w:pStyle w:val="HChG"/>
        <w:rPr>
          <w:lang w:val="fr-FR"/>
        </w:rPr>
      </w:pPr>
      <w:r w:rsidRPr="008D0AEE">
        <w:rPr>
          <w:lang w:val="fr-FR"/>
        </w:rPr>
        <w:br w:type="page"/>
      </w:r>
      <w:r w:rsidR="00C36DFA">
        <w:rPr>
          <w:lang w:val="fr-FR"/>
        </w:rPr>
        <w:lastRenderedPageBreak/>
        <w:t>Annexe</w:t>
      </w:r>
    </w:p>
    <w:p w:rsidR="00C36DFA" w:rsidRPr="008D0AEE" w:rsidRDefault="00C36DFA" w:rsidP="00C36DFA">
      <w:pPr>
        <w:pStyle w:val="SingleTxtG"/>
        <w:jc w:val="right"/>
        <w:rPr>
          <w:lang w:val="fr-FR"/>
        </w:rPr>
      </w:pPr>
      <w:r>
        <w:rPr>
          <w:lang w:val="fr-FR"/>
        </w:rPr>
        <w:t>[</w:t>
      </w:r>
      <w:r w:rsidRPr="00C36DFA">
        <w:rPr>
          <w:i/>
          <w:lang w:val="fr-FR"/>
        </w:rPr>
        <w:t>Anglais seulement</w:t>
      </w:r>
      <w:r>
        <w:rPr>
          <w:lang w:val="fr-FR"/>
        </w:rPr>
        <w:t>]</w:t>
      </w:r>
    </w:p>
    <w:p w:rsidR="006B3057" w:rsidRPr="006B3057" w:rsidRDefault="006B3057" w:rsidP="006B3057">
      <w:pPr>
        <w:pStyle w:val="HChG"/>
        <w:rPr>
          <w:lang w:val="en-US"/>
        </w:rPr>
      </w:pPr>
      <w:r>
        <w:tab/>
      </w:r>
      <w:r>
        <w:tab/>
      </w:r>
      <w:r w:rsidRPr="006B3057">
        <w:rPr>
          <w:lang w:val="en-US"/>
        </w:rPr>
        <w:t>Corrections to the seventh revised edition of the GHS (ST/SG/AC.10/30/Rev.7)</w:t>
      </w:r>
    </w:p>
    <w:p w:rsidR="006B3057" w:rsidRPr="006B3057" w:rsidRDefault="006B3057" w:rsidP="006B3057">
      <w:pPr>
        <w:pStyle w:val="H23G"/>
        <w:rPr>
          <w:lang w:val="en-US"/>
        </w:rPr>
      </w:pPr>
      <w:r w:rsidRPr="006B3057">
        <w:rPr>
          <w:lang w:val="en-US"/>
        </w:rPr>
        <w:tab/>
        <w:t>1.</w:t>
      </w:r>
      <w:r w:rsidRPr="006B3057">
        <w:rPr>
          <w:lang w:val="en-US"/>
        </w:rPr>
        <w:tab/>
        <w:t>Chapter 2.2, paragraph 2.2.2.1, first sentence</w:t>
      </w:r>
    </w:p>
    <w:p w:rsidR="006B3057" w:rsidRPr="006B3057" w:rsidRDefault="006B3057" w:rsidP="006B3057">
      <w:pPr>
        <w:pStyle w:val="SingleTxtG"/>
        <w:rPr>
          <w:lang w:val="en-US"/>
        </w:rPr>
      </w:pPr>
      <w:r w:rsidRPr="006B3057">
        <w:rPr>
          <w:i/>
          <w:lang w:val="en-US"/>
        </w:rPr>
        <w:t xml:space="preserve">For </w:t>
      </w:r>
      <w:r w:rsidRPr="006B3057">
        <w:rPr>
          <w:lang w:val="en-US"/>
        </w:rPr>
        <w:t xml:space="preserve">in in Category 1A </w:t>
      </w:r>
      <w:r w:rsidRPr="006B3057">
        <w:rPr>
          <w:i/>
          <w:lang w:val="en-US"/>
        </w:rPr>
        <w:t>read</w:t>
      </w:r>
      <w:r w:rsidRPr="006B3057">
        <w:rPr>
          <w:lang w:val="en-US"/>
        </w:rPr>
        <w:t xml:space="preserve"> in Category 1A</w:t>
      </w:r>
    </w:p>
    <w:p w:rsidR="006B3057" w:rsidRPr="006B3057" w:rsidRDefault="006B3057" w:rsidP="006B3057">
      <w:pPr>
        <w:pStyle w:val="H23G"/>
        <w:rPr>
          <w:lang w:val="en-US"/>
        </w:rPr>
      </w:pPr>
      <w:r w:rsidRPr="006B3057">
        <w:rPr>
          <w:lang w:val="en-US"/>
        </w:rPr>
        <w:tab/>
        <w:t>2.</w:t>
      </w:r>
      <w:r w:rsidRPr="006B3057">
        <w:rPr>
          <w:lang w:val="en-US"/>
        </w:rPr>
        <w:tab/>
        <w:t>Chapter 2.16, paragraph 2.16.4.1, second text box from the top</w:t>
      </w:r>
    </w:p>
    <w:p w:rsidR="006B3057" w:rsidRPr="006B3057" w:rsidRDefault="006B3057" w:rsidP="006B3057">
      <w:pPr>
        <w:pStyle w:val="SingleTxtG"/>
        <w:rPr>
          <w:lang w:val="en-US"/>
        </w:rPr>
      </w:pPr>
      <w:r w:rsidRPr="006B3057">
        <w:rPr>
          <w:i/>
          <w:lang w:val="en-US"/>
        </w:rPr>
        <w:t xml:space="preserve">For </w:t>
      </w:r>
      <w:r w:rsidRPr="006B3057">
        <w:rPr>
          <w:lang w:val="en-US"/>
        </w:rPr>
        <w:t xml:space="preserve">aluminum </w:t>
      </w:r>
      <w:r w:rsidRPr="006B3057">
        <w:rPr>
          <w:i/>
          <w:lang w:val="en-US"/>
        </w:rPr>
        <w:t>read</w:t>
      </w:r>
      <w:r w:rsidRPr="006B3057">
        <w:rPr>
          <w:lang w:val="en-US"/>
        </w:rPr>
        <w:t xml:space="preserve"> aluminium</w:t>
      </w:r>
    </w:p>
    <w:p w:rsidR="006B3057" w:rsidRPr="006B3057" w:rsidRDefault="006B3057" w:rsidP="006B3057">
      <w:pPr>
        <w:pStyle w:val="H23G"/>
        <w:rPr>
          <w:lang w:val="en-US"/>
        </w:rPr>
      </w:pPr>
      <w:r w:rsidRPr="006B3057">
        <w:rPr>
          <w:lang w:val="en-US"/>
        </w:rPr>
        <w:tab/>
        <w:t>3.</w:t>
      </w:r>
      <w:r w:rsidRPr="006B3057">
        <w:rPr>
          <w:lang w:val="en-US"/>
        </w:rPr>
        <w:tab/>
        <w:t>Annex 3, section 2, table A3.2.2, precautionary statement P212, column (2)</w:t>
      </w:r>
    </w:p>
    <w:p w:rsidR="006B3057" w:rsidRPr="006B3057" w:rsidRDefault="006B3057" w:rsidP="006B3057">
      <w:pPr>
        <w:pStyle w:val="SingleTxtG"/>
        <w:rPr>
          <w:lang w:val="en-US"/>
        </w:rPr>
      </w:pPr>
      <w:r w:rsidRPr="006B3057">
        <w:rPr>
          <w:i/>
          <w:lang w:val="en-US"/>
        </w:rPr>
        <w:t>For</w:t>
      </w:r>
      <w:r w:rsidRPr="006B3057">
        <w:rPr>
          <w:lang w:val="en-US"/>
        </w:rPr>
        <w:t xml:space="preserve"> desensitized </w:t>
      </w:r>
      <w:r w:rsidRPr="006B3057">
        <w:rPr>
          <w:i/>
          <w:lang w:val="en-US"/>
        </w:rPr>
        <w:t>read</w:t>
      </w:r>
      <w:r w:rsidRPr="006B3057">
        <w:rPr>
          <w:lang w:val="en-US"/>
        </w:rPr>
        <w:t xml:space="preserve"> desensitizing</w:t>
      </w:r>
    </w:p>
    <w:p w:rsidR="006B3057" w:rsidRPr="006B3057" w:rsidRDefault="006B3057" w:rsidP="006B3057">
      <w:pPr>
        <w:pStyle w:val="H23G"/>
        <w:rPr>
          <w:lang w:val="en-US"/>
        </w:rPr>
      </w:pPr>
      <w:r w:rsidRPr="006B3057">
        <w:rPr>
          <w:lang w:val="en-US"/>
        </w:rPr>
        <w:tab/>
        <w:t>4.</w:t>
      </w:r>
      <w:r w:rsidRPr="006B3057">
        <w:rPr>
          <w:lang w:val="en-US"/>
        </w:rPr>
        <w:tab/>
        <w:t>Annex 3, section 3, paragraph A3.3.2.2.2, last sentence</w:t>
      </w:r>
    </w:p>
    <w:p w:rsidR="006B3057" w:rsidRPr="006B3057" w:rsidRDefault="006B3057" w:rsidP="006B3057">
      <w:pPr>
        <w:pStyle w:val="SingleTxtG"/>
        <w:rPr>
          <w:lang w:val="en-US"/>
        </w:rPr>
      </w:pPr>
      <w:r w:rsidRPr="006B3057">
        <w:rPr>
          <w:i/>
          <w:lang w:val="en-US"/>
        </w:rPr>
        <w:t>For</w:t>
      </w:r>
      <w:r w:rsidRPr="006B3057">
        <w:rPr>
          <w:lang w:val="en-US"/>
        </w:rPr>
        <w:t xml:space="preserve"> open flame </w:t>
      </w:r>
      <w:r w:rsidRPr="006B3057">
        <w:rPr>
          <w:i/>
          <w:lang w:val="en-US"/>
        </w:rPr>
        <w:t>read</w:t>
      </w:r>
      <w:r w:rsidRPr="006B3057">
        <w:rPr>
          <w:lang w:val="en-US"/>
        </w:rPr>
        <w:t xml:space="preserve"> open flames</w:t>
      </w:r>
    </w:p>
    <w:p w:rsidR="006B3057" w:rsidRPr="006B3057" w:rsidRDefault="006B3057" w:rsidP="006B3057">
      <w:pPr>
        <w:pStyle w:val="H23G"/>
        <w:rPr>
          <w:lang w:val="en-US"/>
        </w:rPr>
      </w:pPr>
      <w:r w:rsidRPr="006B3057">
        <w:rPr>
          <w:lang w:val="en-US"/>
        </w:rPr>
        <w:tab/>
        <w:t>5.</w:t>
      </w:r>
      <w:r w:rsidRPr="006B3057">
        <w:rPr>
          <w:lang w:val="en-US"/>
        </w:rPr>
        <w:tab/>
        <w:t>Annex 3, section 3, heading A3.3.5 and paragraph A3.3.5.1</w:t>
      </w:r>
    </w:p>
    <w:p w:rsidR="006B3057" w:rsidRPr="006B3057" w:rsidRDefault="006B3057" w:rsidP="006B3057">
      <w:pPr>
        <w:pStyle w:val="SingleTxtG"/>
        <w:rPr>
          <w:i/>
          <w:lang w:val="en-US"/>
        </w:rPr>
      </w:pPr>
      <w:r w:rsidRPr="006B3057">
        <w:rPr>
          <w:i/>
          <w:lang w:val="en-US"/>
        </w:rPr>
        <w:t>Delete</w:t>
      </w:r>
    </w:p>
    <w:p w:rsidR="006B3057" w:rsidRPr="006B3057" w:rsidRDefault="006B3057" w:rsidP="006B3057">
      <w:pPr>
        <w:pStyle w:val="H23G"/>
        <w:rPr>
          <w:lang w:val="en-US"/>
        </w:rPr>
      </w:pPr>
      <w:r w:rsidRPr="006B3057">
        <w:rPr>
          <w:lang w:val="en-US"/>
        </w:rPr>
        <w:tab/>
        <w:t>6.</w:t>
      </w:r>
      <w:r w:rsidRPr="006B3057">
        <w:rPr>
          <w:lang w:val="en-US"/>
        </w:rPr>
        <w:tab/>
        <w:t>Annex 3, section 3, matrix table on page 328 of the English version</w:t>
      </w:r>
    </w:p>
    <w:p w:rsidR="006B3057" w:rsidRPr="006B3057" w:rsidRDefault="006B3057" w:rsidP="006B3057">
      <w:pPr>
        <w:pStyle w:val="SingleTxtG"/>
        <w:rPr>
          <w:lang w:val="en-US"/>
        </w:rPr>
      </w:pPr>
      <w:r w:rsidRPr="006B3057">
        <w:rPr>
          <w:i/>
          <w:lang w:val="en-US"/>
        </w:rPr>
        <w:t>For</w:t>
      </w:r>
      <w:r w:rsidRPr="006B3057">
        <w:rPr>
          <w:lang w:val="en-US"/>
        </w:rPr>
        <w:t xml:space="preserve"> OXIDIZING LIQUIDS (CHAPTER 2.13) </w:t>
      </w:r>
      <w:r w:rsidRPr="006B3057">
        <w:rPr>
          <w:i/>
          <w:lang w:val="en-US"/>
        </w:rPr>
        <w:t>read</w:t>
      </w:r>
      <w:r w:rsidRPr="006B3057">
        <w:rPr>
          <w:lang w:val="en-US"/>
        </w:rPr>
        <w:t xml:space="preserve"> OXIDIZING SOLIDS (CHAPTER 2.14)</w:t>
      </w:r>
    </w:p>
    <w:p w:rsidR="006B3057" w:rsidRPr="006B3057" w:rsidRDefault="006B3057" w:rsidP="006B3057">
      <w:pPr>
        <w:pStyle w:val="H23G"/>
        <w:rPr>
          <w:lang w:val="en-US"/>
        </w:rPr>
      </w:pPr>
      <w:r w:rsidRPr="006B3057">
        <w:rPr>
          <w:lang w:val="en-US"/>
        </w:rPr>
        <w:tab/>
        <w:t>7.</w:t>
      </w:r>
      <w:r w:rsidRPr="006B3057">
        <w:rPr>
          <w:lang w:val="en-US"/>
        </w:rPr>
        <w:tab/>
        <w:t>Annex 3, section 3, matrix table acute toxicity (inhalation), category 3, hazard statement</w:t>
      </w:r>
    </w:p>
    <w:p w:rsidR="00C033BC" w:rsidRDefault="006B3057" w:rsidP="006B3057">
      <w:pPr>
        <w:pStyle w:val="SingleTxtG"/>
      </w:pPr>
      <w:r>
        <w:rPr>
          <w:i/>
        </w:rPr>
        <w:t xml:space="preserve">For </w:t>
      </w:r>
      <w:r w:rsidRPr="005C7410">
        <w:t>H311</w:t>
      </w:r>
      <w:r>
        <w:t xml:space="preserve"> </w:t>
      </w:r>
      <w:r w:rsidRPr="005C7410">
        <w:rPr>
          <w:i/>
        </w:rPr>
        <w:t>read</w:t>
      </w:r>
      <w:r>
        <w:t xml:space="preserve"> H331</w:t>
      </w:r>
    </w:p>
    <w:p w:rsidR="00446FE5" w:rsidRPr="00B627DC" w:rsidRDefault="00B627DC" w:rsidP="00B627DC">
      <w:pPr>
        <w:pStyle w:val="SingleTxtG"/>
        <w:spacing w:before="240" w:after="0"/>
        <w:jc w:val="center"/>
        <w:rPr>
          <w:u w:val="single"/>
        </w:rPr>
      </w:pPr>
      <w:r>
        <w:rPr>
          <w:u w:val="single"/>
        </w:rPr>
        <w:tab/>
      </w:r>
      <w:r>
        <w:rPr>
          <w:u w:val="single"/>
        </w:rPr>
        <w:tab/>
      </w:r>
      <w:r>
        <w:rPr>
          <w:u w:val="single"/>
        </w:rPr>
        <w:tab/>
      </w:r>
    </w:p>
    <w:sectPr w:rsidR="00446FE5" w:rsidRPr="00B627DC" w:rsidSect="00C033B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52" w:rsidRDefault="00435A52" w:rsidP="00F95C08">
      <w:pPr>
        <w:spacing w:line="240" w:lineRule="auto"/>
      </w:pPr>
    </w:p>
  </w:endnote>
  <w:endnote w:type="continuationSeparator" w:id="0">
    <w:p w:rsidR="00435A52" w:rsidRPr="00AC3823" w:rsidRDefault="00435A52" w:rsidP="00AC3823">
      <w:pPr>
        <w:pStyle w:val="Footer"/>
      </w:pPr>
    </w:p>
  </w:endnote>
  <w:endnote w:type="continuationNotice" w:id="1">
    <w:p w:rsidR="00435A52" w:rsidRDefault="00435A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52" w:rsidRPr="00C033BC" w:rsidRDefault="00435A52" w:rsidP="00C033BC">
    <w:pPr>
      <w:pStyle w:val="Footer"/>
      <w:tabs>
        <w:tab w:val="right" w:pos="9638"/>
      </w:tabs>
    </w:pPr>
    <w:r w:rsidRPr="00C033BC">
      <w:rPr>
        <w:b/>
        <w:sz w:val="18"/>
      </w:rPr>
      <w:fldChar w:fldCharType="begin"/>
    </w:r>
    <w:r w:rsidRPr="00C033BC">
      <w:rPr>
        <w:b/>
        <w:sz w:val="18"/>
      </w:rPr>
      <w:instrText xml:space="preserve"> PAGE  \* MERGEFORMAT </w:instrText>
    </w:r>
    <w:r w:rsidRPr="00C033BC">
      <w:rPr>
        <w:b/>
        <w:sz w:val="18"/>
      </w:rPr>
      <w:fldChar w:fldCharType="separate"/>
    </w:r>
    <w:r w:rsidR="00096A21">
      <w:rPr>
        <w:b/>
        <w:noProof/>
        <w:sz w:val="18"/>
      </w:rPr>
      <w:t>12</w:t>
    </w:r>
    <w:r w:rsidRPr="00C033BC">
      <w:rPr>
        <w:b/>
        <w:sz w:val="18"/>
      </w:rPr>
      <w:fldChar w:fldCharType="end"/>
    </w:r>
    <w:r>
      <w:rPr>
        <w:b/>
        <w:sz w:val="18"/>
      </w:rPr>
      <w:tab/>
    </w:r>
    <w:r>
      <w:t>GE.17-22737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52" w:rsidRPr="00C033BC" w:rsidRDefault="00435A52" w:rsidP="00C033BC">
    <w:pPr>
      <w:pStyle w:val="Footer"/>
      <w:tabs>
        <w:tab w:val="right" w:pos="9638"/>
      </w:tabs>
      <w:rPr>
        <w:b/>
        <w:sz w:val="18"/>
      </w:rPr>
    </w:pPr>
    <w:r>
      <w:t>GE.17-22737</w:t>
    </w:r>
    <w:r>
      <w:tab/>
    </w:r>
    <w:r w:rsidRPr="00C033BC">
      <w:rPr>
        <w:b/>
        <w:sz w:val="18"/>
      </w:rPr>
      <w:fldChar w:fldCharType="begin"/>
    </w:r>
    <w:r w:rsidRPr="00C033BC">
      <w:rPr>
        <w:b/>
        <w:sz w:val="18"/>
      </w:rPr>
      <w:instrText xml:space="preserve"> PAGE  \* MERGEFORMAT </w:instrText>
    </w:r>
    <w:r w:rsidRPr="00C033BC">
      <w:rPr>
        <w:b/>
        <w:sz w:val="18"/>
      </w:rPr>
      <w:fldChar w:fldCharType="separate"/>
    </w:r>
    <w:r w:rsidR="00096A21">
      <w:rPr>
        <w:b/>
        <w:noProof/>
        <w:sz w:val="18"/>
      </w:rPr>
      <w:t>13</w:t>
    </w:r>
    <w:r w:rsidRPr="00C033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52" w:rsidRPr="00C033BC" w:rsidRDefault="00435A52" w:rsidP="00C033BC">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17-22737  (F)    280218    280218</w:t>
    </w:r>
    <w:r>
      <w:rPr>
        <w:sz w:val="20"/>
      </w:rPr>
      <w:br/>
    </w:r>
    <w:r w:rsidRPr="00C033BC">
      <w:rPr>
        <w:rFonts w:ascii="C39T30Lfz" w:hAnsi="C39T30Lfz"/>
        <w:sz w:val="56"/>
      </w:rPr>
      <w:t></w:t>
    </w:r>
    <w:r w:rsidRPr="00C033BC">
      <w:rPr>
        <w:rFonts w:ascii="C39T30Lfz" w:hAnsi="C39T30Lfz"/>
        <w:sz w:val="56"/>
      </w:rPr>
      <w:t></w:t>
    </w:r>
    <w:r w:rsidRPr="00C033BC">
      <w:rPr>
        <w:rFonts w:ascii="C39T30Lfz" w:hAnsi="C39T30Lfz"/>
        <w:sz w:val="56"/>
      </w:rPr>
      <w:t></w:t>
    </w:r>
    <w:r w:rsidRPr="00C033BC">
      <w:rPr>
        <w:rFonts w:ascii="C39T30Lfz" w:hAnsi="C39T30Lfz"/>
        <w:sz w:val="56"/>
      </w:rPr>
      <w:t></w:t>
    </w:r>
    <w:r w:rsidRPr="00C033BC">
      <w:rPr>
        <w:rFonts w:ascii="C39T30Lfz" w:hAnsi="C39T30Lfz"/>
        <w:sz w:val="56"/>
      </w:rPr>
      <w:t></w:t>
    </w:r>
    <w:r w:rsidRPr="00C033BC">
      <w:rPr>
        <w:rFonts w:ascii="C39T30Lfz" w:hAnsi="C39T30Lfz"/>
        <w:sz w:val="56"/>
      </w:rPr>
      <w:t></w:t>
    </w:r>
    <w:r w:rsidRPr="00C033BC">
      <w:rPr>
        <w:rFonts w:ascii="C39T30Lfz" w:hAnsi="C39T30Lfz"/>
        <w:sz w:val="56"/>
      </w:rPr>
      <w:t></w:t>
    </w:r>
    <w:r w:rsidRPr="00C033BC">
      <w:rPr>
        <w:rFonts w:ascii="C39T30Lfz" w:hAnsi="C39T30Lfz"/>
        <w:sz w:val="56"/>
      </w:rPr>
      <w:t></w:t>
    </w:r>
    <w:r w:rsidRPr="00C033B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52" w:rsidRPr="00AC3823" w:rsidRDefault="00435A52" w:rsidP="00AC3823">
      <w:pPr>
        <w:pStyle w:val="Footer"/>
        <w:tabs>
          <w:tab w:val="right" w:pos="2155"/>
        </w:tabs>
        <w:spacing w:after="80" w:line="240" w:lineRule="atLeast"/>
        <w:ind w:left="680"/>
        <w:rPr>
          <w:u w:val="single"/>
        </w:rPr>
      </w:pPr>
      <w:r>
        <w:rPr>
          <w:u w:val="single"/>
        </w:rPr>
        <w:tab/>
      </w:r>
    </w:p>
  </w:footnote>
  <w:footnote w:type="continuationSeparator" w:id="0">
    <w:p w:rsidR="00435A52" w:rsidRPr="00AC3823" w:rsidRDefault="00435A52" w:rsidP="00AC3823">
      <w:pPr>
        <w:pStyle w:val="Footer"/>
        <w:tabs>
          <w:tab w:val="right" w:pos="2155"/>
        </w:tabs>
        <w:spacing w:after="80" w:line="240" w:lineRule="atLeast"/>
        <w:ind w:left="680"/>
        <w:rPr>
          <w:u w:val="single"/>
        </w:rPr>
      </w:pPr>
      <w:r>
        <w:rPr>
          <w:u w:val="single"/>
        </w:rPr>
        <w:tab/>
      </w:r>
    </w:p>
  </w:footnote>
  <w:footnote w:type="continuationNotice" w:id="1">
    <w:p w:rsidR="00435A52" w:rsidRPr="00AC3823" w:rsidRDefault="00435A52">
      <w:pPr>
        <w:spacing w:line="240" w:lineRule="auto"/>
        <w:rPr>
          <w:sz w:val="2"/>
          <w:szCs w:val="2"/>
        </w:rPr>
      </w:pPr>
    </w:p>
  </w:footnote>
  <w:footnote w:id="2">
    <w:p w:rsidR="00435A52" w:rsidRPr="00B627DC" w:rsidRDefault="00435A52" w:rsidP="00B627DC">
      <w:pPr>
        <w:pStyle w:val="FootnoteText"/>
      </w:pPr>
      <w:r>
        <w:tab/>
      </w:r>
      <w:r w:rsidRPr="00FA2613">
        <w:rPr>
          <w:rStyle w:val="FootnoteReference"/>
        </w:rPr>
        <w:footnoteRef/>
      </w:r>
      <w:r>
        <w:t xml:space="preserve"> </w:t>
      </w:r>
      <w:r>
        <w:tab/>
      </w:r>
      <w:r w:rsidRPr="00683710">
        <w:t>http</w:t>
      </w:r>
      <w:r w:rsidR="00041630">
        <w:t>:</w:t>
      </w:r>
      <w:r w:rsidRPr="00683710">
        <w:t>//www.unece.org/trans/main/dgdb/dgsubc3/c3inf52.html</w:t>
      </w:r>
      <w:r>
        <w:t>.</w:t>
      </w:r>
    </w:p>
  </w:footnote>
  <w:footnote w:id="3">
    <w:p w:rsidR="00435A52" w:rsidRPr="00F617BF" w:rsidRDefault="00435A52" w:rsidP="00B627DC">
      <w:pPr>
        <w:pStyle w:val="FootnoteText"/>
      </w:pPr>
      <w:r>
        <w:tab/>
      </w:r>
      <w:r w:rsidRPr="00FA2613">
        <w:rPr>
          <w:rStyle w:val="FootnoteReference"/>
        </w:rPr>
        <w:footnoteRef/>
      </w:r>
      <w:r w:rsidRPr="00FA2613">
        <w:t xml:space="preserve"> </w:t>
      </w:r>
      <w:r w:rsidRPr="00FA2613">
        <w:tab/>
      </w:r>
      <w:r w:rsidRPr="0054383D">
        <w:t>Voir le document informel INF.39 (trente-deuxième session), disponible à l</w:t>
      </w:r>
      <w:r w:rsidR="004D747C">
        <w:t>’</w:t>
      </w:r>
      <w:r w:rsidRPr="0054383D">
        <w:t>adresse</w:t>
      </w:r>
      <w:r>
        <w:t xml:space="preserve"> </w:t>
      </w:r>
      <w:r w:rsidRPr="00FA2613">
        <w:t>http</w:t>
      </w:r>
      <w:r w:rsidR="00041630">
        <w:t>:</w:t>
      </w:r>
      <w:r w:rsidRPr="00FA2613">
        <w:t>//www.unece.org/fileadmin/DAM/trans/doc/2016/dgac10c4/UN-SCEGHS-32-INF39.pdf.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52" w:rsidRPr="00C033BC" w:rsidRDefault="00096A21">
    <w:pPr>
      <w:pStyle w:val="Header"/>
    </w:pPr>
    <w:r>
      <w:fldChar w:fldCharType="begin"/>
    </w:r>
    <w:r>
      <w:instrText xml:space="preserve"> TITLE  \* MERGEFORMAT </w:instrText>
    </w:r>
    <w:r>
      <w:fldChar w:fldCharType="separate"/>
    </w:r>
    <w:r>
      <w:t>ST/SG/AC.10/C.4/68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A52" w:rsidRPr="00C033BC" w:rsidRDefault="00096A21" w:rsidP="00C033BC">
    <w:pPr>
      <w:pStyle w:val="Header"/>
      <w:jc w:val="right"/>
    </w:pPr>
    <w:r>
      <w:fldChar w:fldCharType="begin"/>
    </w:r>
    <w:r>
      <w:instrText xml:space="preserve"> TITLE  \* MERGEFORMAT </w:instrText>
    </w:r>
    <w:r>
      <w:fldChar w:fldCharType="separate"/>
    </w:r>
    <w:r>
      <w:t>ST/SG/AC.10/C.4/68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03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8038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F75A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0"/>
  </w:num>
  <w:num w:numId="18">
    <w:abstractNumId w:val="12"/>
  </w:num>
  <w:num w:numId="19">
    <w:abstractNumId w:val="1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5"/>
    <w:rsid w:val="000120AA"/>
    <w:rsid w:val="00017F94"/>
    <w:rsid w:val="00023842"/>
    <w:rsid w:val="000305D3"/>
    <w:rsid w:val="000334F9"/>
    <w:rsid w:val="00041630"/>
    <w:rsid w:val="0007796D"/>
    <w:rsid w:val="00096A21"/>
    <w:rsid w:val="00096DD7"/>
    <w:rsid w:val="000B7790"/>
    <w:rsid w:val="00111F2F"/>
    <w:rsid w:val="00132EA9"/>
    <w:rsid w:val="0014365E"/>
    <w:rsid w:val="00146D47"/>
    <w:rsid w:val="00176178"/>
    <w:rsid w:val="001802BD"/>
    <w:rsid w:val="00183001"/>
    <w:rsid w:val="001A0BBB"/>
    <w:rsid w:val="001C0B2D"/>
    <w:rsid w:val="001F1EA4"/>
    <w:rsid w:val="001F525A"/>
    <w:rsid w:val="00223272"/>
    <w:rsid w:val="002256F1"/>
    <w:rsid w:val="0024779E"/>
    <w:rsid w:val="00283190"/>
    <w:rsid w:val="002832AC"/>
    <w:rsid w:val="002D7C93"/>
    <w:rsid w:val="00402507"/>
    <w:rsid w:val="0042663F"/>
    <w:rsid w:val="00435A52"/>
    <w:rsid w:val="00441C3B"/>
    <w:rsid w:val="00446FE5"/>
    <w:rsid w:val="00452396"/>
    <w:rsid w:val="00467265"/>
    <w:rsid w:val="004C7C11"/>
    <w:rsid w:val="004D747C"/>
    <w:rsid w:val="004E468C"/>
    <w:rsid w:val="005505B7"/>
    <w:rsid w:val="00561F66"/>
    <w:rsid w:val="00573BE5"/>
    <w:rsid w:val="00584DC4"/>
    <w:rsid w:val="00586ED3"/>
    <w:rsid w:val="00596AA9"/>
    <w:rsid w:val="005B64F3"/>
    <w:rsid w:val="005F3BFE"/>
    <w:rsid w:val="0068456F"/>
    <w:rsid w:val="006B3057"/>
    <w:rsid w:val="0071601D"/>
    <w:rsid w:val="0074138C"/>
    <w:rsid w:val="00792CA4"/>
    <w:rsid w:val="007A62E6"/>
    <w:rsid w:val="007B53D5"/>
    <w:rsid w:val="0080684C"/>
    <w:rsid w:val="00840327"/>
    <w:rsid w:val="00852FFB"/>
    <w:rsid w:val="00862C48"/>
    <w:rsid w:val="00871C75"/>
    <w:rsid w:val="008770F7"/>
    <w:rsid w:val="008776DC"/>
    <w:rsid w:val="008B40CD"/>
    <w:rsid w:val="009705C8"/>
    <w:rsid w:val="009C1CF4"/>
    <w:rsid w:val="009E618A"/>
    <w:rsid w:val="00A05262"/>
    <w:rsid w:val="00A13180"/>
    <w:rsid w:val="00A30353"/>
    <w:rsid w:val="00A54941"/>
    <w:rsid w:val="00A97809"/>
    <w:rsid w:val="00AC3823"/>
    <w:rsid w:val="00AE323C"/>
    <w:rsid w:val="00B00181"/>
    <w:rsid w:val="00B00B0D"/>
    <w:rsid w:val="00B2296C"/>
    <w:rsid w:val="00B47F28"/>
    <w:rsid w:val="00B627DC"/>
    <w:rsid w:val="00B765F7"/>
    <w:rsid w:val="00BA0CA9"/>
    <w:rsid w:val="00BB7EDA"/>
    <w:rsid w:val="00BC7732"/>
    <w:rsid w:val="00C02897"/>
    <w:rsid w:val="00C033BC"/>
    <w:rsid w:val="00C22045"/>
    <w:rsid w:val="00C235C7"/>
    <w:rsid w:val="00C36DFA"/>
    <w:rsid w:val="00CB4DC1"/>
    <w:rsid w:val="00D3439C"/>
    <w:rsid w:val="00DB1831"/>
    <w:rsid w:val="00DC29F1"/>
    <w:rsid w:val="00DD3BFD"/>
    <w:rsid w:val="00DF6678"/>
    <w:rsid w:val="00E65EE2"/>
    <w:rsid w:val="00EF2E22"/>
    <w:rsid w:val="00F01738"/>
    <w:rsid w:val="00F25396"/>
    <w:rsid w:val="00F37937"/>
    <w:rsid w:val="00F660DF"/>
    <w:rsid w:val="00F730C8"/>
    <w:rsid w:val="00F95C08"/>
    <w:rsid w:val="00FC6D7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A67ED3-F510-4D91-9117-1428802D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3Deffects1">
    <w:name w:val="Table 3D effects 1"/>
    <w:basedOn w:val="TableNormal"/>
    <w:semiHidden/>
    <w:rsid w:val="00B627DC"/>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27DC"/>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627DC"/>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627D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627DC"/>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27D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27DC"/>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27DC"/>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27DC"/>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27DC"/>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627DC"/>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27DC"/>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27DC"/>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Char">
    <w:name w:val="_ H _Ch_G Char"/>
    <w:link w:val="HChG"/>
    <w:rsid w:val="00B627DC"/>
    <w:rPr>
      <w:rFonts w:ascii="Times New Roman" w:eastAsiaTheme="minorHAnsi" w:hAnsi="Times New Roman" w:cs="Times New Roman"/>
      <w:b/>
      <w:sz w:val="28"/>
      <w:szCs w:val="20"/>
      <w:lang w:eastAsia="en-US"/>
    </w:rPr>
  </w:style>
  <w:style w:type="character" w:customStyle="1" w:styleId="H1GChar">
    <w:name w:val="_ H_1_G Char"/>
    <w:link w:val="H1G"/>
    <w:rsid w:val="00B627D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B627DC"/>
    <w:rPr>
      <w:rFonts w:ascii="Times New Roman" w:eastAsiaTheme="minorHAnsi" w:hAnsi="Times New Roman" w:cs="Times New Roman"/>
      <w:sz w:val="20"/>
      <w:szCs w:val="20"/>
      <w:lang w:eastAsia="en-US"/>
    </w:rPr>
  </w:style>
  <w:style w:type="paragraph" w:styleId="Revision">
    <w:name w:val="Revision"/>
    <w:hidden/>
    <w:uiPriority w:val="99"/>
    <w:semiHidden/>
    <w:rsid w:val="00B627DC"/>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0DC7-D98D-4B9D-9E3F-B48743B4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5156</Words>
  <Characters>29391</Characters>
  <Application>Microsoft Office Word</Application>
  <DocSecurity>0</DocSecurity>
  <Lines>244</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ST/SG/AC.10/C.4/68</vt:lpstr>
      <vt:lpstr>ST/SG/AC.10/C.4/68</vt:lpstr>
    </vt:vector>
  </TitlesOfParts>
  <Company>DCM</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ST/SG/AC.10/C.4/68</dc:title>
  <dc:subject/>
  <dc:creator>Nath VITTOZ</dc:creator>
  <cp:keywords/>
  <cp:lastModifiedBy>Laurence Berthet</cp:lastModifiedBy>
  <cp:revision>3</cp:revision>
  <cp:lastPrinted>2018-02-28T12:57:00Z</cp:lastPrinted>
  <dcterms:created xsi:type="dcterms:W3CDTF">2018-02-28T12:56:00Z</dcterms:created>
  <dcterms:modified xsi:type="dcterms:W3CDTF">2018-02-28T12:57:00Z</dcterms:modified>
</cp:coreProperties>
</file>