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110B57" w:rsidTr="00B11BB4">
        <w:trPr>
          <w:cantSplit/>
          <w:trHeight w:hRule="exact" w:val="851"/>
        </w:trPr>
        <w:tc>
          <w:tcPr>
            <w:tcW w:w="1276" w:type="dxa"/>
            <w:tcBorders>
              <w:bottom w:val="single" w:sz="4" w:space="0" w:color="auto"/>
            </w:tcBorders>
            <w:shd w:val="clear" w:color="auto" w:fill="auto"/>
            <w:vAlign w:val="bottom"/>
          </w:tcPr>
          <w:p w:rsidR="00B56E9C" w:rsidRPr="00110B57" w:rsidRDefault="00B56E9C" w:rsidP="00B11BB4">
            <w:pPr>
              <w:spacing w:after="80"/>
            </w:pPr>
          </w:p>
        </w:tc>
        <w:tc>
          <w:tcPr>
            <w:tcW w:w="2268" w:type="dxa"/>
            <w:tcBorders>
              <w:bottom w:val="single" w:sz="4" w:space="0" w:color="auto"/>
            </w:tcBorders>
            <w:shd w:val="clear" w:color="auto" w:fill="auto"/>
            <w:vAlign w:val="bottom"/>
          </w:tcPr>
          <w:p w:rsidR="00B56E9C" w:rsidRPr="00110B57"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110B57" w:rsidRDefault="00CD57D2" w:rsidP="00B25EB2">
            <w:pPr>
              <w:suppressAutoHyphens w:val="0"/>
              <w:spacing w:after="20"/>
              <w:jc w:val="right"/>
              <w:rPr>
                <w:b/>
                <w:sz w:val="28"/>
                <w:szCs w:val="28"/>
              </w:rPr>
            </w:pPr>
            <w:r w:rsidRPr="00110B57">
              <w:rPr>
                <w:b/>
                <w:sz w:val="28"/>
                <w:szCs w:val="28"/>
              </w:rPr>
              <w:t>INF.</w:t>
            </w:r>
            <w:r w:rsidR="006E5E05" w:rsidRPr="00110B57">
              <w:rPr>
                <w:b/>
                <w:sz w:val="28"/>
                <w:szCs w:val="28"/>
              </w:rPr>
              <w:t>1</w:t>
            </w:r>
            <w:r w:rsidR="00A74E49" w:rsidRPr="00110B57">
              <w:rPr>
                <w:b/>
                <w:sz w:val="28"/>
                <w:szCs w:val="28"/>
              </w:rPr>
              <w:t>5</w:t>
            </w:r>
            <w:r w:rsidR="00815E91" w:rsidRPr="00110B57">
              <w:rPr>
                <w:b/>
                <w:sz w:val="28"/>
                <w:szCs w:val="28"/>
              </w:rPr>
              <w:t xml:space="preserve"> E</w:t>
            </w:r>
          </w:p>
        </w:tc>
      </w:tr>
    </w:tbl>
    <w:p w:rsidR="00AB32F7" w:rsidRPr="00110B57" w:rsidRDefault="00AB32F7" w:rsidP="00AB32F7">
      <w:pPr>
        <w:spacing w:before="120"/>
        <w:rPr>
          <w:b/>
          <w:sz w:val="28"/>
          <w:szCs w:val="28"/>
        </w:rPr>
      </w:pPr>
      <w:r w:rsidRPr="00110B57">
        <w:rPr>
          <w:b/>
          <w:sz w:val="28"/>
          <w:szCs w:val="28"/>
        </w:rPr>
        <w:t>Economic Commission for Europe</w:t>
      </w:r>
    </w:p>
    <w:p w:rsidR="00AB32F7" w:rsidRPr="00110B57" w:rsidRDefault="00AB32F7" w:rsidP="00AB32F7">
      <w:pPr>
        <w:spacing w:before="120"/>
        <w:rPr>
          <w:sz w:val="28"/>
          <w:szCs w:val="28"/>
        </w:rPr>
      </w:pPr>
      <w:r w:rsidRPr="00110B57">
        <w:rPr>
          <w:sz w:val="28"/>
          <w:szCs w:val="28"/>
        </w:rPr>
        <w:t>Inland Transport Committee</w:t>
      </w:r>
    </w:p>
    <w:p w:rsidR="00AB32F7" w:rsidRPr="00110B57" w:rsidRDefault="00AB32F7" w:rsidP="00AB32F7">
      <w:pPr>
        <w:spacing w:before="120"/>
        <w:rPr>
          <w:b/>
          <w:sz w:val="24"/>
          <w:szCs w:val="24"/>
        </w:rPr>
      </w:pPr>
      <w:r w:rsidRPr="00110B57">
        <w:rPr>
          <w:b/>
          <w:sz w:val="24"/>
          <w:szCs w:val="24"/>
        </w:rPr>
        <w:t>Working Party on the Transport of Dangerous Goods</w:t>
      </w:r>
    </w:p>
    <w:p w:rsidR="00AB32F7" w:rsidRPr="00110B57" w:rsidRDefault="00B25EB2" w:rsidP="00AB32F7">
      <w:pPr>
        <w:spacing w:before="120"/>
        <w:rPr>
          <w:b/>
        </w:rPr>
      </w:pPr>
      <w:r w:rsidRPr="00110B57">
        <w:rPr>
          <w:b/>
        </w:rPr>
        <w:t>10</w:t>
      </w:r>
      <w:r w:rsidR="00531D46" w:rsidRPr="00110B57">
        <w:rPr>
          <w:b/>
        </w:rPr>
        <w:t>4</w:t>
      </w:r>
      <w:r w:rsidRPr="00110B57">
        <w:rPr>
          <w:b/>
        </w:rPr>
        <w:t>th</w:t>
      </w:r>
      <w:r w:rsidR="00AB32F7" w:rsidRPr="00110B57">
        <w:rPr>
          <w:b/>
        </w:rPr>
        <w:t xml:space="preserve"> session</w:t>
      </w:r>
      <w:r w:rsidR="00AB32F7" w:rsidRPr="00110B57">
        <w:rPr>
          <w:b/>
        </w:rPr>
        <w:tab/>
      </w:r>
      <w:r w:rsidR="00AB32F7" w:rsidRPr="00110B57">
        <w:rPr>
          <w:b/>
        </w:rPr>
        <w:tab/>
      </w:r>
      <w:r w:rsidR="00AB32F7" w:rsidRPr="00110B57">
        <w:rPr>
          <w:b/>
        </w:rPr>
        <w:tab/>
      </w:r>
      <w:r w:rsidR="00AB32F7" w:rsidRPr="00110B57">
        <w:rPr>
          <w:b/>
        </w:rPr>
        <w:tab/>
      </w:r>
      <w:r w:rsidR="00AB32F7" w:rsidRPr="00110B57">
        <w:rPr>
          <w:b/>
        </w:rPr>
        <w:tab/>
      </w:r>
      <w:r w:rsidR="00AB32F7" w:rsidRPr="00110B57">
        <w:rPr>
          <w:b/>
        </w:rPr>
        <w:tab/>
      </w:r>
      <w:r w:rsidR="00AB32F7" w:rsidRPr="00110B57">
        <w:rPr>
          <w:b/>
        </w:rPr>
        <w:tab/>
      </w:r>
      <w:r w:rsidR="00AB32F7" w:rsidRPr="00110B57">
        <w:rPr>
          <w:b/>
        </w:rPr>
        <w:tab/>
      </w:r>
      <w:r w:rsidR="00AB32F7" w:rsidRPr="00110B57">
        <w:rPr>
          <w:b/>
        </w:rPr>
        <w:tab/>
      </w:r>
      <w:r w:rsidR="00AB32F7" w:rsidRPr="00110B57">
        <w:rPr>
          <w:b/>
        </w:rPr>
        <w:tab/>
      </w:r>
      <w:r w:rsidR="00AB32F7" w:rsidRPr="00110B57">
        <w:rPr>
          <w:b/>
        </w:rPr>
        <w:tab/>
      </w:r>
      <w:r w:rsidR="00A74E49" w:rsidRPr="00110B57">
        <w:rPr>
          <w:b/>
        </w:rPr>
        <w:t>25 April</w:t>
      </w:r>
      <w:r w:rsidR="00531D46" w:rsidRPr="00110B57">
        <w:rPr>
          <w:b/>
        </w:rPr>
        <w:t xml:space="preserve"> 2018</w:t>
      </w:r>
    </w:p>
    <w:p w:rsidR="00531D46" w:rsidRPr="00110B57" w:rsidRDefault="00531D46" w:rsidP="00531D46">
      <w:pPr>
        <w:pStyle w:val="western"/>
        <w:spacing w:before="0" w:beforeAutospacing="0" w:line="240" w:lineRule="auto"/>
        <w:rPr>
          <w:lang w:val="en-GB"/>
        </w:rPr>
      </w:pPr>
      <w:r w:rsidRPr="00110B57">
        <w:rPr>
          <w:lang w:val="en-GB"/>
        </w:rPr>
        <w:t>Geneva, 15-17 May 2018</w:t>
      </w:r>
    </w:p>
    <w:p w:rsidR="00AB32F7" w:rsidRPr="00110B57" w:rsidRDefault="00AB32F7" w:rsidP="00AB32F7">
      <w:r w:rsidRPr="00110B57">
        <w:t xml:space="preserve">Item </w:t>
      </w:r>
      <w:r w:rsidR="00531D46" w:rsidRPr="00110B57">
        <w:t>4</w:t>
      </w:r>
      <w:r w:rsidRPr="00110B57">
        <w:t xml:space="preserve"> of the provisional agenda</w:t>
      </w:r>
    </w:p>
    <w:p w:rsidR="0022321E" w:rsidRPr="00110B57" w:rsidRDefault="003D3380" w:rsidP="00AB32F7">
      <w:pPr>
        <w:rPr>
          <w:b/>
        </w:rPr>
      </w:pPr>
      <w:r w:rsidRPr="00110B57">
        <w:rPr>
          <w:b/>
        </w:rPr>
        <w:t>Work of the RID/ADR/ADN Joint Meeting</w:t>
      </w:r>
    </w:p>
    <w:p w:rsidR="003D3380" w:rsidRPr="00110B57" w:rsidRDefault="003D3380" w:rsidP="003D3380">
      <w:pPr>
        <w:pStyle w:val="HChG"/>
        <w:rPr>
          <w:lang w:val="en-GB"/>
        </w:rPr>
      </w:pPr>
      <w:r w:rsidRPr="00110B57">
        <w:rPr>
          <w:lang w:val="en-GB"/>
        </w:rPr>
        <w:tab/>
      </w:r>
      <w:r w:rsidRPr="00110B57">
        <w:rPr>
          <w:lang w:val="en-GB"/>
        </w:rPr>
        <w:tab/>
      </w:r>
      <w:r w:rsidR="00A74E49" w:rsidRPr="00110B57">
        <w:rPr>
          <w:lang w:val="en-GB"/>
        </w:rPr>
        <w:t>Corrections to the draft amendments to ADR for entry into force on 1 January 2019 (</w:t>
      </w:r>
      <w:r w:rsidR="00A74E49" w:rsidRPr="00110B57">
        <w:rPr>
          <w:lang w:val="en-GB"/>
        </w:rPr>
        <w:t>ECE/TRANS/WP.15/240</w:t>
      </w:r>
      <w:r w:rsidR="00A74E49" w:rsidRPr="00110B57">
        <w:rPr>
          <w:lang w:val="en-GB"/>
        </w:rPr>
        <w:t>)</w:t>
      </w:r>
    </w:p>
    <w:p w:rsidR="003D3380" w:rsidRPr="00110B57" w:rsidRDefault="003D3380" w:rsidP="003D3380">
      <w:pPr>
        <w:pStyle w:val="H1G"/>
      </w:pPr>
      <w:r w:rsidRPr="00110B57">
        <w:tab/>
      </w:r>
      <w:r w:rsidRPr="00110B57">
        <w:tab/>
        <w:t>Note by the secretariat</w:t>
      </w:r>
    </w:p>
    <w:p w:rsidR="00CB5F84" w:rsidRPr="00110B57" w:rsidRDefault="003D3380" w:rsidP="003D3380">
      <w:pPr>
        <w:pStyle w:val="SingleTxtG"/>
        <w:rPr>
          <w:lang w:val="en-GB"/>
        </w:rPr>
      </w:pPr>
      <w:r w:rsidRPr="00110B57">
        <w:rPr>
          <w:lang w:val="en-GB"/>
        </w:rPr>
        <w:t xml:space="preserve">The secretariat reproduces hereafter </w:t>
      </w:r>
      <w:r w:rsidR="000260EE" w:rsidRPr="00110B57">
        <w:rPr>
          <w:lang w:val="en-GB"/>
        </w:rPr>
        <w:t xml:space="preserve">proposals of </w:t>
      </w:r>
      <w:r w:rsidR="00A74E49" w:rsidRPr="00110B57">
        <w:rPr>
          <w:lang w:val="en-GB"/>
        </w:rPr>
        <w:t xml:space="preserve">corrections to the </w:t>
      </w:r>
      <w:r w:rsidRPr="00110B57">
        <w:rPr>
          <w:lang w:val="en-GB"/>
        </w:rPr>
        <w:t xml:space="preserve">amendments to </w:t>
      </w:r>
      <w:r w:rsidR="000260EE" w:rsidRPr="00110B57">
        <w:rPr>
          <w:lang w:val="en-GB"/>
        </w:rPr>
        <w:t>ADR</w:t>
      </w:r>
      <w:r w:rsidRPr="00110B57">
        <w:rPr>
          <w:lang w:val="en-GB"/>
        </w:rPr>
        <w:t xml:space="preserve"> for entry into force on 1 January </w:t>
      </w:r>
      <w:r w:rsidR="00531D46" w:rsidRPr="00110B57">
        <w:rPr>
          <w:lang w:val="en-GB"/>
        </w:rPr>
        <w:t>2019</w:t>
      </w:r>
      <w:r w:rsidR="00E836E7" w:rsidRPr="00110B57">
        <w:rPr>
          <w:lang w:val="en-GB"/>
        </w:rPr>
        <w:t xml:space="preserve"> </w:t>
      </w:r>
      <w:r w:rsidRPr="00110B57">
        <w:rPr>
          <w:lang w:val="en-GB"/>
        </w:rPr>
        <w:t xml:space="preserve">as adopted by the Joint Meeting at its March </w:t>
      </w:r>
      <w:r w:rsidR="00DB1304" w:rsidRPr="00110B57">
        <w:rPr>
          <w:lang w:val="en-GB"/>
        </w:rPr>
        <w:t>201</w:t>
      </w:r>
      <w:r w:rsidR="00531D46" w:rsidRPr="00110B57">
        <w:rPr>
          <w:lang w:val="en-GB"/>
        </w:rPr>
        <w:t>8</w:t>
      </w:r>
      <w:r w:rsidRPr="00110B57">
        <w:rPr>
          <w:lang w:val="en-GB"/>
        </w:rPr>
        <w:t xml:space="preserve"> session (ECE/TRANS/WP.15/AC.1/</w:t>
      </w:r>
      <w:r w:rsidR="00531D46" w:rsidRPr="00110B57">
        <w:rPr>
          <w:lang w:val="en-GB"/>
        </w:rPr>
        <w:t>150, annex I</w:t>
      </w:r>
      <w:r w:rsidR="00A74E49" w:rsidRPr="00110B57">
        <w:rPr>
          <w:lang w:val="en-GB"/>
        </w:rPr>
        <w:t>I</w:t>
      </w:r>
      <w:r w:rsidR="00531D46" w:rsidRPr="00110B57">
        <w:rPr>
          <w:lang w:val="en-GB"/>
        </w:rPr>
        <w:t>I</w:t>
      </w:r>
      <w:r w:rsidRPr="00110B57">
        <w:rPr>
          <w:lang w:val="en-GB"/>
        </w:rPr>
        <w:t>)</w:t>
      </w:r>
      <w:r w:rsidR="00A74E49" w:rsidRPr="00110B57">
        <w:rPr>
          <w:lang w:val="en-GB"/>
        </w:rPr>
        <w:t xml:space="preserve"> and other editorial corrections</w:t>
      </w:r>
      <w:r w:rsidRPr="00110B57">
        <w:rPr>
          <w:lang w:val="en-GB"/>
        </w:rPr>
        <w:t>.</w:t>
      </w:r>
    </w:p>
    <w:p w:rsidR="00531D46" w:rsidRPr="00110B57" w:rsidRDefault="00A74E49" w:rsidP="00A74E49">
      <w:pPr>
        <w:pStyle w:val="HChG"/>
        <w:numPr>
          <w:ilvl w:val="0"/>
          <w:numId w:val="19"/>
        </w:numPr>
        <w:rPr>
          <w:lang w:val="en-GB"/>
        </w:rPr>
      </w:pPr>
      <w:r w:rsidRPr="00110B57">
        <w:rPr>
          <w:lang w:val="en-GB"/>
        </w:rPr>
        <w:t xml:space="preserve">Corrections to </w:t>
      </w:r>
      <w:r w:rsidRPr="00110B57">
        <w:rPr>
          <w:lang w:val="en-GB"/>
        </w:rPr>
        <w:t>ECE/TRANS/WP.15/240</w:t>
      </w:r>
      <w:r w:rsidRPr="00110B57">
        <w:rPr>
          <w:lang w:val="en-GB"/>
        </w:rPr>
        <w:t xml:space="preserve"> adopted by the Joint Meeting</w:t>
      </w:r>
    </w:p>
    <w:p w:rsidR="00A74E49" w:rsidRPr="00110B57" w:rsidRDefault="00A74E49" w:rsidP="00A74E49">
      <w:pPr>
        <w:pStyle w:val="H23G"/>
      </w:pPr>
      <w:r w:rsidRPr="00110B57">
        <w:tab/>
      </w:r>
      <w:r w:rsidRPr="00110B57">
        <w:tab/>
        <w:t>Chapter 1.6, new transitional measure 1.6.3.49</w:t>
      </w:r>
    </w:p>
    <w:p w:rsidR="00A74E49" w:rsidRPr="00110B57" w:rsidRDefault="00A74E49" w:rsidP="00A74E49">
      <w:pPr>
        <w:pStyle w:val="SingleTxtG"/>
        <w:rPr>
          <w:lang w:val="en-GB"/>
        </w:rPr>
      </w:pPr>
      <w:r w:rsidRPr="00110B57">
        <w:rPr>
          <w:i/>
          <w:lang w:val="en-GB"/>
        </w:rPr>
        <w:t>For</w:t>
      </w:r>
      <w:r w:rsidRPr="00110B57">
        <w:rPr>
          <w:lang w:val="en-GB"/>
        </w:rPr>
        <w:t xml:space="preserve"> nominal pressure of the bursting disc </w:t>
      </w:r>
      <w:r w:rsidRPr="00110B57">
        <w:rPr>
          <w:i/>
          <w:lang w:val="en-GB"/>
        </w:rPr>
        <w:t>read</w:t>
      </w:r>
      <w:r w:rsidRPr="00110B57">
        <w:rPr>
          <w:lang w:val="en-GB"/>
        </w:rPr>
        <w:t xml:space="preserve"> burst pressure of the bursting disc</w:t>
      </w:r>
    </w:p>
    <w:p w:rsidR="00A74E49" w:rsidRPr="00110B57" w:rsidRDefault="00A74E49" w:rsidP="00A74E49">
      <w:pPr>
        <w:pStyle w:val="SingleTxtG"/>
        <w:rPr>
          <w:i/>
          <w:lang w:val="en-GB"/>
        </w:rPr>
      </w:pPr>
      <w:r w:rsidRPr="00110B57">
        <w:rPr>
          <w:i/>
          <w:lang w:val="en-GB"/>
        </w:rPr>
        <w:t>(Reference documents: informal documents INF.32/Rev.1 and INF.47)</w:t>
      </w:r>
    </w:p>
    <w:p w:rsidR="00A74E49" w:rsidRPr="00110B57" w:rsidRDefault="00A74E49" w:rsidP="00A74E49">
      <w:pPr>
        <w:pStyle w:val="H23G"/>
      </w:pPr>
      <w:r w:rsidRPr="00110B57">
        <w:tab/>
      </w:r>
      <w:r w:rsidRPr="00110B57">
        <w:tab/>
        <w:t>Chapter 1.6, new transitional measure 1.6.4.51</w:t>
      </w:r>
    </w:p>
    <w:p w:rsidR="00A74E49" w:rsidRPr="00110B57" w:rsidRDefault="00A74E49" w:rsidP="00A74E49">
      <w:pPr>
        <w:pStyle w:val="SingleTxtG"/>
        <w:rPr>
          <w:lang w:val="en-GB"/>
        </w:rPr>
      </w:pPr>
      <w:r w:rsidRPr="00110B57">
        <w:rPr>
          <w:i/>
          <w:lang w:val="en-GB"/>
        </w:rPr>
        <w:t>For</w:t>
      </w:r>
      <w:r w:rsidRPr="00110B57">
        <w:rPr>
          <w:lang w:val="en-GB"/>
        </w:rPr>
        <w:t xml:space="preserve"> nominal pressure of the bursting disc </w:t>
      </w:r>
      <w:r w:rsidRPr="00110B57">
        <w:rPr>
          <w:i/>
          <w:lang w:val="en-GB"/>
        </w:rPr>
        <w:t>read</w:t>
      </w:r>
      <w:r w:rsidRPr="00110B57">
        <w:rPr>
          <w:lang w:val="en-GB"/>
        </w:rPr>
        <w:t xml:space="preserve"> burst pressure of the bursting disc</w:t>
      </w:r>
    </w:p>
    <w:p w:rsidR="00A74E49" w:rsidRPr="00110B57" w:rsidRDefault="00A74E49" w:rsidP="00A74E49">
      <w:pPr>
        <w:pStyle w:val="SingleTxtG"/>
        <w:rPr>
          <w:i/>
          <w:lang w:val="en-GB"/>
        </w:rPr>
      </w:pPr>
      <w:r w:rsidRPr="00110B57">
        <w:rPr>
          <w:i/>
          <w:lang w:val="en-GB"/>
        </w:rPr>
        <w:t>(Reference documents: informal documents INF.32/Rev.1 and INF.47)</w:t>
      </w:r>
    </w:p>
    <w:p w:rsidR="00A74E49" w:rsidRPr="00110B57" w:rsidRDefault="00A74E49" w:rsidP="00A74E49">
      <w:pPr>
        <w:pStyle w:val="H23G"/>
      </w:pPr>
      <w:r w:rsidRPr="00110B57">
        <w:tab/>
      </w:r>
      <w:r w:rsidRPr="00110B57">
        <w:tab/>
        <w:t>Chapter 2.2, amendment to 2.2.9.1.7, new sub- paragraph (g), after "cells or batteries"</w:t>
      </w:r>
    </w:p>
    <w:p w:rsidR="00A74E49" w:rsidRPr="00110B57" w:rsidRDefault="00A74E49" w:rsidP="00A74E49">
      <w:pPr>
        <w:pStyle w:val="SingleTxtG"/>
        <w:tabs>
          <w:tab w:val="left" w:pos="2268"/>
        </w:tabs>
        <w:rPr>
          <w:lang w:val="en-GB"/>
        </w:rPr>
      </w:pPr>
      <w:r w:rsidRPr="00110B57">
        <w:rPr>
          <w:i/>
          <w:lang w:val="en-GB"/>
        </w:rPr>
        <w:t>Insert</w:t>
      </w:r>
      <w:r w:rsidRPr="00110B57">
        <w:rPr>
          <w:lang w:val="en-GB"/>
        </w:rPr>
        <w:t xml:space="preserve"> manufactured after 30 June 2003</w:t>
      </w:r>
    </w:p>
    <w:p w:rsidR="00A74E49" w:rsidRPr="00110B57" w:rsidRDefault="00A74E49" w:rsidP="00A74E49">
      <w:pPr>
        <w:pStyle w:val="SingleTxtG"/>
        <w:tabs>
          <w:tab w:val="left" w:pos="2268"/>
        </w:tabs>
        <w:rPr>
          <w:i/>
          <w:lang w:val="en-GB"/>
        </w:rPr>
      </w:pPr>
      <w:r w:rsidRPr="00110B57">
        <w:rPr>
          <w:i/>
          <w:lang w:val="en-GB"/>
        </w:rPr>
        <w:t>(Reference document: informal document INF.37)</w:t>
      </w:r>
    </w:p>
    <w:p w:rsidR="00A74E49" w:rsidRPr="00110B57" w:rsidRDefault="00A74E49" w:rsidP="00A74E49">
      <w:pPr>
        <w:pStyle w:val="H23G"/>
      </w:pPr>
      <w:r w:rsidRPr="00110B57">
        <w:tab/>
      </w:r>
      <w:r w:rsidRPr="00110B57">
        <w:tab/>
        <w:t>Chapter 3.3, in new special provision 392, in sub-paragraph (a), in the table (six times)</w:t>
      </w:r>
    </w:p>
    <w:p w:rsidR="00A74E49" w:rsidRPr="00110B57" w:rsidRDefault="00A74E49" w:rsidP="00A74E49">
      <w:pPr>
        <w:pStyle w:val="SingleTxtG"/>
        <w:rPr>
          <w:lang w:val="en-GB"/>
        </w:rPr>
      </w:pPr>
      <w:r w:rsidRPr="00110B57">
        <w:rPr>
          <w:i/>
          <w:lang w:val="en-GB"/>
        </w:rPr>
        <w:t>For</w:t>
      </w:r>
      <w:r w:rsidRPr="00110B57">
        <w:rPr>
          <w:lang w:val="en-GB"/>
        </w:rPr>
        <w:t xml:space="preserve"> ECE Regulation </w:t>
      </w:r>
      <w:r w:rsidRPr="00110B57">
        <w:rPr>
          <w:i/>
          <w:lang w:val="en-GB"/>
        </w:rPr>
        <w:t>read</w:t>
      </w:r>
      <w:r w:rsidRPr="00110B57">
        <w:rPr>
          <w:lang w:val="en-GB"/>
        </w:rPr>
        <w:t xml:space="preserve"> UN Regulation</w:t>
      </w:r>
    </w:p>
    <w:p w:rsidR="00A74E49" w:rsidRPr="00110B57" w:rsidRDefault="00A74E49" w:rsidP="00A74E49">
      <w:pPr>
        <w:pStyle w:val="SingleTxtG"/>
        <w:rPr>
          <w:i/>
          <w:lang w:val="en-GB"/>
        </w:rPr>
      </w:pPr>
      <w:r w:rsidRPr="00110B57">
        <w:rPr>
          <w:i/>
          <w:lang w:val="en-GB"/>
        </w:rPr>
        <w:t>(Reference document: informal document INF.30)</w:t>
      </w:r>
    </w:p>
    <w:p w:rsidR="00A74E49" w:rsidRPr="00110B57" w:rsidRDefault="00A74E49" w:rsidP="00A74E49">
      <w:pPr>
        <w:pStyle w:val="H23G"/>
      </w:pPr>
      <w:r w:rsidRPr="00110B57">
        <w:tab/>
      </w:r>
      <w:r w:rsidRPr="00110B57">
        <w:tab/>
        <w:t>Chapter 5.3, amendment to 5.3.1.2</w:t>
      </w:r>
    </w:p>
    <w:p w:rsidR="00A74E49" w:rsidRPr="00110B57" w:rsidRDefault="00A74E49" w:rsidP="00A74E49">
      <w:pPr>
        <w:pStyle w:val="SingleTxtG"/>
        <w:rPr>
          <w:i/>
          <w:lang w:val="en-GB"/>
        </w:rPr>
      </w:pPr>
      <w:r w:rsidRPr="00110B57">
        <w:rPr>
          <w:lang w:val="en-GB"/>
        </w:rPr>
        <w:t xml:space="preserve">For the existing text, </w:t>
      </w:r>
      <w:r w:rsidRPr="00110B57">
        <w:rPr>
          <w:i/>
          <w:lang w:val="en-GB"/>
        </w:rPr>
        <w:t>substitute</w:t>
      </w:r>
    </w:p>
    <w:p w:rsidR="00A74E49" w:rsidRPr="00110B57" w:rsidRDefault="00A74E49" w:rsidP="00A74E49">
      <w:pPr>
        <w:pStyle w:val="SingleTxtG"/>
        <w:rPr>
          <w:lang w:val="en-GB"/>
        </w:rPr>
      </w:pPr>
      <w:bookmarkStart w:id="0" w:name="_GoBack"/>
      <w:bookmarkEnd w:id="0"/>
      <w:r w:rsidRPr="00110B57">
        <w:rPr>
          <w:lang w:val="en-GB"/>
        </w:rPr>
        <w:t>5.3.1.2</w:t>
      </w:r>
      <w:r w:rsidRPr="00110B57">
        <w:rPr>
          <w:lang w:val="en-GB"/>
        </w:rPr>
        <w:tab/>
      </w:r>
      <w:r w:rsidRPr="00110B57">
        <w:rPr>
          <w:lang w:val="en-GB"/>
        </w:rPr>
        <w:tab/>
        <w:t>In the title, after "containers,", insert: "bulk containers,".</w:t>
      </w:r>
    </w:p>
    <w:p w:rsidR="00A74E49" w:rsidRPr="00110B57" w:rsidRDefault="00A74E49" w:rsidP="00A74E49">
      <w:pPr>
        <w:pStyle w:val="SingleTxtG"/>
        <w:rPr>
          <w:lang w:val="en-GB"/>
        </w:rPr>
      </w:pPr>
      <w:r w:rsidRPr="00110B57">
        <w:rPr>
          <w:lang w:val="en-GB"/>
        </w:rPr>
        <w:t>5.3.1.2</w:t>
      </w:r>
      <w:r w:rsidRPr="00110B57">
        <w:rPr>
          <w:lang w:val="en-GB"/>
        </w:rPr>
        <w:tab/>
      </w:r>
      <w:r w:rsidRPr="00110B57">
        <w:rPr>
          <w:lang w:val="en-GB"/>
        </w:rPr>
        <w:tab/>
        <w:t>Amend the first paragraph after the Note to read as follows:</w:t>
      </w:r>
    </w:p>
    <w:p w:rsidR="00A74E49" w:rsidRPr="00110B57" w:rsidRDefault="00A74E49" w:rsidP="00A74E49">
      <w:pPr>
        <w:pStyle w:val="SingleTxtG"/>
        <w:rPr>
          <w:lang w:val="en-GB"/>
        </w:rPr>
      </w:pPr>
      <w:r w:rsidRPr="00110B57">
        <w:rPr>
          <w:lang w:val="en-GB"/>
        </w:rPr>
        <w:lastRenderedPageBreak/>
        <w:t>"The placards shall be affixed to both sides and at each end of the container, bulk container, MEGC, tank-container or portable tank and to two opposite sides in the case of flexible bulk containers."</w:t>
      </w:r>
    </w:p>
    <w:p w:rsidR="00A74E49" w:rsidRPr="00110B57" w:rsidRDefault="00A74E49" w:rsidP="00A74E49">
      <w:pPr>
        <w:pStyle w:val="SingleTxtG"/>
        <w:rPr>
          <w:i/>
          <w:lang w:val="en-GB"/>
        </w:rPr>
      </w:pPr>
      <w:r w:rsidRPr="00110B57">
        <w:rPr>
          <w:i/>
          <w:lang w:val="en-GB"/>
        </w:rPr>
        <w:t>(Reference document: informal document INF.20)</w:t>
      </w:r>
    </w:p>
    <w:p w:rsidR="00A74E49" w:rsidRPr="00110B57" w:rsidRDefault="00A74E49" w:rsidP="00A74E49">
      <w:pPr>
        <w:pStyle w:val="H23G"/>
      </w:pPr>
      <w:r w:rsidRPr="00110B57">
        <w:tab/>
      </w:r>
      <w:r w:rsidRPr="00110B57">
        <w:tab/>
        <w:t>Chapter 6.8, 6.8.2.1.23, first amendment</w:t>
      </w:r>
    </w:p>
    <w:p w:rsidR="00A74E49" w:rsidRPr="00110B57" w:rsidRDefault="00A74E49" w:rsidP="00A74E49">
      <w:pPr>
        <w:pStyle w:val="SingleTxtG"/>
        <w:rPr>
          <w:i/>
          <w:lang w:val="en-GB"/>
        </w:rPr>
      </w:pPr>
      <w:r w:rsidRPr="00110B57">
        <w:rPr>
          <w:lang w:val="en-GB"/>
        </w:rPr>
        <w:t xml:space="preserve">For the existing text, </w:t>
      </w:r>
      <w:r w:rsidRPr="00110B57">
        <w:rPr>
          <w:i/>
          <w:lang w:val="en-GB"/>
        </w:rPr>
        <w:t>substitute</w:t>
      </w:r>
    </w:p>
    <w:p w:rsidR="00A74E49" w:rsidRPr="00110B57" w:rsidRDefault="00A74E49" w:rsidP="00A74E49">
      <w:pPr>
        <w:pStyle w:val="SingleTxtG"/>
        <w:rPr>
          <w:lang w:val="en-GB"/>
        </w:rPr>
      </w:pPr>
      <w:r w:rsidRPr="00110B57">
        <w:rPr>
          <w:lang w:val="en-GB"/>
        </w:rPr>
        <w:t>6.8.2.1.23</w:t>
      </w:r>
      <w:r w:rsidRPr="00110B57">
        <w:rPr>
          <w:lang w:val="en-GB"/>
        </w:rPr>
        <w:tab/>
        <w:t>Replace the first two sentences by the following:</w:t>
      </w:r>
    </w:p>
    <w:p w:rsidR="00A74E49" w:rsidRPr="00110B57" w:rsidRDefault="00A74E49" w:rsidP="00A74E49">
      <w:pPr>
        <w:pStyle w:val="SingleTxtG"/>
        <w:rPr>
          <w:lang w:val="en-GB"/>
        </w:rPr>
      </w:pPr>
      <w:r w:rsidRPr="00110B57">
        <w:rPr>
          <w:lang w:val="en-GB"/>
        </w:rPr>
        <w:t>"The ability of the manufacturer to perform welding operations shall be verified and confirmed by either the competent authority or by the body designated by this authority. The ability of the maintenance or repair shop to perform welding operations shall be verified and confirmed by the inspection body according to 6.8.2.4.5. A weld quality assurance system shall be operated by the manufacturer or the maintenance or repair shop."</w:t>
      </w:r>
    </w:p>
    <w:p w:rsidR="00A74E49" w:rsidRPr="00110B57" w:rsidRDefault="00A74E49" w:rsidP="00A74E49">
      <w:pPr>
        <w:pStyle w:val="SingleTxtG"/>
        <w:rPr>
          <w:i/>
          <w:lang w:val="en-GB"/>
        </w:rPr>
      </w:pPr>
      <w:r w:rsidRPr="00110B57">
        <w:rPr>
          <w:i/>
          <w:lang w:val="en-GB"/>
        </w:rPr>
        <w:t>(Reference documents: ECE/TRANS/WP.15/AC.1/2018/9 and informal document INF.47)</w:t>
      </w:r>
    </w:p>
    <w:p w:rsidR="00A74E49" w:rsidRPr="00110B57" w:rsidRDefault="00A74E49" w:rsidP="00A74E49">
      <w:pPr>
        <w:pStyle w:val="H23G"/>
      </w:pPr>
      <w:r w:rsidRPr="00110B57">
        <w:tab/>
      </w:r>
      <w:r w:rsidRPr="00110B57">
        <w:tab/>
        <w:t>Chapter 6.8, amendment to 6.8.2.2.10</w:t>
      </w:r>
    </w:p>
    <w:p w:rsidR="00A74E49" w:rsidRPr="00110B57" w:rsidRDefault="00A74E49" w:rsidP="00A74E49">
      <w:pPr>
        <w:pStyle w:val="SingleTxtG"/>
        <w:rPr>
          <w:i/>
          <w:lang w:val="en-GB"/>
        </w:rPr>
      </w:pPr>
      <w:r w:rsidRPr="00110B57">
        <w:rPr>
          <w:lang w:val="en-GB"/>
        </w:rPr>
        <w:t xml:space="preserve">For the existing text, </w:t>
      </w:r>
      <w:r w:rsidRPr="00110B57">
        <w:rPr>
          <w:i/>
          <w:lang w:val="en-GB"/>
        </w:rPr>
        <w:t>substitute</w:t>
      </w:r>
    </w:p>
    <w:p w:rsidR="00A74E49" w:rsidRPr="00110B57" w:rsidRDefault="00A74E49" w:rsidP="00A74E49">
      <w:pPr>
        <w:pStyle w:val="SingleTxtG"/>
        <w:rPr>
          <w:lang w:val="en-GB"/>
        </w:rPr>
      </w:pPr>
      <w:r w:rsidRPr="00110B57">
        <w:rPr>
          <w:lang w:val="en-GB"/>
        </w:rPr>
        <w:t>6.8.2.2.10</w:t>
      </w:r>
      <w:r w:rsidRPr="00110B57">
        <w:rPr>
          <w:lang w:val="en-GB"/>
        </w:rPr>
        <w:tab/>
        <w:t>Amend the second paragraph to read as follows:</w:t>
      </w:r>
    </w:p>
    <w:p w:rsidR="00A74E49" w:rsidRPr="00110B57" w:rsidRDefault="00A74E49" w:rsidP="00A74E49">
      <w:pPr>
        <w:pStyle w:val="SingleTxtG"/>
        <w:rPr>
          <w:lang w:val="en-GB"/>
        </w:rPr>
      </w:pPr>
      <w:r w:rsidRPr="00110B57">
        <w:rPr>
          <w:lang w:val="en-GB"/>
        </w:rPr>
        <w:t>"Except for tanks intended for the carriage of compressed, liquefied or dissolved gases where the arrangement of the bursting disc and safety valve shall be such as to satisfy the competent authority, burst pressures of the bursting disc shall satisfy the following requirements:</w:t>
      </w:r>
    </w:p>
    <w:p w:rsidR="00A74E49" w:rsidRPr="00110B57" w:rsidRDefault="00A74E49" w:rsidP="00A74E49">
      <w:pPr>
        <w:pStyle w:val="SingleTxtG"/>
        <w:rPr>
          <w:lang w:val="en-GB"/>
        </w:rPr>
      </w:pPr>
      <w:r w:rsidRPr="00110B57">
        <w:rPr>
          <w:lang w:val="en-GB"/>
        </w:rPr>
        <w:t>–</w:t>
      </w:r>
      <w:r w:rsidRPr="00110B57">
        <w:rPr>
          <w:lang w:val="en-GB"/>
        </w:rPr>
        <w:tab/>
        <w:t xml:space="preserve">the minimum burst pressure at </w:t>
      </w:r>
      <w:smartTag w:uri="urn:schemas-microsoft-com:office:smarttags" w:element="metricconverter">
        <w:smartTagPr>
          <w:attr w:name="ProductID" w:val="20 °C"/>
        </w:smartTagPr>
        <w:r w:rsidRPr="00110B57">
          <w:rPr>
            <w:lang w:val="en-GB"/>
          </w:rPr>
          <w:t>20 °C</w:t>
        </w:r>
      </w:smartTag>
      <w:r w:rsidRPr="00110B57">
        <w:rPr>
          <w:lang w:val="en-GB"/>
        </w:rPr>
        <w:t>, tolerances included, shall be greater than or equal to 0.8 times the test pressure;</w:t>
      </w:r>
    </w:p>
    <w:p w:rsidR="00A74E49" w:rsidRPr="00110B57" w:rsidRDefault="00A74E49" w:rsidP="00A74E49">
      <w:pPr>
        <w:pStyle w:val="SingleTxtG"/>
        <w:rPr>
          <w:lang w:val="en-GB"/>
        </w:rPr>
      </w:pPr>
      <w:r w:rsidRPr="00110B57">
        <w:rPr>
          <w:lang w:val="en-GB"/>
        </w:rPr>
        <w:t>–</w:t>
      </w:r>
      <w:r w:rsidRPr="00110B57">
        <w:rPr>
          <w:lang w:val="en-GB"/>
        </w:rPr>
        <w:tab/>
        <w:t xml:space="preserve">the maximum burst pressure at </w:t>
      </w:r>
      <w:smartTag w:uri="urn:schemas-microsoft-com:office:smarttags" w:element="metricconverter">
        <w:smartTagPr>
          <w:attr w:name="ProductID" w:val="20 °C"/>
        </w:smartTagPr>
        <w:r w:rsidRPr="00110B57">
          <w:rPr>
            <w:lang w:val="en-GB"/>
          </w:rPr>
          <w:t>20 °C</w:t>
        </w:r>
      </w:smartTag>
      <w:r w:rsidRPr="00110B57">
        <w:rPr>
          <w:lang w:val="en-GB"/>
        </w:rPr>
        <w:t>, tolerances included, shall be less than or equal to 1.1 times the test pressure; and</w:t>
      </w:r>
    </w:p>
    <w:p w:rsidR="00A74E49" w:rsidRPr="00110B57" w:rsidRDefault="00A74E49" w:rsidP="00A74E49">
      <w:pPr>
        <w:pStyle w:val="SingleTxtG"/>
        <w:rPr>
          <w:lang w:val="en-GB"/>
        </w:rPr>
      </w:pPr>
      <w:r w:rsidRPr="00110B57">
        <w:rPr>
          <w:lang w:val="en-GB"/>
        </w:rPr>
        <w:t>–</w:t>
      </w:r>
      <w:r w:rsidRPr="00110B57">
        <w:rPr>
          <w:lang w:val="en-GB"/>
        </w:rPr>
        <w:tab/>
        <w:t>the burst pressure at the maximum service temperature shall be greater than the maximum working pressure.</w:t>
      </w:r>
    </w:p>
    <w:p w:rsidR="00A74E49" w:rsidRPr="00110B57" w:rsidRDefault="00A74E49" w:rsidP="00A74E49">
      <w:pPr>
        <w:pStyle w:val="SingleTxtG"/>
        <w:rPr>
          <w:lang w:val="en-GB"/>
        </w:rPr>
      </w:pPr>
      <w:r w:rsidRPr="00110B57">
        <w:rPr>
          <w:color w:val="000000"/>
          <w:lang w:val="en-GB"/>
        </w:rPr>
        <w:t>A pressure gauge or another suitable indicator shall be provided in the space between the bursting disc and the safety valve, to enable detection of any rupture, perforation or leakage of the disc.</w:t>
      </w:r>
    </w:p>
    <w:p w:rsidR="00A74E49" w:rsidRPr="00110B57" w:rsidRDefault="00A74E49" w:rsidP="00A74E49">
      <w:pPr>
        <w:pStyle w:val="SingleTxtG"/>
        <w:rPr>
          <w:i/>
          <w:lang w:val="en-GB"/>
        </w:rPr>
      </w:pPr>
      <w:r w:rsidRPr="00110B57">
        <w:rPr>
          <w:i/>
          <w:lang w:val="en-GB"/>
        </w:rPr>
        <w:t>(Reference documents: informal documents INF.32/Rev.1 and INF.47, as amended)</w:t>
      </w:r>
    </w:p>
    <w:p w:rsidR="00A74E49" w:rsidRPr="00110B57" w:rsidRDefault="00A74E49" w:rsidP="00A74E49">
      <w:pPr>
        <w:pStyle w:val="H23G"/>
      </w:pPr>
      <w:r w:rsidRPr="00110B57">
        <w:tab/>
      </w:r>
      <w:r w:rsidRPr="00110B57">
        <w:tab/>
        <w:t xml:space="preserve">Chapter 6.8, in the new indent under 6.8.5.1.2 (a) </w:t>
      </w:r>
    </w:p>
    <w:p w:rsidR="00A74E49" w:rsidRPr="00110B57" w:rsidRDefault="00A74E49" w:rsidP="00A74E49">
      <w:pPr>
        <w:pStyle w:val="SingleTxtG"/>
        <w:rPr>
          <w:lang w:val="en-GB"/>
        </w:rPr>
      </w:pPr>
      <w:r w:rsidRPr="00110B57">
        <w:rPr>
          <w:i/>
          <w:lang w:val="en-GB"/>
        </w:rPr>
        <w:t>For</w:t>
      </w:r>
      <w:r w:rsidRPr="00110B57">
        <w:rPr>
          <w:lang w:val="en-GB"/>
        </w:rPr>
        <w:t xml:space="preserve"> -40 °C </w:t>
      </w:r>
      <w:r w:rsidRPr="00110B57">
        <w:rPr>
          <w:i/>
          <w:lang w:val="en-GB"/>
        </w:rPr>
        <w:t>read</w:t>
      </w:r>
      <w:r w:rsidRPr="00110B57">
        <w:rPr>
          <w:lang w:val="en-GB"/>
        </w:rPr>
        <w:t xml:space="preserve"> -60 °C</w:t>
      </w:r>
    </w:p>
    <w:p w:rsidR="00A74E49" w:rsidRPr="00110B57" w:rsidRDefault="00A74E49" w:rsidP="00A74E49">
      <w:pPr>
        <w:pStyle w:val="SingleTxtG"/>
        <w:rPr>
          <w:i/>
          <w:lang w:val="en-GB"/>
        </w:rPr>
      </w:pPr>
      <w:r w:rsidRPr="00110B57">
        <w:rPr>
          <w:i/>
          <w:lang w:val="en-GB"/>
        </w:rPr>
        <w:t>(Reference documents: ECE/TRANS/WP.15/AC.1/2018/11 and INF.47)</w:t>
      </w:r>
    </w:p>
    <w:p w:rsidR="00A74E49" w:rsidRPr="00110B57" w:rsidRDefault="00A74E49" w:rsidP="00A74E49">
      <w:pPr>
        <w:pStyle w:val="HChG"/>
        <w:rPr>
          <w:lang w:val="en-GB"/>
        </w:rPr>
      </w:pPr>
      <w:r w:rsidRPr="00110B57">
        <w:rPr>
          <w:lang w:val="en-GB"/>
        </w:rPr>
        <w:tab/>
        <w:t>B.</w:t>
      </w:r>
      <w:r w:rsidRPr="00110B57">
        <w:rPr>
          <w:lang w:val="en-GB"/>
        </w:rPr>
        <w:tab/>
      </w:r>
      <w:r w:rsidRPr="00110B57">
        <w:rPr>
          <w:lang w:val="en-GB"/>
        </w:rPr>
        <w:t>Other corrections to</w:t>
      </w:r>
      <w:r w:rsidRPr="00110B57">
        <w:rPr>
          <w:lang w:val="en-GB"/>
        </w:rPr>
        <w:t xml:space="preserve"> ECE/TRANS/WP.15/240</w:t>
      </w:r>
    </w:p>
    <w:p w:rsidR="003D413E" w:rsidRPr="00110B57" w:rsidRDefault="003D413E" w:rsidP="003D413E">
      <w:pPr>
        <w:pStyle w:val="H23G"/>
      </w:pPr>
      <w:r w:rsidRPr="00110B57">
        <w:tab/>
      </w:r>
      <w:r w:rsidRPr="00110B57">
        <w:tab/>
      </w:r>
      <w:r w:rsidRPr="00110B57">
        <w:t>Chapter</w:t>
      </w:r>
      <w:r w:rsidRPr="00110B57">
        <w:t xml:space="preserve"> 1.6, amendment </w:t>
      </w:r>
      <w:r w:rsidRPr="00110B57">
        <w:t>to</w:t>
      </w:r>
      <w:r w:rsidRPr="00110B57">
        <w:t xml:space="preserve"> 1.6.1.40 </w:t>
      </w:r>
      <w:r w:rsidRPr="00110B57">
        <w:t xml:space="preserve">to replace </w:t>
      </w:r>
      <w:r w:rsidR="00816E78" w:rsidRPr="00110B57">
        <w:t>“subsidiary risk label” by “subsidiary hazard label”</w:t>
      </w:r>
    </w:p>
    <w:p w:rsidR="003D413E" w:rsidRPr="00110B57" w:rsidRDefault="00816E78" w:rsidP="003D413E">
      <w:pPr>
        <w:pStyle w:val="SingleTxtG"/>
        <w:rPr>
          <w:i/>
          <w:lang w:val="en-GB"/>
        </w:rPr>
      </w:pPr>
      <w:r w:rsidRPr="00110B57">
        <w:rPr>
          <w:i/>
          <w:lang w:val="en-GB"/>
        </w:rPr>
        <w:t>Delete</w:t>
      </w:r>
    </w:p>
    <w:p w:rsidR="003D413E" w:rsidRPr="00110B57" w:rsidRDefault="003D413E" w:rsidP="003D413E">
      <w:pPr>
        <w:pStyle w:val="H23G"/>
      </w:pPr>
      <w:r w:rsidRPr="00110B57">
        <w:tab/>
      </w:r>
      <w:r w:rsidRPr="00110B57">
        <w:tab/>
      </w:r>
      <w:r w:rsidRPr="00110B57">
        <w:t>Chapter</w:t>
      </w:r>
      <w:r w:rsidRPr="00110B57">
        <w:t xml:space="preserve"> 1.6, </w:t>
      </w:r>
      <w:r w:rsidR="00816E78" w:rsidRPr="00110B57">
        <w:t>after new transitional measure</w:t>
      </w:r>
      <w:r w:rsidRPr="00110B57">
        <w:t xml:space="preserve"> 1.6.3.53</w:t>
      </w:r>
    </w:p>
    <w:p w:rsidR="003D413E" w:rsidRPr="00110B57" w:rsidRDefault="00816E78" w:rsidP="003D413E">
      <w:pPr>
        <w:pStyle w:val="SingleTxtG"/>
        <w:rPr>
          <w:iCs/>
          <w:lang w:val="en-GB"/>
        </w:rPr>
      </w:pPr>
      <w:r w:rsidRPr="00110B57">
        <w:rPr>
          <w:i/>
          <w:lang w:val="en-GB"/>
        </w:rPr>
        <w:t>Insert</w:t>
      </w:r>
      <w:r w:rsidR="003D413E" w:rsidRPr="00110B57">
        <w:rPr>
          <w:i/>
          <w:lang w:val="en-GB"/>
        </w:rPr>
        <w:t xml:space="preserve"> </w:t>
      </w:r>
      <w:r w:rsidRPr="00110B57">
        <w:rPr>
          <w:iCs/>
          <w:lang w:val="en-GB"/>
        </w:rPr>
        <w:t>Renumber</w:t>
      </w:r>
      <w:r w:rsidR="003D413E" w:rsidRPr="00110B57">
        <w:rPr>
          <w:iCs/>
          <w:lang w:val="en-GB"/>
        </w:rPr>
        <w:t xml:space="preserve"> 1.6.3.50 </w:t>
      </w:r>
      <w:r w:rsidRPr="00110B57">
        <w:rPr>
          <w:iCs/>
          <w:lang w:val="en-GB"/>
        </w:rPr>
        <w:t>as</w:t>
      </w:r>
      <w:r w:rsidR="003D413E" w:rsidRPr="00110B57">
        <w:rPr>
          <w:iCs/>
          <w:lang w:val="en-GB"/>
        </w:rPr>
        <w:t xml:space="preserve"> 1.6.3.100.</w:t>
      </w:r>
    </w:p>
    <w:p w:rsidR="003D413E" w:rsidRPr="00110B57" w:rsidRDefault="003D413E" w:rsidP="003D413E">
      <w:pPr>
        <w:pStyle w:val="H23G"/>
      </w:pPr>
      <w:r w:rsidRPr="00110B57">
        <w:lastRenderedPageBreak/>
        <w:tab/>
      </w:r>
      <w:r w:rsidRPr="00110B57">
        <w:tab/>
      </w:r>
      <w:r w:rsidRPr="00110B57">
        <w:t>Chapter</w:t>
      </w:r>
      <w:r w:rsidRPr="00110B57">
        <w:t xml:space="preserve"> 2.1, </w:t>
      </w:r>
      <w:r w:rsidR="00816E78" w:rsidRPr="00110B57">
        <w:t>new section 2.1.5</w:t>
      </w:r>
    </w:p>
    <w:p w:rsidR="003D413E" w:rsidRPr="00110B57" w:rsidRDefault="00816E78" w:rsidP="003D413E">
      <w:pPr>
        <w:pStyle w:val="SingleTxtG"/>
        <w:rPr>
          <w:iCs/>
          <w:lang w:val="en-GB"/>
        </w:rPr>
      </w:pPr>
      <w:r w:rsidRPr="00110B57">
        <w:rPr>
          <w:iCs/>
          <w:lang w:val="en-GB"/>
        </w:rPr>
        <w:t>Not applicable to English.</w:t>
      </w:r>
    </w:p>
    <w:p w:rsidR="003D413E" w:rsidRPr="00110B57" w:rsidRDefault="003D413E" w:rsidP="003D413E">
      <w:pPr>
        <w:pStyle w:val="H23G"/>
      </w:pPr>
      <w:r w:rsidRPr="00110B57">
        <w:tab/>
      </w:r>
      <w:r w:rsidRPr="00110B57">
        <w:tab/>
      </w:r>
      <w:r w:rsidRPr="00110B57">
        <w:t>Chapter</w:t>
      </w:r>
      <w:r w:rsidRPr="00110B57">
        <w:t xml:space="preserve"> 2.2, 2.2.8.2.1</w:t>
      </w:r>
      <w:r w:rsidR="00816E78" w:rsidRPr="00110B57">
        <w:t>, second occurrence</w:t>
      </w:r>
    </w:p>
    <w:p w:rsidR="003D413E" w:rsidRPr="00110B57" w:rsidRDefault="00816E78" w:rsidP="003D413E">
      <w:pPr>
        <w:pStyle w:val="SingleTxtG"/>
        <w:rPr>
          <w:lang w:val="en-GB"/>
        </w:rPr>
      </w:pPr>
      <w:r w:rsidRPr="00110B57">
        <w:rPr>
          <w:i/>
          <w:iCs/>
          <w:lang w:val="en-GB"/>
        </w:rPr>
        <w:t>For</w:t>
      </w:r>
      <w:r w:rsidRPr="00110B57">
        <w:rPr>
          <w:lang w:val="en-GB"/>
        </w:rPr>
        <w:t xml:space="preserve"> 2.2.8.2.1 </w:t>
      </w:r>
      <w:r w:rsidRPr="00110B57">
        <w:rPr>
          <w:i/>
          <w:iCs/>
          <w:lang w:val="en-GB"/>
        </w:rPr>
        <w:t>read</w:t>
      </w:r>
      <w:r w:rsidRPr="00110B57">
        <w:rPr>
          <w:lang w:val="en-GB"/>
        </w:rPr>
        <w:t xml:space="preserve"> 2.2.8.2.2</w:t>
      </w:r>
    </w:p>
    <w:p w:rsidR="003D413E" w:rsidRPr="00110B57" w:rsidRDefault="003D413E" w:rsidP="003D413E">
      <w:pPr>
        <w:pStyle w:val="H23G"/>
      </w:pPr>
      <w:r w:rsidRPr="00110B57">
        <w:tab/>
      </w:r>
      <w:r w:rsidRPr="00110B57">
        <w:tab/>
      </w:r>
      <w:r w:rsidRPr="00110B57">
        <w:t>Chapter</w:t>
      </w:r>
      <w:r w:rsidRPr="00110B57">
        <w:t xml:space="preserve"> 3.2, ta</w:t>
      </w:r>
      <w:r w:rsidR="00355DEE" w:rsidRPr="00110B57">
        <w:t>ble</w:t>
      </w:r>
      <w:r w:rsidRPr="00110B57">
        <w:t xml:space="preserve"> A, </w:t>
      </w:r>
      <w:r w:rsidR="00355DEE" w:rsidRPr="00110B57">
        <w:t>for UN No</w:t>
      </w:r>
      <w:r w:rsidRPr="00110B57">
        <w:t xml:space="preserve"> 2071</w:t>
      </w:r>
    </w:p>
    <w:p w:rsidR="003D413E" w:rsidRPr="00110B57" w:rsidRDefault="00816E78" w:rsidP="003D413E">
      <w:pPr>
        <w:pStyle w:val="SingleTxtG"/>
        <w:rPr>
          <w:lang w:val="en-GB"/>
        </w:rPr>
      </w:pPr>
      <w:r w:rsidRPr="00110B57">
        <w:rPr>
          <w:i/>
          <w:iCs/>
          <w:lang w:val="en-GB"/>
        </w:rPr>
        <w:t>Delete</w:t>
      </w:r>
      <w:r w:rsidR="003D413E" w:rsidRPr="00110B57">
        <w:rPr>
          <w:i/>
          <w:iCs/>
          <w:lang w:val="en-GB"/>
        </w:rPr>
        <w:t xml:space="preserve"> </w:t>
      </w:r>
      <w:proofErr w:type="gramStart"/>
      <w:r w:rsidRPr="00110B57">
        <w:rPr>
          <w:lang w:val="en-GB"/>
        </w:rPr>
        <w:t>In</w:t>
      </w:r>
      <w:proofErr w:type="gramEnd"/>
      <w:r w:rsidRPr="00110B57">
        <w:rPr>
          <w:lang w:val="en-GB"/>
        </w:rPr>
        <w:t xml:space="preserve"> Column</w:t>
      </w:r>
      <w:r w:rsidR="003D413E" w:rsidRPr="00110B57">
        <w:rPr>
          <w:lang w:val="en-GB"/>
        </w:rPr>
        <w:t xml:space="preserve"> (3b), </w:t>
      </w:r>
      <w:r w:rsidRPr="00110B57">
        <w:rPr>
          <w:lang w:val="en-GB"/>
        </w:rPr>
        <w:t>insert “</w:t>
      </w:r>
      <w:r w:rsidR="003D413E" w:rsidRPr="00110B57">
        <w:rPr>
          <w:lang w:val="en-GB"/>
        </w:rPr>
        <w:t>M11</w:t>
      </w:r>
      <w:r w:rsidRPr="00110B57">
        <w:rPr>
          <w:lang w:val="en-GB"/>
        </w:rPr>
        <w:t>”</w:t>
      </w:r>
      <w:r w:rsidR="003D413E" w:rsidRPr="00110B57">
        <w:rPr>
          <w:lang w:val="en-GB"/>
        </w:rPr>
        <w:t>.</w:t>
      </w:r>
    </w:p>
    <w:p w:rsidR="003D413E" w:rsidRPr="00110B57" w:rsidRDefault="003D413E" w:rsidP="003D413E">
      <w:pPr>
        <w:pStyle w:val="H23G"/>
      </w:pPr>
      <w:r w:rsidRPr="00110B57">
        <w:tab/>
      </w:r>
      <w:r w:rsidRPr="00110B57">
        <w:tab/>
      </w:r>
      <w:r w:rsidRPr="00110B57">
        <w:t>Chapter</w:t>
      </w:r>
      <w:r w:rsidRPr="00110B57">
        <w:t xml:space="preserve"> </w:t>
      </w:r>
      <w:r w:rsidR="00355DEE" w:rsidRPr="00110B57">
        <w:t>3.2, table</w:t>
      </w:r>
      <w:r w:rsidRPr="00110B57">
        <w:t xml:space="preserve"> A, </w:t>
      </w:r>
      <w:r w:rsidR="00355DEE" w:rsidRPr="00110B57">
        <w:t>for UN No.</w:t>
      </w:r>
      <w:r w:rsidRPr="00110B57">
        <w:t xml:space="preserve"> 2381</w:t>
      </w:r>
    </w:p>
    <w:p w:rsidR="003D413E" w:rsidRPr="00110B57" w:rsidRDefault="00355DEE" w:rsidP="003D413E">
      <w:pPr>
        <w:pStyle w:val="SingleTxtG"/>
        <w:rPr>
          <w:iCs/>
          <w:lang w:val="en-GB"/>
        </w:rPr>
      </w:pPr>
      <w:r w:rsidRPr="00110B57">
        <w:rPr>
          <w:i/>
          <w:lang w:val="en-GB"/>
        </w:rPr>
        <w:t>For</w:t>
      </w:r>
      <w:r w:rsidR="003D413E" w:rsidRPr="00110B57">
        <w:rPr>
          <w:i/>
          <w:lang w:val="en-GB"/>
        </w:rPr>
        <w:t xml:space="preserve"> </w:t>
      </w:r>
      <w:r w:rsidR="003D413E" w:rsidRPr="00110B57">
        <w:rPr>
          <w:iCs/>
          <w:lang w:val="en-GB"/>
        </w:rPr>
        <w:t xml:space="preserve">TP38 </w:t>
      </w:r>
      <w:r w:rsidRPr="00110B57">
        <w:rPr>
          <w:i/>
          <w:lang w:val="en-GB"/>
        </w:rPr>
        <w:t>read</w:t>
      </w:r>
      <w:r w:rsidR="003D413E" w:rsidRPr="00110B57">
        <w:rPr>
          <w:i/>
          <w:lang w:val="en-GB"/>
        </w:rPr>
        <w:t xml:space="preserve"> </w:t>
      </w:r>
      <w:r w:rsidR="003D413E" w:rsidRPr="00110B57">
        <w:rPr>
          <w:iCs/>
          <w:lang w:val="en-GB"/>
        </w:rPr>
        <w:t>TP39</w:t>
      </w:r>
    </w:p>
    <w:p w:rsidR="003D413E" w:rsidRPr="00110B57" w:rsidRDefault="003D413E" w:rsidP="003D413E">
      <w:pPr>
        <w:pStyle w:val="H23G"/>
      </w:pPr>
      <w:r w:rsidRPr="00110B57">
        <w:tab/>
      </w:r>
      <w:r w:rsidRPr="00110B57">
        <w:tab/>
      </w:r>
      <w:r w:rsidRPr="00110B57">
        <w:t>Chapter</w:t>
      </w:r>
      <w:r w:rsidRPr="00110B57">
        <w:t xml:space="preserve"> </w:t>
      </w:r>
      <w:r w:rsidR="00355DEE" w:rsidRPr="00110B57">
        <w:t>3.2, table</w:t>
      </w:r>
      <w:r w:rsidRPr="00110B57">
        <w:t xml:space="preserve"> A, </w:t>
      </w:r>
      <w:r w:rsidR="00355DEE" w:rsidRPr="00110B57">
        <w:t xml:space="preserve">for UN No. </w:t>
      </w:r>
      <w:r w:rsidRPr="00110B57">
        <w:t>3148</w:t>
      </w:r>
    </w:p>
    <w:p w:rsidR="003D413E" w:rsidRPr="00110B57" w:rsidRDefault="00355DEE" w:rsidP="003D413E">
      <w:pPr>
        <w:pStyle w:val="SingleTxtG"/>
        <w:rPr>
          <w:iCs/>
          <w:lang w:val="en-GB"/>
        </w:rPr>
      </w:pPr>
      <w:r w:rsidRPr="00110B57">
        <w:rPr>
          <w:i/>
          <w:lang w:val="en-GB"/>
        </w:rPr>
        <w:t>For</w:t>
      </w:r>
      <w:r w:rsidR="003D413E" w:rsidRPr="00110B57">
        <w:rPr>
          <w:i/>
          <w:lang w:val="en-GB"/>
        </w:rPr>
        <w:t xml:space="preserve"> </w:t>
      </w:r>
      <w:r w:rsidR="003D413E" w:rsidRPr="00110B57">
        <w:rPr>
          <w:iCs/>
          <w:lang w:val="en-GB"/>
        </w:rPr>
        <w:t xml:space="preserve">TP39 </w:t>
      </w:r>
      <w:r w:rsidRPr="00110B57">
        <w:rPr>
          <w:i/>
          <w:lang w:val="en-GB"/>
        </w:rPr>
        <w:t xml:space="preserve">read </w:t>
      </w:r>
      <w:r w:rsidR="003D413E" w:rsidRPr="00110B57">
        <w:rPr>
          <w:iCs/>
          <w:lang w:val="en-GB"/>
        </w:rPr>
        <w:t>TP38</w:t>
      </w:r>
    </w:p>
    <w:p w:rsidR="00110B57" w:rsidRPr="00110B57" w:rsidRDefault="00110B57" w:rsidP="00110B57">
      <w:pPr>
        <w:pStyle w:val="H23G"/>
      </w:pPr>
      <w:r w:rsidRPr="00110B57">
        <w:tab/>
      </w:r>
      <w:r w:rsidRPr="00110B57">
        <w:tab/>
        <w:t>Chapter 3.2, table A, for UN No</w:t>
      </w:r>
      <w:r w:rsidRPr="00110B57">
        <w:t>s</w:t>
      </w:r>
      <w:r w:rsidRPr="00110B57">
        <w:t xml:space="preserve">. </w:t>
      </w:r>
      <w:r w:rsidRPr="00110B57">
        <w:t>3528, 3529 and 3530</w:t>
      </w:r>
    </w:p>
    <w:p w:rsidR="00110B57" w:rsidRPr="00110B57" w:rsidRDefault="00110B57" w:rsidP="00110B57">
      <w:pPr>
        <w:pStyle w:val="SingleTxtG"/>
        <w:rPr>
          <w:i/>
          <w:lang w:val="en-GB"/>
        </w:rPr>
      </w:pPr>
      <w:r w:rsidRPr="00110B57">
        <w:rPr>
          <w:iCs/>
          <w:lang w:val="en-GB"/>
        </w:rPr>
        <w:t xml:space="preserve">For the existing text, </w:t>
      </w:r>
      <w:r w:rsidRPr="00110B57">
        <w:rPr>
          <w:i/>
          <w:lang w:val="en-GB"/>
        </w:rPr>
        <w:t>substitute</w:t>
      </w:r>
    </w:p>
    <w:p w:rsidR="00110B57" w:rsidRPr="00110B57" w:rsidRDefault="00110B57" w:rsidP="00110B57">
      <w:pPr>
        <w:pStyle w:val="SingleTxtG"/>
        <w:ind w:left="1701"/>
        <w:rPr>
          <w:iCs/>
          <w:lang w:val="en-GB"/>
        </w:rPr>
      </w:pPr>
      <w:r w:rsidRPr="00110B57">
        <w:rPr>
          <w:iCs/>
          <w:lang w:val="en-GB"/>
        </w:rPr>
        <w:t>For UN No.</w:t>
      </w:r>
      <w:r w:rsidRPr="00110B57">
        <w:rPr>
          <w:iCs/>
          <w:lang w:val="en-GB"/>
        </w:rPr>
        <w:t xml:space="preserve"> 3528, </w:t>
      </w:r>
      <w:r w:rsidRPr="00110B57">
        <w:rPr>
          <w:iCs/>
          <w:lang w:val="en-GB"/>
        </w:rPr>
        <w:t>in Column</w:t>
      </w:r>
      <w:r w:rsidRPr="00110B57">
        <w:rPr>
          <w:iCs/>
          <w:lang w:val="en-GB"/>
        </w:rPr>
        <w:t xml:space="preserve"> (15), </w:t>
      </w:r>
      <w:r w:rsidRPr="00110B57">
        <w:rPr>
          <w:iCs/>
          <w:lang w:val="en-GB"/>
        </w:rPr>
        <w:t>insert</w:t>
      </w:r>
      <w:r w:rsidRPr="00110B57">
        <w:rPr>
          <w:iCs/>
          <w:lang w:val="en-GB"/>
        </w:rPr>
        <w:t xml:space="preserve"> </w:t>
      </w:r>
    </w:p>
    <w:p w:rsidR="00110B57" w:rsidRPr="00110B57" w:rsidRDefault="00110B57" w:rsidP="00110B57">
      <w:pPr>
        <w:pStyle w:val="SingleTxtG"/>
        <w:ind w:left="1701"/>
        <w:rPr>
          <w:iCs/>
          <w:lang w:val="en-GB"/>
        </w:rPr>
      </w:pPr>
      <w:r>
        <w:rPr>
          <w:iCs/>
          <w:lang w:val="en-GB"/>
        </w:rPr>
        <w:t>“</w:t>
      </w:r>
      <w:r w:rsidRPr="00110B57">
        <w:rPr>
          <w:iCs/>
          <w:lang w:val="en-GB"/>
        </w:rPr>
        <w:t xml:space="preserve"> -</w:t>
      </w:r>
    </w:p>
    <w:p w:rsidR="00110B57" w:rsidRPr="00110B57" w:rsidRDefault="00110B57" w:rsidP="00110B57">
      <w:pPr>
        <w:pStyle w:val="SingleTxtG"/>
        <w:ind w:left="1701"/>
        <w:rPr>
          <w:iCs/>
          <w:lang w:val="en-GB"/>
        </w:rPr>
      </w:pPr>
      <w:r>
        <w:rPr>
          <w:iCs/>
          <w:lang w:val="en-GB"/>
        </w:rPr>
        <w:t>(D)”</w:t>
      </w:r>
      <w:r w:rsidRPr="00110B57">
        <w:rPr>
          <w:iCs/>
          <w:lang w:val="en-GB"/>
        </w:rPr>
        <w:t>.</w:t>
      </w:r>
    </w:p>
    <w:p w:rsidR="00110B57" w:rsidRPr="00110B57" w:rsidRDefault="00110B57" w:rsidP="00110B57">
      <w:pPr>
        <w:pStyle w:val="SingleTxtG"/>
        <w:ind w:left="1701"/>
        <w:rPr>
          <w:iCs/>
          <w:lang w:val="en-GB"/>
        </w:rPr>
      </w:pPr>
      <w:r w:rsidRPr="00110B57">
        <w:rPr>
          <w:iCs/>
          <w:lang w:val="en-GB"/>
        </w:rPr>
        <w:t>For UN No. 3529, in Column (15), insert</w:t>
      </w:r>
    </w:p>
    <w:p w:rsidR="00110B57" w:rsidRPr="00110B57" w:rsidRDefault="00110B57" w:rsidP="00110B57">
      <w:pPr>
        <w:pStyle w:val="SingleTxtG"/>
        <w:ind w:left="1701"/>
        <w:rPr>
          <w:iCs/>
          <w:lang w:val="en-GB"/>
        </w:rPr>
      </w:pPr>
      <w:r>
        <w:rPr>
          <w:iCs/>
          <w:lang w:val="en-GB"/>
        </w:rPr>
        <w:t>“</w:t>
      </w:r>
      <w:r w:rsidRPr="00110B57">
        <w:rPr>
          <w:iCs/>
          <w:lang w:val="en-GB"/>
        </w:rPr>
        <w:t xml:space="preserve"> -</w:t>
      </w:r>
    </w:p>
    <w:p w:rsidR="00110B57" w:rsidRPr="00110B57" w:rsidRDefault="00110B57" w:rsidP="00110B57">
      <w:pPr>
        <w:pStyle w:val="SingleTxtG"/>
        <w:ind w:left="1701"/>
        <w:rPr>
          <w:iCs/>
          <w:lang w:val="en-GB"/>
        </w:rPr>
      </w:pPr>
      <w:r>
        <w:rPr>
          <w:iCs/>
          <w:lang w:val="en-GB"/>
        </w:rPr>
        <w:t>(B)”</w:t>
      </w:r>
      <w:r w:rsidRPr="00110B57">
        <w:rPr>
          <w:iCs/>
          <w:lang w:val="en-GB"/>
        </w:rPr>
        <w:t>.</w:t>
      </w:r>
    </w:p>
    <w:p w:rsidR="00110B57" w:rsidRPr="00110B57" w:rsidRDefault="00110B57" w:rsidP="00110B57">
      <w:pPr>
        <w:pStyle w:val="SingleTxtG"/>
        <w:ind w:left="1701"/>
        <w:rPr>
          <w:iCs/>
          <w:lang w:val="en-GB"/>
        </w:rPr>
      </w:pPr>
      <w:r w:rsidRPr="00110B57">
        <w:rPr>
          <w:iCs/>
          <w:lang w:val="en-GB"/>
        </w:rPr>
        <w:t>For UN No. 3530, in Column (15), insert</w:t>
      </w:r>
    </w:p>
    <w:p w:rsidR="00110B57" w:rsidRPr="00110B57" w:rsidRDefault="00110B57" w:rsidP="00110B57">
      <w:pPr>
        <w:pStyle w:val="SingleTxtG"/>
        <w:ind w:left="1701"/>
        <w:rPr>
          <w:iCs/>
          <w:lang w:val="en-GB"/>
        </w:rPr>
      </w:pPr>
      <w:r>
        <w:rPr>
          <w:iCs/>
          <w:lang w:val="en-GB"/>
        </w:rPr>
        <w:t xml:space="preserve">“ </w:t>
      </w:r>
      <w:r w:rsidRPr="00110B57">
        <w:rPr>
          <w:iCs/>
          <w:lang w:val="en-GB"/>
        </w:rPr>
        <w:t>-</w:t>
      </w:r>
    </w:p>
    <w:p w:rsidR="00110B57" w:rsidRPr="00110B57" w:rsidRDefault="00110B57" w:rsidP="00110B57">
      <w:pPr>
        <w:pStyle w:val="SingleTxtG"/>
        <w:ind w:left="1701"/>
        <w:rPr>
          <w:iCs/>
          <w:lang w:val="en-GB"/>
        </w:rPr>
      </w:pPr>
      <w:r w:rsidRPr="00110B57">
        <w:rPr>
          <w:iCs/>
          <w:lang w:val="en-GB"/>
        </w:rPr>
        <w:t>(E)</w:t>
      </w:r>
      <w:r>
        <w:rPr>
          <w:iCs/>
          <w:lang w:val="en-GB"/>
        </w:rPr>
        <w:t>”</w:t>
      </w:r>
      <w:r w:rsidRPr="00110B57">
        <w:rPr>
          <w:iCs/>
          <w:lang w:val="en-GB"/>
        </w:rPr>
        <w:t>.</w:t>
      </w:r>
    </w:p>
    <w:p w:rsidR="003D413E" w:rsidRPr="00110B57" w:rsidRDefault="003D413E" w:rsidP="003D413E">
      <w:pPr>
        <w:pStyle w:val="H23G"/>
      </w:pPr>
      <w:r w:rsidRPr="00110B57">
        <w:tab/>
      </w:r>
      <w:r w:rsidRPr="00110B57">
        <w:tab/>
      </w:r>
      <w:r w:rsidRPr="00110B57">
        <w:t>Chapter</w:t>
      </w:r>
      <w:r w:rsidRPr="00110B57">
        <w:t xml:space="preserve"> 3.3, </w:t>
      </w:r>
      <w:r w:rsidR="00355DEE" w:rsidRPr="00110B57">
        <w:t>new special provision</w:t>
      </w:r>
      <w:r w:rsidRPr="00110B57">
        <w:t xml:space="preserve"> 388, </w:t>
      </w:r>
      <w:r w:rsidR="00355DEE" w:rsidRPr="00110B57">
        <w:t>fourth paragraph</w:t>
      </w:r>
    </w:p>
    <w:p w:rsidR="00320F30" w:rsidRPr="00110B57" w:rsidRDefault="00320F30" w:rsidP="00320F30">
      <w:pPr>
        <w:pStyle w:val="SingleTxtG"/>
        <w:rPr>
          <w:iCs/>
          <w:lang w:val="en-GB"/>
        </w:rPr>
      </w:pPr>
      <w:r w:rsidRPr="00110B57">
        <w:rPr>
          <w:iCs/>
          <w:lang w:val="en-GB"/>
        </w:rPr>
        <w:t>Not applicable to English.</w:t>
      </w:r>
    </w:p>
    <w:p w:rsidR="003D413E" w:rsidRPr="00110B57" w:rsidRDefault="003D413E" w:rsidP="003D413E">
      <w:pPr>
        <w:pStyle w:val="H23G"/>
      </w:pPr>
      <w:r w:rsidRPr="00110B57">
        <w:tab/>
      </w:r>
      <w:r w:rsidRPr="00110B57">
        <w:tab/>
      </w:r>
      <w:r w:rsidRPr="00110B57">
        <w:t>Chapter</w:t>
      </w:r>
      <w:r w:rsidRPr="00110B57">
        <w:t xml:space="preserve"> </w:t>
      </w:r>
      <w:r w:rsidR="00320F30" w:rsidRPr="00110B57">
        <w:t>4.3, 4.3.4.1.3, table</w:t>
      </w:r>
      <w:r w:rsidRPr="00110B57">
        <w:t xml:space="preserve">, </w:t>
      </w:r>
      <w:r w:rsidR="00320F30" w:rsidRPr="00110B57">
        <w:t>for Class</w:t>
      </w:r>
      <w:r w:rsidRPr="00110B57">
        <w:t xml:space="preserve"> 4.1, </w:t>
      </w:r>
      <w:r w:rsidR="00320F30" w:rsidRPr="00110B57">
        <w:t>for UN Nos.</w:t>
      </w:r>
      <w:r w:rsidRPr="00110B57">
        <w:t xml:space="preserve"> ONU 3533 </w:t>
      </w:r>
      <w:r w:rsidR="00320F30" w:rsidRPr="00110B57">
        <w:t>and</w:t>
      </w:r>
      <w:r w:rsidRPr="00110B57">
        <w:t xml:space="preserve"> 3534</w:t>
      </w:r>
    </w:p>
    <w:p w:rsidR="003D413E" w:rsidRPr="00110B57" w:rsidRDefault="00320F30" w:rsidP="003D413E">
      <w:pPr>
        <w:pStyle w:val="SingleTxtG"/>
        <w:rPr>
          <w:lang w:val="en-GB"/>
        </w:rPr>
      </w:pPr>
      <w:r w:rsidRPr="00110B57">
        <w:rPr>
          <w:i/>
          <w:iCs/>
          <w:lang w:val="en-GB"/>
        </w:rPr>
        <w:t xml:space="preserve">Delete </w:t>
      </w:r>
      <w:r w:rsidRPr="00110B57">
        <w:rPr>
          <w:lang w:val="en-GB"/>
        </w:rPr>
        <w:t>stabilized,</w:t>
      </w:r>
    </w:p>
    <w:p w:rsidR="003D413E" w:rsidRPr="00110B57" w:rsidRDefault="003D413E" w:rsidP="003D413E">
      <w:pPr>
        <w:pStyle w:val="H23G"/>
      </w:pPr>
      <w:r w:rsidRPr="00110B57">
        <w:tab/>
      </w:r>
      <w:r w:rsidRPr="00110B57">
        <w:tab/>
      </w:r>
      <w:r w:rsidRPr="00110B57">
        <w:t>Chapter</w:t>
      </w:r>
      <w:r w:rsidRPr="00110B57">
        <w:t xml:space="preserve"> </w:t>
      </w:r>
      <w:r w:rsidR="00320F30" w:rsidRPr="00110B57">
        <w:t>4.3, 4.3.4.1.3, table</w:t>
      </w:r>
      <w:r w:rsidRPr="00110B57">
        <w:t xml:space="preserve">, </w:t>
      </w:r>
      <w:r w:rsidR="00320F30" w:rsidRPr="00110B57">
        <w:t>for Class</w:t>
      </w:r>
      <w:r w:rsidRPr="00110B57">
        <w:t xml:space="preserve"> 5.1, </w:t>
      </w:r>
      <w:r w:rsidR="00320F30" w:rsidRPr="00110B57">
        <w:t>for UN No.</w:t>
      </w:r>
      <w:r w:rsidRPr="00110B57">
        <w:t xml:space="preserve"> 3375 (</w:t>
      </w:r>
      <w:r w:rsidR="00320F30" w:rsidRPr="00110B57">
        <w:t>two entries)</w:t>
      </w:r>
    </w:p>
    <w:p w:rsidR="00320F30" w:rsidRPr="00110B57" w:rsidRDefault="00320F30" w:rsidP="00320F30">
      <w:pPr>
        <w:pStyle w:val="SingleTxtG"/>
        <w:rPr>
          <w:iCs/>
          <w:lang w:val="en-GB"/>
        </w:rPr>
      </w:pPr>
      <w:r w:rsidRPr="00110B57">
        <w:rPr>
          <w:iCs/>
          <w:lang w:val="en-GB"/>
        </w:rPr>
        <w:t>Not applicable to English.</w:t>
      </w:r>
    </w:p>
    <w:p w:rsidR="00697D76" w:rsidRPr="00697D76" w:rsidRDefault="00697D76" w:rsidP="00697D76">
      <w:pPr>
        <w:pStyle w:val="H23G"/>
      </w:pPr>
      <w:bookmarkStart w:id="1" w:name="_Hlk512434518"/>
      <w:r>
        <w:tab/>
      </w:r>
      <w:r>
        <w:tab/>
        <w:t>Chapter 5.2, 5.2.2.2.2, t</w:t>
      </w:r>
      <w:r w:rsidRPr="00697D76">
        <w:t xml:space="preserve">able, for Class 4.1 hazard, </w:t>
      </w:r>
    </w:p>
    <w:p w:rsidR="00697D76" w:rsidRPr="00697D76" w:rsidRDefault="00697D76" w:rsidP="00697D76">
      <w:pPr>
        <w:pStyle w:val="SingleTxtG"/>
        <w:rPr>
          <w:sz w:val="22"/>
          <w:szCs w:val="22"/>
          <w:lang w:val="en-GB" w:eastAsia="ru-RU"/>
        </w:rPr>
      </w:pPr>
      <w:r w:rsidRPr="00697D76">
        <w:rPr>
          <w:i/>
          <w:lang w:val="en-GB"/>
        </w:rPr>
        <w:t>For</w:t>
      </w:r>
      <w:r w:rsidRPr="00697D76">
        <w:rPr>
          <w:iCs/>
          <w:lang w:val="en-GB"/>
        </w:rPr>
        <w:t xml:space="preserve"> </w:t>
      </w:r>
      <w:r w:rsidRPr="00697D76">
        <w:rPr>
          <w:sz w:val="22"/>
          <w:szCs w:val="22"/>
          <w:lang w:val="en-GB" w:eastAsia="ru-RU"/>
        </w:rPr>
        <w:t xml:space="preserve">solid desensitized explosives and polymerizing substances </w:t>
      </w:r>
      <w:r w:rsidRPr="00697D76">
        <w:rPr>
          <w:i/>
          <w:iCs/>
          <w:sz w:val="22"/>
          <w:szCs w:val="22"/>
          <w:lang w:val="en-GB" w:eastAsia="ru-RU"/>
        </w:rPr>
        <w:t>read</w:t>
      </w:r>
      <w:r w:rsidRPr="00697D76">
        <w:rPr>
          <w:sz w:val="22"/>
          <w:szCs w:val="22"/>
          <w:lang w:val="en-GB" w:eastAsia="ru-RU"/>
        </w:rPr>
        <w:t xml:space="preserve"> polymerizing substances and solid desensitized explosives</w:t>
      </w:r>
    </w:p>
    <w:bookmarkEnd w:id="1"/>
    <w:p w:rsidR="003D413E" w:rsidRPr="00110B57" w:rsidRDefault="003D413E" w:rsidP="003D413E">
      <w:pPr>
        <w:pStyle w:val="H23G"/>
      </w:pPr>
      <w:r w:rsidRPr="00110B57">
        <w:tab/>
      </w:r>
      <w:r w:rsidRPr="00110B57">
        <w:tab/>
      </w:r>
      <w:r w:rsidRPr="00110B57">
        <w:t>Chapter</w:t>
      </w:r>
      <w:r w:rsidRPr="00110B57">
        <w:t xml:space="preserve"> 6.8, 6.8.2.2.11</w:t>
      </w:r>
    </w:p>
    <w:p w:rsidR="003D413E" w:rsidRPr="00110B57" w:rsidRDefault="00320F30" w:rsidP="003D413E">
      <w:pPr>
        <w:pStyle w:val="SingleTxtG"/>
        <w:rPr>
          <w:iCs/>
          <w:lang w:val="en-GB"/>
        </w:rPr>
      </w:pPr>
      <w:r w:rsidRPr="00110B57">
        <w:rPr>
          <w:i/>
          <w:lang w:val="en-GB"/>
        </w:rPr>
        <w:t>After</w:t>
      </w:r>
      <w:r w:rsidR="003D413E" w:rsidRPr="00110B57">
        <w:rPr>
          <w:lang w:val="en-GB"/>
        </w:rPr>
        <w:t xml:space="preserve"> </w:t>
      </w:r>
      <w:r w:rsidRPr="00110B57">
        <w:rPr>
          <w:lang w:val="en-GB"/>
        </w:rPr>
        <w:t>Add the following new paragraph</w:t>
      </w:r>
      <w:r w:rsidR="003D413E" w:rsidRPr="00110B57">
        <w:rPr>
          <w:i/>
          <w:lang w:val="en-GB"/>
        </w:rPr>
        <w:t xml:space="preserve"> </w:t>
      </w:r>
      <w:r w:rsidRPr="00110B57">
        <w:rPr>
          <w:i/>
          <w:lang w:val="en-GB"/>
        </w:rPr>
        <w:t>insert</w:t>
      </w:r>
      <w:r w:rsidR="003D413E" w:rsidRPr="00110B57">
        <w:rPr>
          <w:i/>
          <w:lang w:val="en-GB"/>
        </w:rPr>
        <w:t xml:space="preserve"> </w:t>
      </w:r>
      <w:r w:rsidRPr="00110B57">
        <w:rPr>
          <w:lang w:val="en-GB"/>
        </w:rPr>
        <w:t>6.8.2.2.11</w:t>
      </w:r>
      <w:r w:rsidR="003D413E" w:rsidRPr="00110B57">
        <w:rPr>
          <w:lang w:val="en-GB"/>
        </w:rPr>
        <w:t xml:space="preserve"> </w:t>
      </w:r>
    </w:p>
    <w:p w:rsidR="00110B57" w:rsidRDefault="00110B57" w:rsidP="003D413E">
      <w:pPr>
        <w:pStyle w:val="SingleTxtG"/>
        <w:rPr>
          <w:iCs/>
          <w:lang w:val="en-GB"/>
        </w:rPr>
      </w:pPr>
    </w:p>
    <w:p w:rsidR="003D413E" w:rsidRPr="00110B57" w:rsidRDefault="003D413E" w:rsidP="003D413E">
      <w:pPr>
        <w:pStyle w:val="SingleTxtG"/>
        <w:rPr>
          <w:iCs/>
          <w:lang w:val="en-GB"/>
        </w:rPr>
      </w:pPr>
      <w:r w:rsidRPr="00110B57">
        <w:rPr>
          <w:iCs/>
          <w:lang w:val="en-GB"/>
        </w:rPr>
        <w:lastRenderedPageBreak/>
        <w:t xml:space="preserve">Table 5.2.2.2.2, for Class 4.1 hazard, </w:t>
      </w:r>
    </w:p>
    <w:p w:rsidR="003D413E" w:rsidRPr="00110B57" w:rsidRDefault="003D413E" w:rsidP="003D413E">
      <w:pPr>
        <w:pStyle w:val="SingleTxtG"/>
        <w:rPr>
          <w:b/>
          <w:sz w:val="22"/>
          <w:szCs w:val="22"/>
          <w:lang w:val="en-GB" w:eastAsia="ru-RU"/>
        </w:rPr>
      </w:pPr>
      <w:r w:rsidRPr="00110B57">
        <w:rPr>
          <w:i/>
          <w:lang w:val="en-GB"/>
        </w:rPr>
        <w:t>For</w:t>
      </w:r>
      <w:r w:rsidRPr="00110B57">
        <w:rPr>
          <w:iCs/>
          <w:lang w:val="en-GB"/>
        </w:rPr>
        <w:t xml:space="preserve"> </w:t>
      </w:r>
      <w:r w:rsidRPr="00110B57">
        <w:rPr>
          <w:b/>
          <w:sz w:val="22"/>
          <w:szCs w:val="22"/>
          <w:lang w:val="en-GB" w:eastAsia="ru-RU"/>
        </w:rPr>
        <w:t xml:space="preserve">solid desensitized explosives and polymerizing substances </w:t>
      </w:r>
      <w:r w:rsidRPr="00110B57">
        <w:rPr>
          <w:bCs/>
          <w:i/>
          <w:iCs/>
          <w:sz w:val="22"/>
          <w:szCs w:val="22"/>
          <w:lang w:val="en-GB" w:eastAsia="ru-RU"/>
        </w:rPr>
        <w:t>read</w:t>
      </w:r>
      <w:r w:rsidRPr="00110B57">
        <w:rPr>
          <w:b/>
          <w:sz w:val="22"/>
          <w:szCs w:val="22"/>
          <w:lang w:val="en-GB" w:eastAsia="ru-RU"/>
        </w:rPr>
        <w:t xml:space="preserve"> polymerizing substances and solid desensitized explosives</w:t>
      </w:r>
    </w:p>
    <w:p w:rsidR="00F42999" w:rsidRPr="00110B57" w:rsidRDefault="00F42999" w:rsidP="00F42999">
      <w:pPr>
        <w:pStyle w:val="SingleTxtG"/>
        <w:spacing w:before="240" w:after="0"/>
        <w:jc w:val="center"/>
        <w:rPr>
          <w:u w:val="single"/>
          <w:lang w:val="en-GB"/>
        </w:rPr>
      </w:pPr>
      <w:r w:rsidRPr="00110B57">
        <w:rPr>
          <w:u w:val="single"/>
          <w:lang w:val="en-GB"/>
        </w:rPr>
        <w:tab/>
      </w:r>
      <w:r w:rsidRPr="00110B57">
        <w:rPr>
          <w:u w:val="single"/>
          <w:lang w:val="en-GB"/>
        </w:rPr>
        <w:tab/>
      </w:r>
      <w:r w:rsidRPr="00110B57">
        <w:rPr>
          <w:u w:val="single"/>
          <w:lang w:val="en-GB"/>
        </w:rPr>
        <w:tab/>
      </w:r>
    </w:p>
    <w:sectPr w:rsidR="00F42999" w:rsidRPr="00110B57" w:rsidSect="009D2A5B">
      <w:headerReference w:type="even" r:id="rId8"/>
      <w:headerReference w:type="default" r:id="rId9"/>
      <w:footerReference w:type="even" r:id="rId10"/>
      <w:footerReference w:type="default" r:id="rId11"/>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0A7" w:rsidRDefault="002F50A7"/>
  </w:endnote>
  <w:endnote w:type="continuationSeparator" w:id="0">
    <w:p w:rsidR="002F50A7" w:rsidRDefault="002F50A7"/>
  </w:endnote>
  <w:endnote w:type="continuationNotice" w:id="1">
    <w:p w:rsidR="002F50A7" w:rsidRDefault="002F5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9D2A5B" w:rsidRDefault="00146DC8"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697D76">
      <w:rPr>
        <w:b/>
        <w:noProof/>
        <w:sz w:val="18"/>
      </w:rPr>
      <w:t>4</w:t>
    </w:r>
    <w:r w:rsidRPr="009D2A5B">
      <w:rPr>
        <w:b/>
        <w:sz w:val="18"/>
      </w:rPr>
      <w:fldChar w:fldCharType="end"/>
    </w:r>
    <w:r w:rsidR="008C7AFF">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9D2A5B" w:rsidRDefault="008C7AFF" w:rsidP="009D2A5B">
    <w:pPr>
      <w:pStyle w:val="Footer"/>
      <w:tabs>
        <w:tab w:val="right" w:pos="9598"/>
      </w:tabs>
      <w:rPr>
        <w:b/>
        <w:sz w:val="18"/>
      </w:rPr>
    </w:pPr>
    <w:r>
      <w:tab/>
    </w:r>
    <w:r w:rsidR="00146DC8" w:rsidRPr="009D2A5B">
      <w:rPr>
        <w:b/>
        <w:sz w:val="18"/>
      </w:rPr>
      <w:fldChar w:fldCharType="begin"/>
    </w:r>
    <w:r w:rsidRPr="009D2A5B">
      <w:rPr>
        <w:b/>
        <w:sz w:val="18"/>
      </w:rPr>
      <w:instrText xml:space="preserve"> PAGE  \* MERGEFORMAT </w:instrText>
    </w:r>
    <w:r w:rsidR="00146DC8" w:rsidRPr="009D2A5B">
      <w:rPr>
        <w:b/>
        <w:sz w:val="18"/>
      </w:rPr>
      <w:fldChar w:fldCharType="separate"/>
    </w:r>
    <w:r w:rsidR="00697D76">
      <w:rPr>
        <w:b/>
        <w:noProof/>
        <w:sz w:val="18"/>
      </w:rPr>
      <w:t>3</w:t>
    </w:r>
    <w:r w:rsidR="00146DC8"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0A7" w:rsidRPr="000B175B" w:rsidRDefault="002F50A7" w:rsidP="000B175B">
      <w:pPr>
        <w:tabs>
          <w:tab w:val="right" w:pos="2155"/>
        </w:tabs>
        <w:spacing w:after="80"/>
        <w:ind w:left="680"/>
        <w:rPr>
          <w:u w:val="single"/>
        </w:rPr>
      </w:pPr>
      <w:r>
        <w:rPr>
          <w:u w:val="single"/>
        </w:rPr>
        <w:tab/>
      </w:r>
    </w:p>
  </w:footnote>
  <w:footnote w:type="continuationSeparator" w:id="0">
    <w:p w:rsidR="002F50A7" w:rsidRPr="00FC68B7" w:rsidRDefault="002F50A7" w:rsidP="00FC68B7">
      <w:pPr>
        <w:tabs>
          <w:tab w:val="left" w:pos="2155"/>
        </w:tabs>
        <w:spacing w:after="80"/>
        <w:ind w:left="680"/>
        <w:rPr>
          <w:u w:val="single"/>
        </w:rPr>
      </w:pPr>
      <w:r>
        <w:rPr>
          <w:u w:val="single"/>
        </w:rPr>
        <w:tab/>
      </w:r>
    </w:p>
  </w:footnote>
  <w:footnote w:type="continuationNotice" w:id="1">
    <w:p w:rsidR="002F50A7" w:rsidRDefault="002F50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FA7F6B" w:rsidRDefault="008C7AFF" w:rsidP="009D2A5B">
    <w:pPr>
      <w:pStyle w:val="Header"/>
      <w:rPr>
        <w:szCs w:val="18"/>
        <w:lang w:val="fr-CH"/>
      </w:rPr>
    </w:pPr>
    <w:r w:rsidRPr="00FA7F6B">
      <w:rPr>
        <w:szCs w:val="18"/>
        <w:lang w:val="fr-CH"/>
      </w:rPr>
      <w:t>INF.</w:t>
    </w:r>
    <w:r w:rsidR="006E5E05">
      <w:rPr>
        <w:szCs w:val="18"/>
        <w:lang w:val="fr-CH"/>
      </w:rPr>
      <w:t>1</w:t>
    </w:r>
    <w:r w:rsidR="00A74E49">
      <w:rPr>
        <w:szCs w:val="18"/>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CD57D2" w:rsidRDefault="008C7AFF" w:rsidP="009D2A5B">
    <w:pPr>
      <w:pStyle w:val="Header"/>
      <w:jc w:val="right"/>
      <w:rPr>
        <w:lang w:val="fr-CH"/>
      </w:rPr>
    </w:pPr>
    <w:r>
      <w:rPr>
        <w:lang w:val="fr-CH"/>
      </w:rPr>
      <w:t>INF.</w:t>
    </w:r>
    <w:r w:rsidR="006E5E05">
      <w:rPr>
        <w:lang w:val="fr-CH"/>
      </w:rPr>
      <w:t>1</w:t>
    </w:r>
    <w:r w:rsidR="00A74E49">
      <w:rPr>
        <w:lang w:val="fr-CH"/>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8E74EC"/>
    <w:multiLevelType w:val="hybridMultilevel"/>
    <w:tmpl w:val="26A294C2"/>
    <w:lvl w:ilvl="0" w:tplc="17EADB06">
      <w:start w:val="1"/>
      <w:numFmt w:val="upperLetter"/>
      <w:lvlText w:val="%1."/>
      <w:lvlJc w:val="left"/>
      <w:pPr>
        <w:ind w:left="1130" w:hanging="55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6"/>
  </w:num>
  <w:num w:numId="15">
    <w:abstractNumId w:val="12"/>
  </w:num>
  <w:num w:numId="16">
    <w:abstractNumId w:val="11"/>
  </w:num>
  <w:num w:numId="17">
    <w:abstractNumId w:val="18"/>
  </w:num>
  <w:num w:numId="18">
    <w:abstractNumId w:val="17"/>
  </w:num>
  <w:num w:numId="1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fr-FR" w:vendorID="64" w:dllVersion="6" w:nlCheck="1" w:checkStyle="0"/>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7409"/>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035B8"/>
    <w:rsid w:val="00013E97"/>
    <w:rsid w:val="000149A1"/>
    <w:rsid w:val="000218B5"/>
    <w:rsid w:val="000260EE"/>
    <w:rsid w:val="00037F90"/>
    <w:rsid w:val="00046B1F"/>
    <w:rsid w:val="000470B0"/>
    <w:rsid w:val="00047EB7"/>
    <w:rsid w:val="00050F6B"/>
    <w:rsid w:val="00057E97"/>
    <w:rsid w:val="0006361C"/>
    <w:rsid w:val="00067232"/>
    <w:rsid w:val="00072C8C"/>
    <w:rsid w:val="000733B5"/>
    <w:rsid w:val="00081815"/>
    <w:rsid w:val="0008342E"/>
    <w:rsid w:val="00091557"/>
    <w:rsid w:val="000931C0"/>
    <w:rsid w:val="00093840"/>
    <w:rsid w:val="00096262"/>
    <w:rsid w:val="0009761A"/>
    <w:rsid w:val="000A0FD0"/>
    <w:rsid w:val="000A1785"/>
    <w:rsid w:val="000A3752"/>
    <w:rsid w:val="000A58D8"/>
    <w:rsid w:val="000A5CF8"/>
    <w:rsid w:val="000A77BB"/>
    <w:rsid w:val="000B0595"/>
    <w:rsid w:val="000B175B"/>
    <w:rsid w:val="000B3A0F"/>
    <w:rsid w:val="000B4EF7"/>
    <w:rsid w:val="000B633F"/>
    <w:rsid w:val="000B7AA1"/>
    <w:rsid w:val="000B7EDC"/>
    <w:rsid w:val="000C125A"/>
    <w:rsid w:val="000C2C03"/>
    <w:rsid w:val="000C2D2E"/>
    <w:rsid w:val="000C3305"/>
    <w:rsid w:val="000C4D51"/>
    <w:rsid w:val="000C7F79"/>
    <w:rsid w:val="000D1E89"/>
    <w:rsid w:val="000D3D97"/>
    <w:rsid w:val="000E0415"/>
    <w:rsid w:val="000E5C70"/>
    <w:rsid w:val="000E6237"/>
    <w:rsid w:val="00101DB8"/>
    <w:rsid w:val="00103CC1"/>
    <w:rsid w:val="00104CDA"/>
    <w:rsid w:val="001103AA"/>
    <w:rsid w:val="00110B57"/>
    <w:rsid w:val="0011119B"/>
    <w:rsid w:val="0011666B"/>
    <w:rsid w:val="0012118B"/>
    <w:rsid w:val="001362A8"/>
    <w:rsid w:val="00141383"/>
    <w:rsid w:val="00142AB2"/>
    <w:rsid w:val="00146DC8"/>
    <w:rsid w:val="00155068"/>
    <w:rsid w:val="00165F3A"/>
    <w:rsid w:val="00177CE8"/>
    <w:rsid w:val="0018210E"/>
    <w:rsid w:val="00193CA7"/>
    <w:rsid w:val="001A6E55"/>
    <w:rsid w:val="001B13A5"/>
    <w:rsid w:val="001B4B04"/>
    <w:rsid w:val="001C03F9"/>
    <w:rsid w:val="001C0917"/>
    <w:rsid w:val="001C5A58"/>
    <w:rsid w:val="001C6663"/>
    <w:rsid w:val="001C7895"/>
    <w:rsid w:val="001D0C8C"/>
    <w:rsid w:val="001D1419"/>
    <w:rsid w:val="001D26DF"/>
    <w:rsid w:val="001D3A03"/>
    <w:rsid w:val="001E0B9E"/>
    <w:rsid w:val="001E29E7"/>
    <w:rsid w:val="001E5415"/>
    <w:rsid w:val="001E7451"/>
    <w:rsid w:val="001E7B67"/>
    <w:rsid w:val="001F679D"/>
    <w:rsid w:val="001F7435"/>
    <w:rsid w:val="00202DA8"/>
    <w:rsid w:val="0021157B"/>
    <w:rsid w:val="00211E0B"/>
    <w:rsid w:val="0022321E"/>
    <w:rsid w:val="00225730"/>
    <w:rsid w:val="00233955"/>
    <w:rsid w:val="0023539C"/>
    <w:rsid w:val="00236A96"/>
    <w:rsid w:val="0023771B"/>
    <w:rsid w:val="0024023A"/>
    <w:rsid w:val="00243217"/>
    <w:rsid w:val="00247BDC"/>
    <w:rsid w:val="00252290"/>
    <w:rsid w:val="00267F5F"/>
    <w:rsid w:val="00280A1D"/>
    <w:rsid w:val="00284DBC"/>
    <w:rsid w:val="00286B4D"/>
    <w:rsid w:val="002A0CC5"/>
    <w:rsid w:val="002A3C85"/>
    <w:rsid w:val="002A603B"/>
    <w:rsid w:val="002B46EB"/>
    <w:rsid w:val="002D0CE4"/>
    <w:rsid w:val="002D2E24"/>
    <w:rsid w:val="002D4643"/>
    <w:rsid w:val="002D4B6C"/>
    <w:rsid w:val="002F175C"/>
    <w:rsid w:val="002F50A7"/>
    <w:rsid w:val="00301D76"/>
    <w:rsid w:val="00302E18"/>
    <w:rsid w:val="0030606F"/>
    <w:rsid w:val="00307A07"/>
    <w:rsid w:val="003173A5"/>
    <w:rsid w:val="00320F30"/>
    <w:rsid w:val="003229D8"/>
    <w:rsid w:val="0033230E"/>
    <w:rsid w:val="003358CF"/>
    <w:rsid w:val="00335D02"/>
    <w:rsid w:val="0034605E"/>
    <w:rsid w:val="00352709"/>
    <w:rsid w:val="00354ED9"/>
    <w:rsid w:val="00355DEE"/>
    <w:rsid w:val="003706D8"/>
    <w:rsid w:val="0037107E"/>
    <w:rsid w:val="00371178"/>
    <w:rsid w:val="00375B70"/>
    <w:rsid w:val="0038452A"/>
    <w:rsid w:val="00393A3C"/>
    <w:rsid w:val="003A0926"/>
    <w:rsid w:val="003A10AC"/>
    <w:rsid w:val="003A2D81"/>
    <w:rsid w:val="003A30E1"/>
    <w:rsid w:val="003A6498"/>
    <w:rsid w:val="003A6728"/>
    <w:rsid w:val="003A6810"/>
    <w:rsid w:val="003A7C69"/>
    <w:rsid w:val="003B36D1"/>
    <w:rsid w:val="003B7418"/>
    <w:rsid w:val="003C2CC4"/>
    <w:rsid w:val="003C74DD"/>
    <w:rsid w:val="003D30B0"/>
    <w:rsid w:val="003D3380"/>
    <w:rsid w:val="003D413E"/>
    <w:rsid w:val="003D4B23"/>
    <w:rsid w:val="003E0B6D"/>
    <w:rsid w:val="003F310D"/>
    <w:rsid w:val="003F7107"/>
    <w:rsid w:val="004002CE"/>
    <w:rsid w:val="00406D5C"/>
    <w:rsid w:val="00410C89"/>
    <w:rsid w:val="0041397F"/>
    <w:rsid w:val="0041539A"/>
    <w:rsid w:val="00422E03"/>
    <w:rsid w:val="00426B9B"/>
    <w:rsid w:val="004325CB"/>
    <w:rsid w:val="004356D2"/>
    <w:rsid w:val="004428E6"/>
    <w:rsid w:val="00442A83"/>
    <w:rsid w:val="00446D76"/>
    <w:rsid w:val="0045495B"/>
    <w:rsid w:val="00454D98"/>
    <w:rsid w:val="00456890"/>
    <w:rsid w:val="00463984"/>
    <w:rsid w:val="00463B7B"/>
    <w:rsid w:val="004643FE"/>
    <w:rsid w:val="00470310"/>
    <w:rsid w:val="00471330"/>
    <w:rsid w:val="004757DA"/>
    <w:rsid w:val="0048014F"/>
    <w:rsid w:val="00482DA4"/>
    <w:rsid w:val="0048397A"/>
    <w:rsid w:val="00485C67"/>
    <w:rsid w:val="004A12F2"/>
    <w:rsid w:val="004C2461"/>
    <w:rsid w:val="004C63B1"/>
    <w:rsid w:val="004C648F"/>
    <w:rsid w:val="004C72BF"/>
    <w:rsid w:val="004C7462"/>
    <w:rsid w:val="004C7936"/>
    <w:rsid w:val="004D4E04"/>
    <w:rsid w:val="004D5426"/>
    <w:rsid w:val="004D71EB"/>
    <w:rsid w:val="004E0C05"/>
    <w:rsid w:val="004E1EFB"/>
    <w:rsid w:val="004E77B2"/>
    <w:rsid w:val="004F68B6"/>
    <w:rsid w:val="004F7A1B"/>
    <w:rsid w:val="00503DEB"/>
    <w:rsid w:val="00504B2D"/>
    <w:rsid w:val="00507CE8"/>
    <w:rsid w:val="0052013D"/>
    <w:rsid w:val="0052136D"/>
    <w:rsid w:val="00522B58"/>
    <w:rsid w:val="00523CD7"/>
    <w:rsid w:val="00526FF7"/>
    <w:rsid w:val="0052775E"/>
    <w:rsid w:val="00531D46"/>
    <w:rsid w:val="00533685"/>
    <w:rsid w:val="005420F2"/>
    <w:rsid w:val="00545721"/>
    <w:rsid w:val="00546993"/>
    <w:rsid w:val="005523E5"/>
    <w:rsid w:val="00553B62"/>
    <w:rsid w:val="005628B6"/>
    <w:rsid w:val="00572CD2"/>
    <w:rsid w:val="00586DB8"/>
    <w:rsid w:val="0059363D"/>
    <w:rsid w:val="00596193"/>
    <w:rsid w:val="005A1668"/>
    <w:rsid w:val="005A280E"/>
    <w:rsid w:val="005A6437"/>
    <w:rsid w:val="005B3DB3"/>
    <w:rsid w:val="005B4E13"/>
    <w:rsid w:val="005C5CC2"/>
    <w:rsid w:val="005D01AA"/>
    <w:rsid w:val="005D0201"/>
    <w:rsid w:val="005D2A29"/>
    <w:rsid w:val="005E6A77"/>
    <w:rsid w:val="005F4EF7"/>
    <w:rsid w:val="005F7B75"/>
    <w:rsid w:val="006001EE"/>
    <w:rsid w:val="00600FA9"/>
    <w:rsid w:val="00605042"/>
    <w:rsid w:val="00611FC4"/>
    <w:rsid w:val="006162FB"/>
    <w:rsid w:val="006176FB"/>
    <w:rsid w:val="006309EF"/>
    <w:rsid w:val="00640B26"/>
    <w:rsid w:val="00642081"/>
    <w:rsid w:val="00651B2F"/>
    <w:rsid w:val="00652D0A"/>
    <w:rsid w:val="006623D5"/>
    <w:rsid w:val="00662531"/>
    <w:rsid w:val="00662BB6"/>
    <w:rsid w:val="006634C7"/>
    <w:rsid w:val="00667F8F"/>
    <w:rsid w:val="00670BBE"/>
    <w:rsid w:val="006713A7"/>
    <w:rsid w:val="00674897"/>
    <w:rsid w:val="00676B85"/>
    <w:rsid w:val="00684C21"/>
    <w:rsid w:val="00697D76"/>
    <w:rsid w:val="006A2530"/>
    <w:rsid w:val="006B49F6"/>
    <w:rsid w:val="006B4DDD"/>
    <w:rsid w:val="006B732D"/>
    <w:rsid w:val="006C18FA"/>
    <w:rsid w:val="006C3589"/>
    <w:rsid w:val="006D2B94"/>
    <w:rsid w:val="006D317D"/>
    <w:rsid w:val="006D37AF"/>
    <w:rsid w:val="006D51D0"/>
    <w:rsid w:val="006E3B48"/>
    <w:rsid w:val="006E4935"/>
    <w:rsid w:val="006E564B"/>
    <w:rsid w:val="006E5E05"/>
    <w:rsid w:val="006E7191"/>
    <w:rsid w:val="006E73A7"/>
    <w:rsid w:val="00702574"/>
    <w:rsid w:val="00703577"/>
    <w:rsid w:val="00705894"/>
    <w:rsid w:val="0071793F"/>
    <w:rsid w:val="0072632A"/>
    <w:rsid w:val="007327D5"/>
    <w:rsid w:val="00743E81"/>
    <w:rsid w:val="00753674"/>
    <w:rsid w:val="00754592"/>
    <w:rsid w:val="007611CF"/>
    <w:rsid w:val="007612FF"/>
    <w:rsid w:val="007629C8"/>
    <w:rsid w:val="0077047D"/>
    <w:rsid w:val="00781439"/>
    <w:rsid w:val="007816F1"/>
    <w:rsid w:val="0078507B"/>
    <w:rsid w:val="00791AC2"/>
    <w:rsid w:val="00793939"/>
    <w:rsid w:val="00797575"/>
    <w:rsid w:val="007A1179"/>
    <w:rsid w:val="007A787F"/>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222"/>
    <w:rsid w:val="008116D7"/>
    <w:rsid w:val="00811920"/>
    <w:rsid w:val="00815AD0"/>
    <w:rsid w:val="00815E91"/>
    <w:rsid w:val="00816E78"/>
    <w:rsid w:val="008242D7"/>
    <w:rsid w:val="00824EA3"/>
    <w:rsid w:val="008257B1"/>
    <w:rsid w:val="008268C5"/>
    <w:rsid w:val="00835C5B"/>
    <w:rsid w:val="00836F65"/>
    <w:rsid w:val="00841EA6"/>
    <w:rsid w:val="00842F17"/>
    <w:rsid w:val="00843767"/>
    <w:rsid w:val="00844141"/>
    <w:rsid w:val="00845E45"/>
    <w:rsid w:val="008544D5"/>
    <w:rsid w:val="00854501"/>
    <w:rsid w:val="008556FB"/>
    <w:rsid w:val="0085672F"/>
    <w:rsid w:val="008679D9"/>
    <w:rsid w:val="008711DC"/>
    <w:rsid w:val="00871389"/>
    <w:rsid w:val="008767BF"/>
    <w:rsid w:val="00880848"/>
    <w:rsid w:val="00883999"/>
    <w:rsid w:val="00887652"/>
    <w:rsid w:val="008878DE"/>
    <w:rsid w:val="008979B1"/>
    <w:rsid w:val="008A3058"/>
    <w:rsid w:val="008A6B25"/>
    <w:rsid w:val="008A6C4F"/>
    <w:rsid w:val="008A7F90"/>
    <w:rsid w:val="008B187F"/>
    <w:rsid w:val="008B2335"/>
    <w:rsid w:val="008B27FB"/>
    <w:rsid w:val="008B2B78"/>
    <w:rsid w:val="008B2D85"/>
    <w:rsid w:val="008C400E"/>
    <w:rsid w:val="008C7AFF"/>
    <w:rsid w:val="008D7341"/>
    <w:rsid w:val="008E0678"/>
    <w:rsid w:val="008E33CD"/>
    <w:rsid w:val="008E6480"/>
    <w:rsid w:val="008F5ACB"/>
    <w:rsid w:val="008F6CE6"/>
    <w:rsid w:val="00907BA5"/>
    <w:rsid w:val="0091190D"/>
    <w:rsid w:val="009223CA"/>
    <w:rsid w:val="00927829"/>
    <w:rsid w:val="00933E40"/>
    <w:rsid w:val="00934137"/>
    <w:rsid w:val="00940F93"/>
    <w:rsid w:val="0094558F"/>
    <w:rsid w:val="009536F9"/>
    <w:rsid w:val="00961690"/>
    <w:rsid w:val="009760F3"/>
    <w:rsid w:val="00977203"/>
    <w:rsid w:val="00995AB4"/>
    <w:rsid w:val="009A0E8D"/>
    <w:rsid w:val="009B0F25"/>
    <w:rsid w:val="009B1518"/>
    <w:rsid w:val="009B26E7"/>
    <w:rsid w:val="009B350F"/>
    <w:rsid w:val="009C454F"/>
    <w:rsid w:val="009D2486"/>
    <w:rsid w:val="009D2A5B"/>
    <w:rsid w:val="009E1D30"/>
    <w:rsid w:val="009F2BB8"/>
    <w:rsid w:val="00A00A3F"/>
    <w:rsid w:val="00A01489"/>
    <w:rsid w:val="00A12E50"/>
    <w:rsid w:val="00A14388"/>
    <w:rsid w:val="00A1777D"/>
    <w:rsid w:val="00A3009E"/>
    <w:rsid w:val="00A3026E"/>
    <w:rsid w:val="00A31D95"/>
    <w:rsid w:val="00A338F1"/>
    <w:rsid w:val="00A45808"/>
    <w:rsid w:val="00A46763"/>
    <w:rsid w:val="00A477C4"/>
    <w:rsid w:val="00A5402C"/>
    <w:rsid w:val="00A56AAB"/>
    <w:rsid w:val="00A72F22"/>
    <w:rsid w:val="00A7360F"/>
    <w:rsid w:val="00A748A6"/>
    <w:rsid w:val="00A74E49"/>
    <w:rsid w:val="00A769F4"/>
    <w:rsid w:val="00A776B4"/>
    <w:rsid w:val="00A915B4"/>
    <w:rsid w:val="00A94361"/>
    <w:rsid w:val="00A970A8"/>
    <w:rsid w:val="00AA1F98"/>
    <w:rsid w:val="00AA293C"/>
    <w:rsid w:val="00AA5165"/>
    <w:rsid w:val="00AA66C0"/>
    <w:rsid w:val="00AB32F7"/>
    <w:rsid w:val="00AB4050"/>
    <w:rsid w:val="00AC5045"/>
    <w:rsid w:val="00AC6EC4"/>
    <w:rsid w:val="00AD44C2"/>
    <w:rsid w:val="00AD48FA"/>
    <w:rsid w:val="00B0614C"/>
    <w:rsid w:val="00B101E9"/>
    <w:rsid w:val="00B117CF"/>
    <w:rsid w:val="00B11BB4"/>
    <w:rsid w:val="00B12CA6"/>
    <w:rsid w:val="00B2148A"/>
    <w:rsid w:val="00B21F96"/>
    <w:rsid w:val="00B22BC2"/>
    <w:rsid w:val="00B24F79"/>
    <w:rsid w:val="00B25EB2"/>
    <w:rsid w:val="00B27148"/>
    <w:rsid w:val="00B30179"/>
    <w:rsid w:val="00B36690"/>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7D05"/>
    <w:rsid w:val="00B8059B"/>
    <w:rsid w:val="00B81206"/>
    <w:rsid w:val="00B81E12"/>
    <w:rsid w:val="00B8394B"/>
    <w:rsid w:val="00B85D76"/>
    <w:rsid w:val="00B87639"/>
    <w:rsid w:val="00B94746"/>
    <w:rsid w:val="00BA4F47"/>
    <w:rsid w:val="00BB5635"/>
    <w:rsid w:val="00BB7CD1"/>
    <w:rsid w:val="00BC2725"/>
    <w:rsid w:val="00BC3FA0"/>
    <w:rsid w:val="00BC626B"/>
    <w:rsid w:val="00BC67E1"/>
    <w:rsid w:val="00BC74E9"/>
    <w:rsid w:val="00BD1E67"/>
    <w:rsid w:val="00BE4F17"/>
    <w:rsid w:val="00BF3CC6"/>
    <w:rsid w:val="00BF68A8"/>
    <w:rsid w:val="00BF6B31"/>
    <w:rsid w:val="00C00247"/>
    <w:rsid w:val="00C0468A"/>
    <w:rsid w:val="00C10FE6"/>
    <w:rsid w:val="00C11A03"/>
    <w:rsid w:val="00C11B49"/>
    <w:rsid w:val="00C22C0C"/>
    <w:rsid w:val="00C23978"/>
    <w:rsid w:val="00C25E1A"/>
    <w:rsid w:val="00C30215"/>
    <w:rsid w:val="00C33407"/>
    <w:rsid w:val="00C43462"/>
    <w:rsid w:val="00C4527F"/>
    <w:rsid w:val="00C463DD"/>
    <w:rsid w:val="00C4724C"/>
    <w:rsid w:val="00C605F3"/>
    <w:rsid w:val="00C629A0"/>
    <w:rsid w:val="00C64629"/>
    <w:rsid w:val="00C66F1F"/>
    <w:rsid w:val="00C745C3"/>
    <w:rsid w:val="00C7755F"/>
    <w:rsid w:val="00C77BE5"/>
    <w:rsid w:val="00C97C39"/>
    <w:rsid w:val="00CA39FB"/>
    <w:rsid w:val="00CB2276"/>
    <w:rsid w:val="00CB3E03"/>
    <w:rsid w:val="00CB46A6"/>
    <w:rsid w:val="00CB5F84"/>
    <w:rsid w:val="00CC2A1B"/>
    <w:rsid w:val="00CC5B3B"/>
    <w:rsid w:val="00CD1FCA"/>
    <w:rsid w:val="00CD46A7"/>
    <w:rsid w:val="00CD57D2"/>
    <w:rsid w:val="00CE1761"/>
    <w:rsid w:val="00CE3E6E"/>
    <w:rsid w:val="00CE4A8F"/>
    <w:rsid w:val="00CF7AC0"/>
    <w:rsid w:val="00D13F4D"/>
    <w:rsid w:val="00D2031B"/>
    <w:rsid w:val="00D224BF"/>
    <w:rsid w:val="00D22523"/>
    <w:rsid w:val="00D25FE2"/>
    <w:rsid w:val="00D43252"/>
    <w:rsid w:val="00D44198"/>
    <w:rsid w:val="00D47EEA"/>
    <w:rsid w:val="00D47F36"/>
    <w:rsid w:val="00D550D4"/>
    <w:rsid w:val="00D56292"/>
    <w:rsid w:val="00D62742"/>
    <w:rsid w:val="00D7419E"/>
    <w:rsid w:val="00D773DF"/>
    <w:rsid w:val="00D876F8"/>
    <w:rsid w:val="00D9255F"/>
    <w:rsid w:val="00D95303"/>
    <w:rsid w:val="00D978C6"/>
    <w:rsid w:val="00DA3C1C"/>
    <w:rsid w:val="00DA5024"/>
    <w:rsid w:val="00DB1304"/>
    <w:rsid w:val="00DB43CD"/>
    <w:rsid w:val="00DC12A9"/>
    <w:rsid w:val="00DE37C6"/>
    <w:rsid w:val="00DE4970"/>
    <w:rsid w:val="00DE7486"/>
    <w:rsid w:val="00E01B7D"/>
    <w:rsid w:val="00E046DF"/>
    <w:rsid w:val="00E14853"/>
    <w:rsid w:val="00E15557"/>
    <w:rsid w:val="00E261FA"/>
    <w:rsid w:val="00E26778"/>
    <w:rsid w:val="00E27346"/>
    <w:rsid w:val="00E51E40"/>
    <w:rsid w:val="00E54F0D"/>
    <w:rsid w:val="00E5731F"/>
    <w:rsid w:val="00E71BC8"/>
    <w:rsid w:val="00E7260F"/>
    <w:rsid w:val="00E73F5D"/>
    <w:rsid w:val="00E756DA"/>
    <w:rsid w:val="00E77E4E"/>
    <w:rsid w:val="00E836E7"/>
    <w:rsid w:val="00E879F6"/>
    <w:rsid w:val="00E955EE"/>
    <w:rsid w:val="00E96630"/>
    <w:rsid w:val="00E96B8D"/>
    <w:rsid w:val="00EA13FC"/>
    <w:rsid w:val="00EB65AE"/>
    <w:rsid w:val="00EC098C"/>
    <w:rsid w:val="00EC106A"/>
    <w:rsid w:val="00EC32A0"/>
    <w:rsid w:val="00ED7A2A"/>
    <w:rsid w:val="00ED7E4E"/>
    <w:rsid w:val="00EE6B3A"/>
    <w:rsid w:val="00EF1D7F"/>
    <w:rsid w:val="00F05E4B"/>
    <w:rsid w:val="00F16B7D"/>
    <w:rsid w:val="00F227A6"/>
    <w:rsid w:val="00F31170"/>
    <w:rsid w:val="00F31E5F"/>
    <w:rsid w:val="00F36F0D"/>
    <w:rsid w:val="00F42999"/>
    <w:rsid w:val="00F51ECD"/>
    <w:rsid w:val="00F57ED1"/>
    <w:rsid w:val="00F6100A"/>
    <w:rsid w:val="00F66565"/>
    <w:rsid w:val="00F8015D"/>
    <w:rsid w:val="00F93781"/>
    <w:rsid w:val="00FA26FD"/>
    <w:rsid w:val="00FA2814"/>
    <w:rsid w:val="00FA42D6"/>
    <w:rsid w:val="00FA7F6B"/>
    <w:rsid w:val="00FB4C10"/>
    <w:rsid w:val="00FB613B"/>
    <w:rsid w:val="00FB7B98"/>
    <w:rsid w:val="00FC1945"/>
    <w:rsid w:val="00FC2EA1"/>
    <w:rsid w:val="00FC3938"/>
    <w:rsid w:val="00FC3C87"/>
    <w:rsid w:val="00FC68B7"/>
    <w:rsid w:val="00FE106A"/>
    <w:rsid w:val="00FF145D"/>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09"/>
    <o:shapelayout v:ext="edit">
      <o:idmap v:ext="edit" data="1"/>
    </o:shapelayout>
  </w:shapeDefaults>
  <w:decimalSymbol w:val="."/>
  <w:listSeparator w:val=","/>
  <w14:docId w14:val="12CBCAE4"/>
  <w15:docId w15:val="{1909AD6D-2942-434B-9C58-314885F3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 w:type="paragraph" w:customStyle="1" w:styleId="western">
    <w:name w:val="western"/>
    <w:basedOn w:val="Normal"/>
    <w:uiPriority w:val="99"/>
    <w:rsid w:val="00531D46"/>
    <w:pPr>
      <w:suppressAutoHyphens w:val="0"/>
      <w:spacing w:before="100" w:beforeAutospacing="1" w:line="238" w:lineRule="atLeast"/>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D4E6-AA70-4AA6-B1E6-FD62D33B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788</Words>
  <Characters>4496</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Editorial</cp:lastModifiedBy>
  <cp:revision>5</cp:revision>
  <cp:lastPrinted>2014-04-24T12:30:00Z</cp:lastPrinted>
  <dcterms:created xsi:type="dcterms:W3CDTF">2018-04-25T12:41:00Z</dcterms:created>
  <dcterms:modified xsi:type="dcterms:W3CDTF">2018-04-25T13:47:00Z</dcterms:modified>
</cp:coreProperties>
</file>