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:rsidRPr="00AE400B" w14:paraId="32D3F7D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7C1BEA" w14:textId="77777777" w:rsidR="008A0FDA" w:rsidRPr="00AE400B" w:rsidRDefault="008A0FDA" w:rsidP="00B11BB4">
            <w:pPr>
              <w:spacing w:after="80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791B0" w14:textId="77777777" w:rsidR="008A0FDA" w:rsidRPr="00AE400B" w:rsidRDefault="008A0FDA" w:rsidP="00B11BB4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AACD0D2" w14:textId="0F7FCF20" w:rsidR="008A0FDA" w:rsidRPr="00780613" w:rsidRDefault="00CF4673" w:rsidP="00CA55D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en-US"/>
              </w:rPr>
            </w:pPr>
            <w:r w:rsidRPr="00780613">
              <w:rPr>
                <w:b/>
                <w:sz w:val="28"/>
                <w:szCs w:val="28"/>
                <w:lang w:val="en-US"/>
              </w:rPr>
              <w:t>INF.</w:t>
            </w:r>
            <w:r w:rsidR="00780613" w:rsidRPr="00780613">
              <w:rPr>
                <w:b/>
                <w:sz w:val="28"/>
                <w:szCs w:val="28"/>
                <w:lang w:val="en-US"/>
              </w:rPr>
              <w:t>10</w:t>
            </w:r>
            <w:r w:rsidR="008A0FDA" w:rsidRPr="00780613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</w:tbl>
    <w:p w14:paraId="08D87829" w14:textId="77777777" w:rsidR="008A0FDA" w:rsidRPr="00AE400B" w:rsidRDefault="008A0FDA" w:rsidP="00BB20C7">
      <w:pPr>
        <w:spacing w:before="120"/>
        <w:rPr>
          <w:b/>
          <w:sz w:val="28"/>
          <w:szCs w:val="28"/>
          <w:lang w:val="en-US"/>
        </w:rPr>
      </w:pPr>
      <w:r w:rsidRPr="00AE400B">
        <w:rPr>
          <w:b/>
          <w:sz w:val="28"/>
          <w:szCs w:val="28"/>
          <w:lang w:val="en-US"/>
        </w:rPr>
        <w:t>Economic Commission for Europe</w:t>
      </w:r>
    </w:p>
    <w:p w14:paraId="73866A13" w14:textId="77777777" w:rsidR="008A0FDA" w:rsidRPr="00AE400B" w:rsidRDefault="008A0FDA" w:rsidP="00BB20C7">
      <w:pPr>
        <w:spacing w:before="120"/>
        <w:rPr>
          <w:sz w:val="28"/>
          <w:szCs w:val="28"/>
          <w:lang w:val="en-US"/>
        </w:rPr>
      </w:pPr>
      <w:r w:rsidRPr="00AE400B">
        <w:rPr>
          <w:sz w:val="28"/>
          <w:szCs w:val="28"/>
          <w:lang w:val="en-US"/>
        </w:rPr>
        <w:t>Inland Transport Committee</w:t>
      </w:r>
    </w:p>
    <w:p w14:paraId="06A0490D" w14:textId="1FAE5E93" w:rsidR="008A0FDA" w:rsidRPr="00AE400B" w:rsidRDefault="008A0FDA" w:rsidP="00BB20C7">
      <w:pPr>
        <w:spacing w:before="120" w:after="120"/>
        <w:rPr>
          <w:b/>
          <w:sz w:val="24"/>
          <w:szCs w:val="24"/>
          <w:lang w:val="en-US"/>
        </w:rPr>
      </w:pPr>
      <w:r w:rsidRPr="00AE400B">
        <w:rPr>
          <w:b/>
          <w:sz w:val="24"/>
          <w:szCs w:val="24"/>
          <w:lang w:val="en-US"/>
        </w:rPr>
        <w:t>Working Party on the Transport of Dangerous Goods</w:t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Pr="00AE400B">
        <w:rPr>
          <w:b/>
          <w:sz w:val="24"/>
          <w:szCs w:val="24"/>
          <w:lang w:val="en-US"/>
        </w:rPr>
        <w:tab/>
      </w:r>
      <w:r w:rsidR="00CA55D3">
        <w:rPr>
          <w:b/>
          <w:sz w:val="24"/>
          <w:szCs w:val="24"/>
          <w:lang w:val="en-US"/>
        </w:rPr>
        <w:t xml:space="preserve">17 </w:t>
      </w:r>
      <w:r w:rsidR="00B054F9">
        <w:rPr>
          <w:b/>
          <w:lang w:val="en-US"/>
        </w:rPr>
        <w:t>October</w:t>
      </w:r>
      <w:r w:rsidRPr="00AE400B">
        <w:rPr>
          <w:b/>
          <w:bCs/>
          <w:lang w:val="en-US"/>
        </w:rPr>
        <w:t xml:space="preserve"> 2018</w:t>
      </w:r>
    </w:p>
    <w:p w14:paraId="4E1F2BCC" w14:textId="5B9D3EDD" w:rsidR="008A0FDA" w:rsidRPr="00AE400B" w:rsidRDefault="008A0FDA" w:rsidP="009606A0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AE400B">
        <w:rPr>
          <w:b/>
          <w:bCs/>
          <w:lang w:val="en-US"/>
        </w:rPr>
        <w:t>10</w:t>
      </w:r>
      <w:r w:rsidR="00851BD9" w:rsidRPr="00AE400B">
        <w:rPr>
          <w:b/>
          <w:bCs/>
          <w:lang w:val="en-US"/>
        </w:rPr>
        <w:t>5</w:t>
      </w:r>
      <w:r w:rsidRPr="00AE400B">
        <w:rPr>
          <w:b/>
          <w:bCs/>
          <w:vertAlign w:val="superscript"/>
          <w:lang w:val="en-US"/>
        </w:rPr>
        <w:t>th</w:t>
      </w:r>
      <w:r w:rsidRPr="00AE400B">
        <w:rPr>
          <w:b/>
          <w:bCs/>
          <w:lang w:val="en-US"/>
        </w:rPr>
        <w:t xml:space="preserve"> session </w:t>
      </w:r>
      <w:r w:rsidRPr="00AE400B">
        <w:rPr>
          <w:b/>
          <w:bCs/>
          <w:lang w:val="en-US"/>
        </w:rPr>
        <w:tab/>
      </w:r>
    </w:p>
    <w:p w14:paraId="1CE0142B" w14:textId="7D5ADFC7" w:rsidR="008A0FDA" w:rsidRPr="00AE400B" w:rsidRDefault="00B054F9" w:rsidP="009606A0">
      <w:pPr>
        <w:pStyle w:val="western"/>
        <w:spacing w:before="0" w:beforeAutospacing="0" w:line="240" w:lineRule="auto"/>
        <w:rPr>
          <w:lang w:val="en-US"/>
        </w:rPr>
      </w:pPr>
      <w:r>
        <w:rPr>
          <w:lang w:val="en-US"/>
        </w:rPr>
        <w:t>Geneva,</w:t>
      </w:r>
      <w:r w:rsidR="00851BD9" w:rsidRPr="00AE400B">
        <w:rPr>
          <w:lang w:val="en-US"/>
        </w:rPr>
        <w:t xml:space="preserve"> 6-9 November</w:t>
      </w:r>
      <w:r w:rsidR="008A0FDA" w:rsidRPr="00AE400B">
        <w:rPr>
          <w:lang w:val="en-US"/>
        </w:rPr>
        <w:t xml:space="preserve"> 2018</w:t>
      </w:r>
    </w:p>
    <w:p w14:paraId="5B726E0A" w14:textId="5C3A2376" w:rsidR="008A0FDA" w:rsidRPr="00AE400B" w:rsidRDefault="009258F7" w:rsidP="009606A0">
      <w:pPr>
        <w:pStyle w:val="western"/>
        <w:spacing w:before="0" w:beforeAutospacing="0" w:line="240" w:lineRule="auto"/>
        <w:rPr>
          <w:lang w:val="en-US"/>
        </w:rPr>
      </w:pPr>
      <w:r w:rsidRPr="00AE400B">
        <w:rPr>
          <w:lang w:val="en-US"/>
        </w:rPr>
        <w:t xml:space="preserve">Item </w:t>
      </w:r>
      <w:r w:rsidR="00CA55D3">
        <w:rPr>
          <w:lang w:val="en-US"/>
        </w:rPr>
        <w:t xml:space="preserve">6 </w:t>
      </w:r>
      <w:r w:rsidR="008A0FDA" w:rsidRPr="00AE400B">
        <w:rPr>
          <w:lang w:val="en-US"/>
        </w:rPr>
        <w:t>of the provisional agenda</w:t>
      </w:r>
    </w:p>
    <w:p w14:paraId="4FF46D38" w14:textId="20552FA6" w:rsidR="008A0FDA" w:rsidRPr="00AE400B" w:rsidRDefault="00CA55D3" w:rsidP="009606A0">
      <w:pPr>
        <w:pStyle w:val="western"/>
        <w:spacing w:before="0" w:beforeAutospacing="0" w:line="240" w:lineRule="auto"/>
        <w:rPr>
          <w:b/>
          <w:bCs/>
          <w:lang w:val="en-US"/>
        </w:rPr>
      </w:pPr>
      <w:r w:rsidRPr="00CA55D3">
        <w:rPr>
          <w:b/>
          <w:bCs/>
          <w:lang w:val="en-US"/>
        </w:rPr>
        <w:t>Interpretation of ADR</w:t>
      </w:r>
    </w:p>
    <w:p w14:paraId="6F0ED349" w14:textId="76F3DD97" w:rsidR="008A0FDA" w:rsidRPr="00AE400B" w:rsidRDefault="002C6F64" w:rsidP="00766E4F">
      <w:pPr>
        <w:pStyle w:val="HChG"/>
        <w:spacing w:after="0"/>
        <w:ind w:firstLine="0"/>
        <w:rPr>
          <w:lang w:val="en-US"/>
        </w:rPr>
      </w:pPr>
      <w:r w:rsidRPr="00AE400B">
        <w:rPr>
          <w:lang w:val="en-US"/>
        </w:rPr>
        <w:t>Interpretation of</w:t>
      </w:r>
      <w:r w:rsidR="008A0FDA" w:rsidRPr="00AE400B">
        <w:rPr>
          <w:lang w:val="en-US"/>
        </w:rPr>
        <w:t xml:space="preserve"> the </w:t>
      </w:r>
      <w:r w:rsidR="008A4C97" w:rsidRPr="00AE400B">
        <w:rPr>
          <w:lang w:val="en-US"/>
        </w:rPr>
        <w:t xml:space="preserve">requirements for thermal insulation in </w:t>
      </w:r>
      <w:r w:rsidR="002779D6" w:rsidRPr="00AE400B">
        <w:rPr>
          <w:lang w:val="en-US"/>
        </w:rPr>
        <w:t>7.1.7.4.5</w:t>
      </w:r>
      <w:r w:rsidR="008A4C97" w:rsidRPr="00AE400B">
        <w:rPr>
          <w:lang w:val="en-US"/>
        </w:rPr>
        <w:t xml:space="preserve"> of ADR 2019</w:t>
      </w:r>
    </w:p>
    <w:p w14:paraId="0E1CB19D" w14:textId="7DAC8B06" w:rsidR="008A0FDA" w:rsidRPr="00AE400B" w:rsidRDefault="008A0FDA" w:rsidP="00BB20C7">
      <w:pPr>
        <w:pStyle w:val="H1G"/>
        <w:ind w:firstLine="0"/>
        <w:rPr>
          <w:b w:val="0"/>
          <w:sz w:val="20"/>
          <w:lang w:val="en-US"/>
        </w:rPr>
      </w:pPr>
      <w:r w:rsidRPr="00AE400B">
        <w:rPr>
          <w:lang w:val="en-US"/>
        </w:rPr>
        <w:t xml:space="preserve">Transmitted by the </w:t>
      </w:r>
      <w:r w:rsidR="00B054F9">
        <w:rPr>
          <w:lang w:val="en-US"/>
        </w:rPr>
        <w:t>Government of the Netherlands</w:t>
      </w:r>
    </w:p>
    <w:p w14:paraId="585239B7" w14:textId="6548756E" w:rsidR="00F36773" w:rsidRDefault="008A0FDA" w:rsidP="00FB6973">
      <w:pPr>
        <w:pStyle w:val="SingleTxtG"/>
        <w:rPr>
          <w:lang w:val="en-US"/>
        </w:rPr>
      </w:pPr>
      <w:r w:rsidRPr="00AE400B">
        <w:rPr>
          <w:lang w:val="en-US"/>
        </w:rPr>
        <w:t>1</w:t>
      </w:r>
      <w:r w:rsidRPr="00AE400B">
        <w:rPr>
          <w:b/>
          <w:lang w:val="en-US"/>
        </w:rPr>
        <w:t>.</w:t>
      </w:r>
      <w:r w:rsidRPr="00AE400B">
        <w:rPr>
          <w:lang w:val="en-US"/>
        </w:rPr>
        <w:tab/>
      </w:r>
      <w:r w:rsidR="00F36773">
        <w:rPr>
          <w:lang w:val="en-US"/>
        </w:rPr>
        <w:t>At its 103</w:t>
      </w:r>
      <w:r w:rsidR="00F36773" w:rsidRPr="00B054F9">
        <w:rPr>
          <w:vertAlign w:val="superscript"/>
          <w:lang w:val="en-US"/>
        </w:rPr>
        <w:t>rd</w:t>
      </w:r>
      <w:r w:rsidR="00F36773">
        <w:rPr>
          <w:lang w:val="en-US"/>
        </w:rPr>
        <w:t xml:space="preserve"> session, while discussing the implementation of the 20</w:t>
      </w:r>
      <w:r w:rsidR="00F36773" w:rsidRPr="00F36773">
        <w:rPr>
          <w:vertAlign w:val="superscript"/>
          <w:lang w:val="en-US"/>
        </w:rPr>
        <w:t>th</w:t>
      </w:r>
      <w:r w:rsidR="00F36773">
        <w:rPr>
          <w:lang w:val="en-US"/>
        </w:rPr>
        <w:t xml:space="preserve"> edition of the Model Regulations into the ADR, t</w:t>
      </w:r>
      <w:r w:rsidR="00C008A1">
        <w:rPr>
          <w:lang w:val="en-US"/>
        </w:rPr>
        <w:t>he Working Party</w:t>
      </w:r>
      <w:r w:rsidR="00B054F9">
        <w:rPr>
          <w:lang w:val="en-US"/>
        </w:rPr>
        <w:t xml:space="preserve"> noted </w:t>
      </w:r>
      <w:r w:rsidR="00EF7357">
        <w:rPr>
          <w:lang w:val="en-US"/>
        </w:rPr>
        <w:t>that</w:t>
      </w:r>
      <w:r w:rsidR="00B054F9">
        <w:rPr>
          <w:lang w:val="en-US"/>
        </w:rPr>
        <w:t xml:space="preserve"> </w:t>
      </w:r>
      <w:r w:rsidR="003369F1">
        <w:rPr>
          <w:lang w:val="en-US"/>
        </w:rPr>
        <w:t xml:space="preserve">section 7.1.5.4.5 of the Model Regulations and </w:t>
      </w:r>
      <w:r w:rsidR="00EF7357">
        <w:rPr>
          <w:lang w:val="en-US"/>
        </w:rPr>
        <w:t xml:space="preserve">the new section 7.1.7.4.5 in ADR 2019 differed from </w:t>
      </w:r>
      <w:r w:rsidR="00B054F9">
        <w:rPr>
          <w:lang w:val="en-US"/>
        </w:rPr>
        <w:t xml:space="preserve">the </w:t>
      </w:r>
      <w:r w:rsidR="00F36773">
        <w:rPr>
          <w:lang w:val="en-US"/>
        </w:rPr>
        <w:t xml:space="preserve">existing </w:t>
      </w:r>
      <w:r w:rsidR="003369F1">
        <w:rPr>
          <w:lang w:val="en-US"/>
        </w:rPr>
        <w:t xml:space="preserve">provision </w:t>
      </w:r>
      <w:r w:rsidR="00566E56">
        <w:rPr>
          <w:lang w:val="en-US"/>
        </w:rPr>
        <w:t>V8</w:t>
      </w:r>
      <w:r w:rsidR="00EF7357">
        <w:rPr>
          <w:lang w:val="en-US"/>
        </w:rPr>
        <w:t>(3)</w:t>
      </w:r>
      <w:r w:rsidR="00566E56">
        <w:rPr>
          <w:lang w:val="en-US"/>
        </w:rPr>
        <w:t xml:space="preserve"> </w:t>
      </w:r>
      <w:r w:rsidR="00EF7357">
        <w:rPr>
          <w:lang w:val="en-US"/>
        </w:rPr>
        <w:t>of</w:t>
      </w:r>
      <w:r w:rsidR="00566E56">
        <w:rPr>
          <w:lang w:val="en-US"/>
        </w:rPr>
        <w:t xml:space="preserve"> </w:t>
      </w:r>
      <w:r w:rsidR="00CA55D3">
        <w:rPr>
          <w:lang w:val="en-US"/>
        </w:rPr>
        <w:t>C</w:t>
      </w:r>
      <w:r w:rsidR="00566E56">
        <w:rPr>
          <w:lang w:val="en-US"/>
        </w:rPr>
        <w:t>hapter 7.2 of ADR 2017</w:t>
      </w:r>
      <w:r w:rsidR="003369F1">
        <w:rPr>
          <w:lang w:val="en-US"/>
        </w:rPr>
        <w:t>.</w:t>
      </w:r>
    </w:p>
    <w:p w14:paraId="63B08596" w14:textId="1B5DAE6B" w:rsidR="002779D6" w:rsidRPr="00AE400B" w:rsidRDefault="00780613" w:rsidP="002779D6">
      <w:pPr>
        <w:pStyle w:val="SingleTxtG"/>
        <w:rPr>
          <w:lang w:val="en-US"/>
        </w:rPr>
      </w:pPr>
      <w:r>
        <w:rPr>
          <w:lang w:val="en-US"/>
        </w:rPr>
        <w:t>2.</w:t>
      </w:r>
      <w:r w:rsidR="00F36773">
        <w:rPr>
          <w:lang w:val="en-US"/>
        </w:rPr>
        <w:tab/>
        <w:t>While</w:t>
      </w:r>
      <w:r w:rsidR="003369F1">
        <w:rPr>
          <w:lang w:val="en-US"/>
        </w:rPr>
        <w:t xml:space="preserve"> the</w:t>
      </w:r>
      <w:r w:rsidR="00F36773">
        <w:rPr>
          <w:lang w:val="en-US"/>
        </w:rPr>
        <w:t xml:space="preserve"> </w:t>
      </w:r>
      <w:r w:rsidR="003369F1">
        <w:rPr>
          <w:lang w:val="en-US"/>
        </w:rPr>
        <w:t xml:space="preserve">provisions in V8(3) of </w:t>
      </w:r>
      <w:r w:rsidR="00CA55D3">
        <w:rPr>
          <w:lang w:val="en-US"/>
        </w:rPr>
        <w:t>C</w:t>
      </w:r>
      <w:r w:rsidR="003369F1">
        <w:rPr>
          <w:lang w:val="en-US"/>
        </w:rPr>
        <w:t xml:space="preserve">hapter 7.2.4 of ADR 2017 </w:t>
      </w:r>
      <w:r w:rsidR="00F7550B">
        <w:rPr>
          <w:lang w:val="en-US"/>
        </w:rPr>
        <w:t>specifically require</w:t>
      </w:r>
      <w:r w:rsidR="003369F1">
        <w:rPr>
          <w:lang w:val="en-US"/>
        </w:rPr>
        <w:t xml:space="preserve">d thermal isolation for </w:t>
      </w:r>
      <w:r w:rsidR="00F7550B">
        <w:rPr>
          <w:lang w:val="en-US"/>
        </w:rPr>
        <w:t xml:space="preserve">methods </w:t>
      </w:r>
      <w:r w:rsidR="003369F1">
        <w:rPr>
          <w:lang w:val="en-US"/>
        </w:rPr>
        <w:t xml:space="preserve">R3, R4 and R5, the proposed provision for the methods </w:t>
      </w:r>
      <w:r w:rsidR="00F7550B">
        <w:rPr>
          <w:lang w:val="en-US"/>
        </w:rPr>
        <w:t>listed in (c), (d) and (e)</w:t>
      </w:r>
      <w:r w:rsidR="003369F1">
        <w:rPr>
          <w:lang w:val="en-US"/>
        </w:rPr>
        <w:t xml:space="preserve"> of section 7.1.7.4.5 in ADR 2019 contained no such requirement. The </w:t>
      </w:r>
      <w:r w:rsidR="00C008A1">
        <w:rPr>
          <w:lang w:val="en-US"/>
        </w:rPr>
        <w:t>Working Party</w:t>
      </w:r>
      <w:r w:rsidR="003369F1">
        <w:rPr>
          <w:lang w:val="en-US"/>
        </w:rPr>
        <w:t xml:space="preserve"> </w:t>
      </w:r>
      <w:r w:rsidR="002779D6" w:rsidRPr="00AE400B">
        <w:rPr>
          <w:i/>
          <w:lang w:val="en-US"/>
        </w:rPr>
        <w:t xml:space="preserve">“noted that the measures proposed for subparagraphs (c), (d) and (e) </w:t>
      </w:r>
      <w:r w:rsidR="003369F1">
        <w:rPr>
          <w:i/>
          <w:lang w:val="en-US"/>
        </w:rPr>
        <w:t>in 7.1.7.4.5</w:t>
      </w:r>
      <w:r w:rsidR="002779D6" w:rsidRPr="00AE400B">
        <w:rPr>
          <w:i/>
          <w:lang w:val="en-US"/>
        </w:rPr>
        <w:t xml:space="preserve"> were meaningless without thermal insulation”</w:t>
      </w:r>
      <w:r w:rsidR="002779D6" w:rsidRPr="00AE400B">
        <w:rPr>
          <w:lang w:val="en-US"/>
        </w:rPr>
        <w:t xml:space="preserve"> (paragraph 29 ECE/TRANS/WP15/239). </w:t>
      </w:r>
      <w:bookmarkStart w:id="0" w:name="_GoBack"/>
      <w:r w:rsidR="002779D6" w:rsidRPr="00AE400B">
        <w:rPr>
          <w:lang w:val="en-US"/>
        </w:rPr>
        <w:t xml:space="preserve">As a result, the </w:t>
      </w:r>
      <w:r w:rsidR="00C008A1">
        <w:rPr>
          <w:lang w:val="en-US"/>
        </w:rPr>
        <w:t>Working Party</w:t>
      </w:r>
      <w:r w:rsidR="002779D6" w:rsidRPr="00AE400B">
        <w:rPr>
          <w:lang w:val="en-US"/>
        </w:rPr>
        <w:t xml:space="preserve"> amended the text at the </w:t>
      </w:r>
      <w:r w:rsidR="005F4FD5" w:rsidRPr="00AE400B">
        <w:rPr>
          <w:lang w:val="en-US"/>
        </w:rPr>
        <w:t>begin</w:t>
      </w:r>
      <w:r w:rsidR="005F4FD5">
        <w:rPr>
          <w:lang w:val="en-US"/>
        </w:rPr>
        <w:t>ning</w:t>
      </w:r>
      <w:r w:rsidR="002779D6" w:rsidRPr="00AE400B">
        <w:rPr>
          <w:lang w:val="en-US"/>
        </w:rPr>
        <w:t xml:space="preserve"> of subparagraphs (c), (d) and (e)</w:t>
      </w:r>
      <w:r w:rsidR="003369F1" w:rsidRPr="00AE400B">
        <w:rPr>
          <w:lang w:val="en-US"/>
        </w:rPr>
        <w:t xml:space="preserve"> in 7.1.7.4.5 of ADR 2019</w:t>
      </w:r>
      <w:r w:rsidR="00C008A1">
        <w:rPr>
          <w:lang w:val="en-US"/>
        </w:rPr>
        <w:t xml:space="preserve"> by adding the words “thermal insulation”</w:t>
      </w:r>
      <w:r w:rsidR="0016418F">
        <w:rPr>
          <w:lang w:val="en-US"/>
        </w:rPr>
        <w:t>,</w:t>
      </w:r>
      <w:r w:rsidR="003369F1" w:rsidRPr="00AE400B">
        <w:rPr>
          <w:lang w:val="en-US"/>
        </w:rPr>
        <w:t xml:space="preserve"> </w:t>
      </w:r>
      <w:r w:rsidR="002779D6" w:rsidRPr="00AE400B">
        <w:rPr>
          <w:lang w:val="en-US"/>
        </w:rPr>
        <w:t>thereby aligning the text to th</w:t>
      </w:r>
      <w:r w:rsidR="00881174" w:rsidRPr="00AE400B">
        <w:rPr>
          <w:lang w:val="en-US"/>
        </w:rPr>
        <w:t xml:space="preserve">e </w:t>
      </w:r>
      <w:r w:rsidR="00396DB6">
        <w:rPr>
          <w:lang w:val="en-US"/>
        </w:rPr>
        <w:t xml:space="preserve">long-standing </w:t>
      </w:r>
      <w:r w:rsidR="00881174" w:rsidRPr="00AE400B">
        <w:rPr>
          <w:lang w:val="en-US"/>
        </w:rPr>
        <w:t>existing provisions in 7.2.4 V8(3) of ADR</w:t>
      </w:r>
      <w:r w:rsidR="002779D6" w:rsidRPr="00AE400B">
        <w:rPr>
          <w:lang w:val="en-US"/>
        </w:rPr>
        <w:t xml:space="preserve">. </w:t>
      </w:r>
      <w:bookmarkEnd w:id="0"/>
      <w:r w:rsidR="0016418F">
        <w:rPr>
          <w:lang w:val="en-US"/>
        </w:rPr>
        <w:t>A number of other (editorial) amendments were also made to the text.</w:t>
      </w:r>
    </w:p>
    <w:p w14:paraId="06B23EAC" w14:textId="672A90D2" w:rsidR="00B15E5B" w:rsidRDefault="00780613" w:rsidP="00535269">
      <w:pPr>
        <w:pStyle w:val="SingleTxtG"/>
        <w:rPr>
          <w:lang w:val="en-US"/>
        </w:rPr>
      </w:pPr>
      <w:r>
        <w:rPr>
          <w:lang w:val="en-US"/>
        </w:rPr>
        <w:t>3</w:t>
      </w:r>
      <w:r w:rsidR="002779D6" w:rsidRPr="00AE400B">
        <w:rPr>
          <w:lang w:val="en-US"/>
        </w:rPr>
        <w:t>.</w:t>
      </w:r>
      <w:r w:rsidR="002779D6" w:rsidRPr="00AE400B">
        <w:rPr>
          <w:lang w:val="en-US"/>
        </w:rPr>
        <w:tab/>
        <w:t>The Netherlands w</w:t>
      </w:r>
      <w:r w:rsidR="00F8017A" w:rsidRPr="00AE400B">
        <w:rPr>
          <w:lang w:val="en-US"/>
        </w:rPr>
        <w:t>as</w:t>
      </w:r>
      <w:r w:rsidR="002779D6" w:rsidRPr="00AE400B">
        <w:rPr>
          <w:lang w:val="en-US"/>
        </w:rPr>
        <w:t xml:space="preserve"> </w:t>
      </w:r>
      <w:r w:rsidR="0016418F">
        <w:rPr>
          <w:lang w:val="en-US"/>
        </w:rPr>
        <w:t xml:space="preserve">invited to report this outcome </w:t>
      </w:r>
      <w:r w:rsidR="002779D6" w:rsidRPr="00AE400B">
        <w:rPr>
          <w:lang w:val="en-US"/>
        </w:rPr>
        <w:t>to the UN Sub-Committee of Experts on the Transport of Dangerous Goods in order to</w:t>
      </w:r>
      <w:r w:rsidR="003369F1">
        <w:rPr>
          <w:lang w:val="en-US"/>
        </w:rPr>
        <w:t xml:space="preserve"> amend</w:t>
      </w:r>
      <w:r w:rsidR="002779D6" w:rsidRPr="00AE400B">
        <w:rPr>
          <w:lang w:val="en-US"/>
        </w:rPr>
        <w:t xml:space="preserve"> the Model Regulations, if necessary. </w:t>
      </w:r>
      <w:r w:rsidR="0016418F">
        <w:rPr>
          <w:lang w:val="en-US"/>
        </w:rPr>
        <w:t>At its 53</w:t>
      </w:r>
      <w:r w:rsidR="0016418F" w:rsidRPr="0016418F">
        <w:rPr>
          <w:vertAlign w:val="superscript"/>
          <w:lang w:val="en-US"/>
        </w:rPr>
        <w:t>rd</w:t>
      </w:r>
      <w:r w:rsidR="0016418F">
        <w:rPr>
          <w:lang w:val="en-US"/>
        </w:rPr>
        <w:t xml:space="preserve"> session in June 2018, t</w:t>
      </w:r>
      <w:r w:rsidR="002779D6" w:rsidRPr="00AE400B">
        <w:rPr>
          <w:lang w:val="en-US"/>
        </w:rPr>
        <w:t>he Sub-Comm</w:t>
      </w:r>
      <w:r w:rsidR="00100D79" w:rsidRPr="00AE400B">
        <w:rPr>
          <w:lang w:val="en-US"/>
        </w:rPr>
        <w:t xml:space="preserve">ittee </w:t>
      </w:r>
      <w:r w:rsidR="0016418F">
        <w:rPr>
          <w:lang w:val="en-US"/>
        </w:rPr>
        <w:t>adopted</w:t>
      </w:r>
      <w:r w:rsidR="00100D79" w:rsidRPr="00AE400B">
        <w:rPr>
          <w:lang w:val="en-US"/>
        </w:rPr>
        <w:t xml:space="preserve"> </w:t>
      </w:r>
      <w:r w:rsidR="00535269">
        <w:rPr>
          <w:lang w:val="en-US"/>
        </w:rPr>
        <w:t>within square brackets</w:t>
      </w:r>
      <w:r w:rsidR="0016418F">
        <w:rPr>
          <w:lang w:val="en-US"/>
        </w:rPr>
        <w:t xml:space="preserve">, amendments to 7.1.5.4.5 requiring thermal insulation for methods </w:t>
      </w:r>
      <w:r w:rsidR="0016418F" w:rsidRPr="00AE400B">
        <w:rPr>
          <w:lang w:val="en-US"/>
        </w:rPr>
        <w:t xml:space="preserve">(c), (d) and (e) </w:t>
      </w:r>
      <w:r w:rsidR="00422C91">
        <w:rPr>
          <w:lang w:val="en-US"/>
        </w:rPr>
        <w:t xml:space="preserve">and some additional </w:t>
      </w:r>
      <w:r w:rsidR="0016418F">
        <w:rPr>
          <w:lang w:val="en-US"/>
        </w:rPr>
        <w:t>editorial changes.</w:t>
      </w:r>
      <w:r w:rsidR="00B15E5B">
        <w:rPr>
          <w:lang w:val="en-US"/>
        </w:rPr>
        <w:t xml:space="preserve"> </w:t>
      </w:r>
    </w:p>
    <w:p w14:paraId="56926430" w14:textId="51A68F56" w:rsidR="00640841" w:rsidRPr="00AE400B" w:rsidRDefault="00780613" w:rsidP="00F01744">
      <w:pPr>
        <w:pStyle w:val="SingleTxtG"/>
        <w:rPr>
          <w:lang w:val="en-US"/>
        </w:rPr>
      </w:pPr>
      <w:r>
        <w:rPr>
          <w:lang w:val="en-US"/>
        </w:rPr>
        <w:t>4</w:t>
      </w:r>
      <w:r w:rsidR="00B15E5B">
        <w:rPr>
          <w:lang w:val="en-US"/>
        </w:rPr>
        <w:t>.</w:t>
      </w:r>
      <w:r w:rsidR="00B15E5B">
        <w:rPr>
          <w:lang w:val="en-US"/>
        </w:rPr>
        <w:tab/>
        <w:t>However,</w:t>
      </w:r>
      <w:r w:rsidR="00100D79" w:rsidRPr="00AE400B">
        <w:rPr>
          <w:lang w:val="en-US"/>
        </w:rPr>
        <w:t xml:space="preserve"> </w:t>
      </w:r>
      <w:r w:rsidR="00F8017A" w:rsidRPr="00AE400B">
        <w:rPr>
          <w:lang w:val="en-US"/>
        </w:rPr>
        <w:t xml:space="preserve">further </w:t>
      </w:r>
      <w:r w:rsidR="0016418F">
        <w:rPr>
          <w:lang w:val="en-US"/>
        </w:rPr>
        <w:t xml:space="preserve">intersessional </w:t>
      </w:r>
      <w:r w:rsidR="00F8017A" w:rsidRPr="00AE400B">
        <w:rPr>
          <w:lang w:val="en-US"/>
        </w:rPr>
        <w:t>discussions have raised</w:t>
      </w:r>
      <w:r w:rsidR="00D8402F" w:rsidRPr="00AE400B">
        <w:rPr>
          <w:lang w:val="en-US"/>
        </w:rPr>
        <w:t xml:space="preserve"> </w:t>
      </w:r>
      <w:r w:rsidR="00100D79" w:rsidRPr="00AE400B">
        <w:rPr>
          <w:lang w:val="en-US"/>
        </w:rPr>
        <w:t xml:space="preserve">concerns </w:t>
      </w:r>
      <w:r w:rsidR="00640841" w:rsidRPr="00AE400B">
        <w:rPr>
          <w:lang w:val="en-US"/>
        </w:rPr>
        <w:t>about</w:t>
      </w:r>
      <w:r w:rsidR="00100D79" w:rsidRPr="00AE400B">
        <w:rPr>
          <w:lang w:val="en-US"/>
        </w:rPr>
        <w:t xml:space="preserve"> the interpretation of the</w:t>
      </w:r>
      <w:r w:rsidR="00535269">
        <w:rPr>
          <w:lang w:val="en-US"/>
        </w:rPr>
        <w:t>se</w:t>
      </w:r>
      <w:r w:rsidR="00D8402F" w:rsidRPr="00AE400B">
        <w:rPr>
          <w:lang w:val="en-US"/>
        </w:rPr>
        <w:t xml:space="preserve"> </w:t>
      </w:r>
      <w:r w:rsidR="00100D79" w:rsidRPr="00AE400B">
        <w:rPr>
          <w:lang w:val="en-US"/>
        </w:rPr>
        <w:t>provisions</w:t>
      </w:r>
      <w:r w:rsidR="00422C91">
        <w:rPr>
          <w:lang w:val="en-US"/>
        </w:rPr>
        <w:t xml:space="preserve">. </w:t>
      </w:r>
      <w:r w:rsidR="00B15E5B">
        <w:rPr>
          <w:lang w:val="en-US"/>
        </w:rPr>
        <w:t xml:space="preserve">The text of 7.1.7.4.5 of ADR 2019 </w:t>
      </w:r>
      <w:r w:rsidR="00881174" w:rsidRPr="00AE400B">
        <w:rPr>
          <w:lang w:val="en-US"/>
        </w:rPr>
        <w:t>can be</w:t>
      </w:r>
      <w:r w:rsidR="00E33FE2" w:rsidRPr="00AE400B">
        <w:rPr>
          <w:lang w:val="en-US"/>
        </w:rPr>
        <w:t xml:space="preserve"> interpreted in two ways</w:t>
      </w:r>
      <w:r w:rsidR="00881174" w:rsidRPr="00AE400B">
        <w:rPr>
          <w:lang w:val="en-US"/>
        </w:rPr>
        <w:t>:</w:t>
      </w:r>
    </w:p>
    <w:p w14:paraId="455C4EBA" w14:textId="4AF36CA8" w:rsidR="00E33FE2" w:rsidRPr="00AE400B" w:rsidRDefault="008A4C97" w:rsidP="00881174">
      <w:pPr>
        <w:pStyle w:val="SingleTxtG"/>
        <w:tabs>
          <w:tab w:val="left" w:pos="2268"/>
        </w:tabs>
        <w:ind w:left="2268" w:hanging="567"/>
        <w:rPr>
          <w:lang w:val="en-US"/>
        </w:rPr>
      </w:pPr>
      <w:r w:rsidRPr="00AE400B">
        <w:rPr>
          <w:lang w:val="en-US"/>
        </w:rPr>
        <w:t>(a)</w:t>
      </w:r>
      <w:r w:rsidR="00E33FE2" w:rsidRPr="00AE400B">
        <w:rPr>
          <w:lang w:val="en-US"/>
        </w:rPr>
        <w:tab/>
        <w:t>The packages must be thermally insulated; or</w:t>
      </w:r>
    </w:p>
    <w:p w14:paraId="7EB239FC" w14:textId="7C009229" w:rsidR="00B27FDF" w:rsidRDefault="00E33FE2" w:rsidP="00B27FDF">
      <w:pPr>
        <w:pStyle w:val="SingleTxtG"/>
        <w:tabs>
          <w:tab w:val="left" w:pos="2268"/>
        </w:tabs>
        <w:ind w:left="2268" w:hanging="567"/>
        <w:rPr>
          <w:lang w:val="en-US"/>
        </w:rPr>
      </w:pPr>
      <w:r w:rsidRPr="00AE400B">
        <w:rPr>
          <w:lang w:val="en-US"/>
        </w:rPr>
        <w:t>(b)</w:t>
      </w:r>
      <w:r w:rsidRPr="00AE400B">
        <w:rPr>
          <w:lang w:val="en-US"/>
        </w:rPr>
        <w:tab/>
        <w:t xml:space="preserve">The </w:t>
      </w:r>
      <w:r w:rsidR="002C45D9">
        <w:rPr>
          <w:lang w:val="en-US"/>
        </w:rPr>
        <w:t>transport unit</w:t>
      </w:r>
      <w:r w:rsidRPr="00AE400B">
        <w:rPr>
          <w:lang w:val="en-US"/>
        </w:rPr>
        <w:t xml:space="preserve"> must be thermally </w:t>
      </w:r>
      <w:r w:rsidR="0028603C" w:rsidRPr="00AE400B">
        <w:rPr>
          <w:lang w:val="en-US"/>
        </w:rPr>
        <w:t>insulated.</w:t>
      </w:r>
    </w:p>
    <w:p w14:paraId="16677754" w14:textId="1FFD2936" w:rsidR="00B27FDF" w:rsidRDefault="00780613" w:rsidP="00B27FDF">
      <w:pPr>
        <w:pStyle w:val="SingleTxtG"/>
        <w:rPr>
          <w:lang w:val="en-US"/>
        </w:rPr>
      </w:pPr>
      <w:r>
        <w:rPr>
          <w:lang w:val="en-US"/>
        </w:rPr>
        <w:t>5</w:t>
      </w:r>
      <w:r w:rsidR="00B27FDF">
        <w:rPr>
          <w:lang w:val="en-US"/>
        </w:rPr>
        <w:t>.</w:t>
      </w:r>
      <w:r w:rsidR="00B27FDF">
        <w:rPr>
          <w:lang w:val="en-US"/>
        </w:rPr>
        <w:tab/>
        <w:t xml:space="preserve">Packing provision V8 of ADR 2019 only contains a reference to </w:t>
      </w:r>
      <w:r w:rsidR="00CA55D3">
        <w:rPr>
          <w:lang w:val="en-US"/>
        </w:rPr>
        <w:t>C</w:t>
      </w:r>
      <w:r w:rsidR="00B27FDF">
        <w:rPr>
          <w:lang w:val="en-US"/>
        </w:rPr>
        <w:t xml:space="preserve">hapter 7.1.7 as the text of provision V8 has been included in its entirety as 7.1.7.4.5. </w:t>
      </w:r>
      <w:r w:rsidR="0016418F">
        <w:rPr>
          <w:lang w:val="en-US"/>
        </w:rPr>
        <w:t>However, C</w:t>
      </w:r>
      <w:r w:rsidR="00B27FDF">
        <w:rPr>
          <w:lang w:val="en-US"/>
        </w:rPr>
        <w:t>hapter 7.1.7 contains multiple provisions on carriage under temperature control</w:t>
      </w:r>
      <w:r w:rsidR="008C5DC9">
        <w:rPr>
          <w:lang w:val="en-US"/>
        </w:rPr>
        <w:t>.</w:t>
      </w:r>
      <w:r w:rsidR="00FB4F94" w:rsidRPr="00FB4F94">
        <w:rPr>
          <w:lang w:val="en-US"/>
        </w:rPr>
        <w:t xml:space="preserve"> </w:t>
      </w:r>
      <w:r w:rsidR="00FB4F94">
        <w:rPr>
          <w:lang w:val="en-US"/>
        </w:rPr>
        <w:t xml:space="preserve">As it currently stands, paragraph </w:t>
      </w:r>
      <w:r w:rsidR="00FB4F94" w:rsidRPr="00AE400B">
        <w:rPr>
          <w:lang w:val="en-US"/>
        </w:rPr>
        <w:t xml:space="preserve">7.1.7.4.5 in ADR 2019 </w:t>
      </w:r>
      <w:r w:rsidR="00FB4F94">
        <w:rPr>
          <w:lang w:val="en-US"/>
        </w:rPr>
        <w:t xml:space="preserve">only </w:t>
      </w:r>
      <w:r w:rsidR="00FB4F94" w:rsidRPr="00AE400B">
        <w:rPr>
          <w:lang w:val="en-US"/>
        </w:rPr>
        <w:t>list</w:t>
      </w:r>
      <w:r w:rsidR="00FB4F94">
        <w:rPr>
          <w:lang w:val="en-US"/>
        </w:rPr>
        <w:t>s suitable methods for preventing the control temperature to be exceeded in order o</w:t>
      </w:r>
      <w:r w:rsidR="0016418F">
        <w:rPr>
          <w:lang w:val="en-US"/>
        </w:rPr>
        <w:t>f increasing control capability, b</w:t>
      </w:r>
      <w:r w:rsidR="00A31F73">
        <w:rPr>
          <w:lang w:val="en-US"/>
        </w:rPr>
        <w:t xml:space="preserve">ut it is not obvious from the heading of the </w:t>
      </w:r>
      <w:r w:rsidR="00CA55D3">
        <w:rPr>
          <w:lang w:val="en-US"/>
        </w:rPr>
        <w:t>C</w:t>
      </w:r>
      <w:r w:rsidR="00A31F73">
        <w:rPr>
          <w:lang w:val="en-US"/>
        </w:rPr>
        <w:t>hapter or its subsections whether that whole sections is applicable to packages or also to vehicles and containers.</w:t>
      </w:r>
    </w:p>
    <w:p w14:paraId="3AC1CA27" w14:textId="1E6C0FC8" w:rsidR="00894ACF" w:rsidRPr="008C5DC9" w:rsidRDefault="00780613" w:rsidP="008C5DC9">
      <w:pPr>
        <w:pStyle w:val="SingleTxtG"/>
        <w:rPr>
          <w:lang w:val="en-US"/>
        </w:rPr>
      </w:pPr>
      <w:r>
        <w:rPr>
          <w:lang w:val="en-US"/>
        </w:rPr>
        <w:t>6</w:t>
      </w:r>
      <w:r w:rsidR="00E33FE2" w:rsidRPr="00AE400B">
        <w:rPr>
          <w:lang w:val="en-US"/>
        </w:rPr>
        <w:t>.</w:t>
      </w:r>
      <w:r w:rsidR="00E33FE2" w:rsidRPr="00AE400B">
        <w:rPr>
          <w:lang w:val="en-US"/>
        </w:rPr>
        <w:tab/>
      </w:r>
      <w:r w:rsidR="00422C91">
        <w:rPr>
          <w:lang w:val="en-US"/>
        </w:rPr>
        <w:t xml:space="preserve">In the </w:t>
      </w:r>
      <w:r w:rsidR="00FB4F94">
        <w:rPr>
          <w:lang w:val="en-US"/>
        </w:rPr>
        <w:t>intersessional discussions, i</w:t>
      </w:r>
      <w:r w:rsidR="00C54D0E">
        <w:rPr>
          <w:lang w:val="en-US"/>
        </w:rPr>
        <w:t>t has been pointed out that thermal insulation of packages is not</w:t>
      </w:r>
      <w:r w:rsidR="00DF4BE7">
        <w:rPr>
          <w:lang w:val="en-US"/>
        </w:rPr>
        <w:t xml:space="preserve"> appropriate where </w:t>
      </w:r>
      <w:r w:rsidR="00B27FDF">
        <w:rPr>
          <w:lang w:val="en-US"/>
        </w:rPr>
        <w:t>a</w:t>
      </w:r>
      <w:r w:rsidR="00DF4BE7">
        <w:rPr>
          <w:lang w:val="en-US"/>
        </w:rPr>
        <w:t xml:space="preserve"> package is carried in</w:t>
      </w:r>
      <w:r w:rsidR="00283FA3">
        <w:rPr>
          <w:lang w:val="en-US"/>
        </w:rPr>
        <w:t xml:space="preserve"> refrigerate</w:t>
      </w:r>
      <w:r w:rsidR="00B27FDF">
        <w:rPr>
          <w:lang w:val="en-US"/>
        </w:rPr>
        <w:t>d</w:t>
      </w:r>
      <w:r w:rsidR="00DF4BE7">
        <w:rPr>
          <w:lang w:val="en-US"/>
        </w:rPr>
        <w:t xml:space="preserve"> vehicles or cargo transport units</w:t>
      </w:r>
      <w:r w:rsidR="00B27FDF">
        <w:rPr>
          <w:lang w:val="en-US"/>
        </w:rPr>
        <w:t xml:space="preserve"> as thermal insulation of the packaging obstructs the heat exchange between </w:t>
      </w:r>
      <w:r w:rsidR="00B27FDF">
        <w:rPr>
          <w:lang w:val="en-US"/>
        </w:rPr>
        <w:lastRenderedPageBreak/>
        <w:t xml:space="preserve">the substance in the package and the </w:t>
      </w:r>
      <w:r w:rsidR="008C5DC9">
        <w:rPr>
          <w:lang w:val="en-US"/>
        </w:rPr>
        <w:t xml:space="preserve">refrigerated environment in the vehicle or </w:t>
      </w:r>
      <w:r w:rsidR="00B27FDF">
        <w:rPr>
          <w:lang w:val="en-US"/>
        </w:rPr>
        <w:t>container</w:t>
      </w:r>
      <w:r w:rsidR="008C5DC9">
        <w:rPr>
          <w:lang w:val="en-US"/>
        </w:rPr>
        <w:t>. In addition, thermal insulation can lower the SADT or SAPT of the substance in the packaging as heat released due to very slow decompo</w:t>
      </w:r>
      <w:r w:rsidR="00422C91">
        <w:rPr>
          <w:lang w:val="en-US"/>
        </w:rPr>
        <w:t>sition of the product cannot dissipate</w:t>
      </w:r>
      <w:r w:rsidR="008C5DC9">
        <w:rPr>
          <w:lang w:val="en-US"/>
        </w:rPr>
        <w:t xml:space="preserve"> into the environment, resulting in a potentially unsafe situation.</w:t>
      </w:r>
    </w:p>
    <w:p w14:paraId="314BB89A" w14:textId="782BB0DC" w:rsidR="00FB4F94" w:rsidRDefault="00780613" w:rsidP="009C4585">
      <w:pPr>
        <w:pStyle w:val="SingleTxtG"/>
        <w:rPr>
          <w:lang w:val="en-US"/>
        </w:rPr>
      </w:pPr>
      <w:r>
        <w:rPr>
          <w:lang w:val="en-US"/>
        </w:rPr>
        <w:t>7</w:t>
      </w:r>
      <w:r w:rsidR="008C5DC9">
        <w:rPr>
          <w:lang w:val="en-US"/>
        </w:rPr>
        <w:t>.</w:t>
      </w:r>
      <w:r w:rsidR="008C5DC9">
        <w:rPr>
          <w:lang w:val="en-US"/>
        </w:rPr>
        <w:tab/>
      </w:r>
      <w:r w:rsidR="008C5DC9" w:rsidRPr="00AE400B">
        <w:rPr>
          <w:lang w:val="en-US"/>
        </w:rPr>
        <w:t xml:space="preserve"> </w:t>
      </w:r>
      <w:r w:rsidR="00FB4F94">
        <w:rPr>
          <w:lang w:val="en-US"/>
        </w:rPr>
        <w:t xml:space="preserve">Based on this, </w:t>
      </w:r>
      <w:r w:rsidR="00FB4F94" w:rsidRPr="00AE400B">
        <w:rPr>
          <w:lang w:val="en-US"/>
        </w:rPr>
        <w:t xml:space="preserve">thermal insulation for </w:t>
      </w:r>
      <w:r w:rsidR="00FB4F94">
        <w:rPr>
          <w:lang w:val="en-US"/>
        </w:rPr>
        <w:t>the package</w:t>
      </w:r>
      <w:r w:rsidR="00FB4F94" w:rsidRPr="00AE400B">
        <w:rPr>
          <w:lang w:val="en-US"/>
        </w:rPr>
        <w:t xml:space="preserve"> </w:t>
      </w:r>
      <w:r w:rsidR="00FB4F94">
        <w:rPr>
          <w:lang w:val="en-US"/>
        </w:rPr>
        <w:t xml:space="preserve">would be appropriate in the methods listed under 7.1.7.4.5 (a) and (b) </w:t>
      </w:r>
      <w:r w:rsidR="00963AEA">
        <w:rPr>
          <w:lang w:val="en-US"/>
        </w:rPr>
        <w:t xml:space="preserve">as no mechanical refrigeration is being used. However, </w:t>
      </w:r>
      <w:r w:rsidR="009C4585">
        <w:rPr>
          <w:lang w:val="en-US"/>
        </w:rPr>
        <w:t xml:space="preserve">for methods </w:t>
      </w:r>
      <w:r w:rsidR="00FB4F94" w:rsidRPr="00AE400B">
        <w:rPr>
          <w:lang w:val="en-US"/>
        </w:rPr>
        <w:t>(c), (d) and (e)</w:t>
      </w:r>
      <w:r w:rsidR="009C4585">
        <w:rPr>
          <w:lang w:val="en-US"/>
        </w:rPr>
        <w:t xml:space="preserve">, </w:t>
      </w:r>
      <w:r w:rsidR="009C4585" w:rsidRPr="00AE400B">
        <w:rPr>
          <w:lang w:val="en-US"/>
        </w:rPr>
        <w:t xml:space="preserve">the </w:t>
      </w:r>
      <w:r w:rsidR="009C4585">
        <w:rPr>
          <w:lang w:val="en-US"/>
        </w:rPr>
        <w:t>transport unit is equipped with mechanical refrigeration which would make thermal insulation of the package inappropriate. However, it would be logical for the transport unit</w:t>
      </w:r>
      <w:r w:rsidR="00422C91">
        <w:rPr>
          <w:lang w:val="en-US"/>
        </w:rPr>
        <w:t xml:space="preserve"> </w:t>
      </w:r>
      <w:r w:rsidR="009C4585">
        <w:rPr>
          <w:lang w:val="en-US"/>
        </w:rPr>
        <w:t xml:space="preserve">to </w:t>
      </w:r>
      <w:r w:rsidR="00422C91">
        <w:rPr>
          <w:lang w:val="en-US"/>
        </w:rPr>
        <w:t>be thermally insulated in order for the mechanical</w:t>
      </w:r>
      <w:r w:rsidR="009C4585">
        <w:rPr>
          <w:lang w:val="en-US"/>
        </w:rPr>
        <w:t xml:space="preserve"> refrigeration to be effective.</w:t>
      </w:r>
    </w:p>
    <w:p w14:paraId="0B442546" w14:textId="3DD62A9B" w:rsidR="002C45D9" w:rsidRPr="00AE400B" w:rsidRDefault="00780613" w:rsidP="002C45D9">
      <w:pPr>
        <w:pStyle w:val="SingleTxtG"/>
        <w:rPr>
          <w:lang w:val="en-US"/>
        </w:rPr>
      </w:pPr>
      <w:r>
        <w:rPr>
          <w:lang w:val="en-US"/>
        </w:rPr>
        <w:t>8</w:t>
      </w:r>
      <w:r w:rsidR="002C45D9" w:rsidRPr="00AE400B">
        <w:rPr>
          <w:lang w:val="en-US"/>
        </w:rPr>
        <w:t>.</w:t>
      </w:r>
      <w:r w:rsidR="002C45D9" w:rsidRPr="00AE400B">
        <w:rPr>
          <w:lang w:val="en-US"/>
        </w:rPr>
        <w:tab/>
      </w:r>
      <w:r w:rsidR="002C45D9">
        <w:rPr>
          <w:lang w:val="en-US"/>
        </w:rPr>
        <w:t xml:space="preserve">The </w:t>
      </w:r>
      <w:r w:rsidR="00C008A1">
        <w:rPr>
          <w:lang w:val="en-US"/>
        </w:rPr>
        <w:t>Working Party</w:t>
      </w:r>
      <w:r w:rsidR="000631DE">
        <w:rPr>
          <w:lang w:val="en-US"/>
        </w:rPr>
        <w:t xml:space="preserve"> is invited to exchange </w:t>
      </w:r>
      <w:r w:rsidR="002C45D9">
        <w:rPr>
          <w:lang w:val="en-US"/>
        </w:rPr>
        <w:t xml:space="preserve">views </w:t>
      </w:r>
      <w:r w:rsidR="004E0502">
        <w:rPr>
          <w:lang w:val="en-US"/>
        </w:rPr>
        <w:t xml:space="preserve">on the interpretation on </w:t>
      </w:r>
      <w:r w:rsidR="002C45D9">
        <w:rPr>
          <w:lang w:val="en-US"/>
        </w:rPr>
        <w:t>the thermal insulation requirements in methods (c), (d) and (e) in section 7.1.7.4.5.</w:t>
      </w:r>
    </w:p>
    <w:p w14:paraId="37751BE0" w14:textId="73E8A605" w:rsidR="00894ACF" w:rsidRPr="00AE400B" w:rsidRDefault="00780613" w:rsidP="00B80FCE">
      <w:pPr>
        <w:pStyle w:val="SingleTxtG"/>
        <w:rPr>
          <w:lang w:val="en-US"/>
        </w:rPr>
      </w:pPr>
      <w:r>
        <w:rPr>
          <w:lang w:val="en-US"/>
        </w:rPr>
        <w:t>9</w:t>
      </w:r>
      <w:r w:rsidR="002C45D9">
        <w:rPr>
          <w:lang w:val="en-US"/>
        </w:rPr>
        <w:t>.</w:t>
      </w:r>
      <w:r w:rsidR="002C45D9">
        <w:rPr>
          <w:lang w:val="en-US"/>
        </w:rPr>
        <w:tab/>
        <w:t>During this analysis,</w:t>
      </w:r>
      <w:r w:rsidR="009C4585">
        <w:rPr>
          <w:lang w:val="en-US"/>
        </w:rPr>
        <w:t xml:space="preserve"> </w:t>
      </w:r>
      <w:r w:rsidR="002C45D9">
        <w:rPr>
          <w:lang w:val="en-US"/>
        </w:rPr>
        <w:t>inconsistencies were also noted in terminology use between different sections of the ADR. While 7.1.5.4.5(b) (iv) refers to ‘transport units’, section 7.1.7.4.7 is applicable to ‘vehicles’ and ‘containers’. Furthermore,</w:t>
      </w:r>
      <w:r w:rsidR="00E94345">
        <w:rPr>
          <w:lang w:val="en-US"/>
        </w:rPr>
        <w:t xml:space="preserve"> </w:t>
      </w:r>
      <w:r w:rsidR="002C45D9">
        <w:rPr>
          <w:lang w:val="en-US"/>
        </w:rPr>
        <w:t>while s</w:t>
      </w:r>
      <w:r w:rsidR="00E94345">
        <w:rPr>
          <w:lang w:val="en-US"/>
        </w:rPr>
        <w:t xml:space="preserve">ection 7.1.7.4.7 states that </w:t>
      </w:r>
      <w:r w:rsidR="00E94345" w:rsidRPr="00E94345">
        <w:rPr>
          <w:lang w:val="en-US"/>
        </w:rPr>
        <w:t>“</w:t>
      </w:r>
      <w:r w:rsidR="00E94345" w:rsidRPr="00E94345">
        <w:rPr>
          <w:i/>
          <w:lang w:val="en-US"/>
        </w:rPr>
        <w:t>Where substan</w:t>
      </w:r>
      <w:r w:rsidR="00B80FCE">
        <w:rPr>
          <w:i/>
          <w:lang w:val="en-US"/>
        </w:rPr>
        <w:t>c</w:t>
      </w:r>
      <w:r w:rsidR="00E94345" w:rsidRPr="00E94345">
        <w:rPr>
          <w:i/>
          <w:lang w:val="en-US"/>
        </w:rPr>
        <w:t>es are required to be carried in insulated, refrigerated or mechanically-refrigerated vehicles or containers, these vehicles or containers shall satisfy the requirements of Chapter 9.6</w:t>
      </w:r>
      <w:r w:rsidR="006F3FF1" w:rsidRPr="006F3FF1">
        <w:rPr>
          <w:lang w:val="en-US"/>
        </w:rPr>
        <w:t>”</w:t>
      </w:r>
      <w:r w:rsidR="00E94345">
        <w:rPr>
          <w:lang w:val="en-US"/>
        </w:rPr>
        <w:t xml:space="preserve">, </w:t>
      </w:r>
      <w:r w:rsidR="00B80FCE">
        <w:rPr>
          <w:lang w:val="en-US"/>
        </w:rPr>
        <w:t xml:space="preserve">Chapter 9.6 only refers </w:t>
      </w:r>
      <w:r w:rsidR="00E94345">
        <w:rPr>
          <w:lang w:val="en-US"/>
        </w:rPr>
        <w:t>to complete or completed vehicles</w:t>
      </w:r>
      <w:r w:rsidR="00A8405F">
        <w:rPr>
          <w:lang w:val="en-US"/>
        </w:rPr>
        <w:t xml:space="preserve">, </w:t>
      </w:r>
      <w:r w:rsidR="00B80FCE">
        <w:rPr>
          <w:lang w:val="en-US"/>
        </w:rPr>
        <w:t>containers</w:t>
      </w:r>
      <w:r w:rsidR="00A8405F">
        <w:rPr>
          <w:lang w:val="en-US"/>
        </w:rPr>
        <w:t xml:space="preserve"> are not mentioned </w:t>
      </w:r>
      <w:r w:rsidR="009C4585">
        <w:rPr>
          <w:lang w:val="en-US"/>
        </w:rPr>
        <w:t>at all. Clarifying the</w:t>
      </w:r>
      <w:r w:rsidR="002C45D9">
        <w:rPr>
          <w:lang w:val="en-US"/>
        </w:rPr>
        <w:t>se inconsistencies</w:t>
      </w:r>
      <w:r w:rsidR="009C4585">
        <w:rPr>
          <w:lang w:val="en-US"/>
        </w:rPr>
        <w:t xml:space="preserve"> would increase the </w:t>
      </w:r>
      <w:r w:rsidR="00E219C9">
        <w:rPr>
          <w:lang w:val="en-US"/>
        </w:rPr>
        <w:t>readability</w:t>
      </w:r>
      <w:r w:rsidR="009C4585">
        <w:rPr>
          <w:lang w:val="en-US"/>
        </w:rPr>
        <w:t xml:space="preserve"> of the ADR.</w:t>
      </w:r>
    </w:p>
    <w:p w14:paraId="252A8341" w14:textId="77777777" w:rsidR="008A0FDA" w:rsidRDefault="008A0FDA" w:rsidP="00C249A2">
      <w:pPr>
        <w:pStyle w:val="SingleTxtG"/>
        <w:spacing w:before="240" w:after="0"/>
        <w:jc w:val="center"/>
        <w:rPr>
          <w:u w:val="single"/>
          <w:lang w:val="en-US"/>
        </w:rPr>
      </w:pPr>
      <w:r w:rsidRPr="00AE400B">
        <w:rPr>
          <w:u w:val="single"/>
          <w:lang w:val="en-US"/>
        </w:rPr>
        <w:tab/>
      </w:r>
      <w:r w:rsidRPr="00AE400B">
        <w:rPr>
          <w:u w:val="single"/>
          <w:lang w:val="en-US"/>
        </w:rPr>
        <w:tab/>
      </w:r>
      <w:r w:rsidRPr="00AE400B">
        <w:rPr>
          <w:u w:val="single"/>
          <w:lang w:val="en-US"/>
        </w:rPr>
        <w:tab/>
      </w:r>
    </w:p>
    <w:sectPr w:rsidR="008A0FDA" w:rsidSect="0030620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064C" w14:textId="77777777" w:rsidR="001C5942" w:rsidRDefault="001C5942"/>
  </w:endnote>
  <w:endnote w:type="continuationSeparator" w:id="0">
    <w:p w14:paraId="6547B083" w14:textId="77777777" w:rsidR="001C5942" w:rsidRDefault="001C5942"/>
  </w:endnote>
  <w:endnote w:type="continuationNotice" w:id="1">
    <w:p w14:paraId="0DDA84CE" w14:textId="77777777" w:rsidR="001C5942" w:rsidRDefault="001C5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0555" w14:textId="77777777" w:rsidR="001C5942" w:rsidRPr="00E762DB" w:rsidRDefault="001C5942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CA55D3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8C28" w14:textId="77777777" w:rsidR="001C5942" w:rsidRPr="00E762DB" w:rsidRDefault="001C5942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0600" w14:textId="77777777" w:rsidR="001C5942" w:rsidRPr="000B175B" w:rsidRDefault="001C594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0189C" w14:textId="77777777" w:rsidR="001C5942" w:rsidRPr="00FC68B7" w:rsidRDefault="001C594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E0CAFD" w14:textId="77777777" w:rsidR="001C5942" w:rsidRDefault="001C5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FA0C" w14:textId="5AA28858" w:rsidR="001C5942" w:rsidRPr="0040519E" w:rsidRDefault="001C5942" w:rsidP="0040519E">
    <w:pPr>
      <w:pStyle w:val="Header"/>
      <w:rPr>
        <w:szCs w:val="18"/>
      </w:rPr>
    </w:pPr>
    <w:r>
      <w:rPr>
        <w:szCs w:val="18"/>
      </w:rPr>
      <w:t>INF.</w:t>
    </w:r>
    <w:r w:rsidR="00780613">
      <w:rPr>
        <w:szCs w:val="18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FE6" w14:textId="77777777" w:rsidR="001C5942" w:rsidRPr="0040519E" w:rsidRDefault="001C5942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18"/>
  </w:num>
  <w:num w:numId="25">
    <w:abstractNumId w:val="12"/>
  </w:num>
  <w:num w:numId="26">
    <w:abstractNumId w:val="11"/>
  </w:num>
  <w:num w:numId="27">
    <w:abstractNumId w:val="19"/>
  </w:num>
  <w:num w:numId="28">
    <w:abstractNumId w:val="16"/>
  </w:num>
  <w:num w:numId="29">
    <w:abstractNumId w:val="17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31FBD"/>
    <w:rsid w:val="00036E48"/>
    <w:rsid w:val="00037F90"/>
    <w:rsid w:val="00044E86"/>
    <w:rsid w:val="00046B1F"/>
    <w:rsid w:val="00050F6B"/>
    <w:rsid w:val="00057793"/>
    <w:rsid w:val="00057E97"/>
    <w:rsid w:val="000631DE"/>
    <w:rsid w:val="00063258"/>
    <w:rsid w:val="00072972"/>
    <w:rsid w:val="00072A81"/>
    <w:rsid w:val="00072C8C"/>
    <w:rsid w:val="000733B5"/>
    <w:rsid w:val="000776EE"/>
    <w:rsid w:val="00081815"/>
    <w:rsid w:val="00090B3F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D67BE"/>
    <w:rsid w:val="000E0415"/>
    <w:rsid w:val="000F0BB0"/>
    <w:rsid w:val="000F147C"/>
    <w:rsid w:val="00100D79"/>
    <w:rsid w:val="0010391C"/>
    <w:rsid w:val="00104CDA"/>
    <w:rsid w:val="001103AA"/>
    <w:rsid w:val="0011666B"/>
    <w:rsid w:val="00122472"/>
    <w:rsid w:val="00125117"/>
    <w:rsid w:val="00126E1C"/>
    <w:rsid w:val="00145A8E"/>
    <w:rsid w:val="00155068"/>
    <w:rsid w:val="0016418F"/>
    <w:rsid w:val="00165F3A"/>
    <w:rsid w:val="0017344C"/>
    <w:rsid w:val="00180B0D"/>
    <w:rsid w:val="00180F8C"/>
    <w:rsid w:val="001847D2"/>
    <w:rsid w:val="001968F9"/>
    <w:rsid w:val="001A47AA"/>
    <w:rsid w:val="001A57BD"/>
    <w:rsid w:val="001A6E55"/>
    <w:rsid w:val="001A7709"/>
    <w:rsid w:val="001B012A"/>
    <w:rsid w:val="001B059F"/>
    <w:rsid w:val="001B13A5"/>
    <w:rsid w:val="001B1EA7"/>
    <w:rsid w:val="001B4B04"/>
    <w:rsid w:val="001C5942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4023A"/>
    <w:rsid w:val="00243217"/>
    <w:rsid w:val="0024530C"/>
    <w:rsid w:val="00252290"/>
    <w:rsid w:val="00252F75"/>
    <w:rsid w:val="0025326C"/>
    <w:rsid w:val="0026060C"/>
    <w:rsid w:val="00267F5F"/>
    <w:rsid w:val="002779D6"/>
    <w:rsid w:val="00283FA3"/>
    <w:rsid w:val="0028603C"/>
    <w:rsid w:val="00286B4D"/>
    <w:rsid w:val="002A3C85"/>
    <w:rsid w:val="002A50EA"/>
    <w:rsid w:val="002A603B"/>
    <w:rsid w:val="002C1C56"/>
    <w:rsid w:val="002C45D9"/>
    <w:rsid w:val="002C6F64"/>
    <w:rsid w:val="002D11EC"/>
    <w:rsid w:val="002D4643"/>
    <w:rsid w:val="002D4B6C"/>
    <w:rsid w:val="002E3B88"/>
    <w:rsid w:val="002F175C"/>
    <w:rsid w:val="002F1DF0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369F1"/>
    <w:rsid w:val="00345184"/>
    <w:rsid w:val="00352709"/>
    <w:rsid w:val="0035344A"/>
    <w:rsid w:val="003571EA"/>
    <w:rsid w:val="00364B28"/>
    <w:rsid w:val="00371178"/>
    <w:rsid w:val="00380288"/>
    <w:rsid w:val="0038100E"/>
    <w:rsid w:val="003834A6"/>
    <w:rsid w:val="00393B48"/>
    <w:rsid w:val="00394FFC"/>
    <w:rsid w:val="00396DB6"/>
    <w:rsid w:val="003A3DDB"/>
    <w:rsid w:val="003A6810"/>
    <w:rsid w:val="003B36D1"/>
    <w:rsid w:val="003C2CC4"/>
    <w:rsid w:val="003C3DDB"/>
    <w:rsid w:val="003D18C0"/>
    <w:rsid w:val="003D4B23"/>
    <w:rsid w:val="003F2250"/>
    <w:rsid w:val="00401B57"/>
    <w:rsid w:val="0040519E"/>
    <w:rsid w:val="00410B40"/>
    <w:rsid w:val="00410C89"/>
    <w:rsid w:val="004154CD"/>
    <w:rsid w:val="00421B73"/>
    <w:rsid w:val="00422C91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D59CF"/>
    <w:rsid w:val="004E0502"/>
    <w:rsid w:val="004E0C05"/>
    <w:rsid w:val="004E77B2"/>
    <w:rsid w:val="00501E13"/>
    <w:rsid w:val="00503DEB"/>
    <w:rsid w:val="00504B2D"/>
    <w:rsid w:val="00507993"/>
    <w:rsid w:val="0052136D"/>
    <w:rsid w:val="00522B58"/>
    <w:rsid w:val="00523CD7"/>
    <w:rsid w:val="0052775E"/>
    <w:rsid w:val="005303E7"/>
    <w:rsid w:val="00530C5A"/>
    <w:rsid w:val="00532510"/>
    <w:rsid w:val="00535269"/>
    <w:rsid w:val="00537ACC"/>
    <w:rsid w:val="005420F2"/>
    <w:rsid w:val="00542968"/>
    <w:rsid w:val="00543B68"/>
    <w:rsid w:val="00546993"/>
    <w:rsid w:val="005628B6"/>
    <w:rsid w:val="00563634"/>
    <w:rsid w:val="00566E56"/>
    <w:rsid w:val="00576A41"/>
    <w:rsid w:val="0057739F"/>
    <w:rsid w:val="0059363D"/>
    <w:rsid w:val="005A583B"/>
    <w:rsid w:val="005B3DB3"/>
    <w:rsid w:val="005B4E13"/>
    <w:rsid w:val="005B7B9C"/>
    <w:rsid w:val="005C43CA"/>
    <w:rsid w:val="005C68F0"/>
    <w:rsid w:val="005D2A29"/>
    <w:rsid w:val="005E0266"/>
    <w:rsid w:val="005E6A77"/>
    <w:rsid w:val="005F4FD5"/>
    <w:rsid w:val="005F7B75"/>
    <w:rsid w:val="006001EE"/>
    <w:rsid w:val="0060219C"/>
    <w:rsid w:val="00605042"/>
    <w:rsid w:val="00611FC4"/>
    <w:rsid w:val="00613D87"/>
    <w:rsid w:val="006176FB"/>
    <w:rsid w:val="00630BAF"/>
    <w:rsid w:val="006366C9"/>
    <w:rsid w:val="00640841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6F3FF1"/>
    <w:rsid w:val="00701A34"/>
    <w:rsid w:val="00703577"/>
    <w:rsid w:val="00705894"/>
    <w:rsid w:val="00707CB5"/>
    <w:rsid w:val="00725082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AF7"/>
    <w:rsid w:val="00776430"/>
    <w:rsid w:val="00780613"/>
    <w:rsid w:val="00793F25"/>
    <w:rsid w:val="00797575"/>
    <w:rsid w:val="007B27F1"/>
    <w:rsid w:val="007B6BA5"/>
    <w:rsid w:val="007C3390"/>
    <w:rsid w:val="007C4F4B"/>
    <w:rsid w:val="007C66CD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0E85"/>
    <w:rsid w:val="00843767"/>
    <w:rsid w:val="008465D9"/>
    <w:rsid w:val="00851BD9"/>
    <w:rsid w:val="00854501"/>
    <w:rsid w:val="00856D9C"/>
    <w:rsid w:val="00864939"/>
    <w:rsid w:val="008679D9"/>
    <w:rsid w:val="00871389"/>
    <w:rsid w:val="00880848"/>
    <w:rsid w:val="00881174"/>
    <w:rsid w:val="00883999"/>
    <w:rsid w:val="008846AF"/>
    <w:rsid w:val="00887652"/>
    <w:rsid w:val="008878DE"/>
    <w:rsid w:val="0089179C"/>
    <w:rsid w:val="0089185A"/>
    <w:rsid w:val="008933C9"/>
    <w:rsid w:val="00894ACF"/>
    <w:rsid w:val="00895022"/>
    <w:rsid w:val="008979B1"/>
    <w:rsid w:val="008A0FDA"/>
    <w:rsid w:val="008A24D4"/>
    <w:rsid w:val="008A253A"/>
    <w:rsid w:val="008A432C"/>
    <w:rsid w:val="008A4C97"/>
    <w:rsid w:val="008A6B25"/>
    <w:rsid w:val="008A6C4F"/>
    <w:rsid w:val="008A7B69"/>
    <w:rsid w:val="008B2335"/>
    <w:rsid w:val="008C10DD"/>
    <w:rsid w:val="008C5DC9"/>
    <w:rsid w:val="008C7DAF"/>
    <w:rsid w:val="008E0678"/>
    <w:rsid w:val="008E0DAA"/>
    <w:rsid w:val="008E4D3A"/>
    <w:rsid w:val="008E64A1"/>
    <w:rsid w:val="00914CB9"/>
    <w:rsid w:val="00915B7A"/>
    <w:rsid w:val="009223CA"/>
    <w:rsid w:val="00924790"/>
    <w:rsid w:val="009258F7"/>
    <w:rsid w:val="00926152"/>
    <w:rsid w:val="00927083"/>
    <w:rsid w:val="00936AE1"/>
    <w:rsid w:val="00940F93"/>
    <w:rsid w:val="0094558F"/>
    <w:rsid w:val="0095387D"/>
    <w:rsid w:val="0095508D"/>
    <w:rsid w:val="009606A0"/>
    <w:rsid w:val="00961690"/>
    <w:rsid w:val="00963AEA"/>
    <w:rsid w:val="009760F3"/>
    <w:rsid w:val="0098203C"/>
    <w:rsid w:val="0098348F"/>
    <w:rsid w:val="009945EC"/>
    <w:rsid w:val="00995CC5"/>
    <w:rsid w:val="00997EE1"/>
    <w:rsid w:val="009A0995"/>
    <w:rsid w:val="009A0E8D"/>
    <w:rsid w:val="009A1137"/>
    <w:rsid w:val="009B1518"/>
    <w:rsid w:val="009B26E7"/>
    <w:rsid w:val="009C454F"/>
    <w:rsid w:val="009C4585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262DA"/>
    <w:rsid w:val="00A3009E"/>
    <w:rsid w:val="00A3026E"/>
    <w:rsid w:val="00A31F73"/>
    <w:rsid w:val="00A338F1"/>
    <w:rsid w:val="00A55B4D"/>
    <w:rsid w:val="00A72F22"/>
    <w:rsid w:val="00A7360F"/>
    <w:rsid w:val="00A748A6"/>
    <w:rsid w:val="00A749DD"/>
    <w:rsid w:val="00A769F4"/>
    <w:rsid w:val="00A776B4"/>
    <w:rsid w:val="00A8405F"/>
    <w:rsid w:val="00A94361"/>
    <w:rsid w:val="00AA293C"/>
    <w:rsid w:val="00AA66C0"/>
    <w:rsid w:val="00AB4A30"/>
    <w:rsid w:val="00AD44C2"/>
    <w:rsid w:val="00AD48FA"/>
    <w:rsid w:val="00AD6496"/>
    <w:rsid w:val="00AE400B"/>
    <w:rsid w:val="00B054F9"/>
    <w:rsid w:val="00B06A97"/>
    <w:rsid w:val="00B11BB4"/>
    <w:rsid w:val="00B15E5B"/>
    <w:rsid w:val="00B17311"/>
    <w:rsid w:val="00B22BC2"/>
    <w:rsid w:val="00B27FDF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0FCE"/>
    <w:rsid w:val="00B81206"/>
    <w:rsid w:val="00B81E12"/>
    <w:rsid w:val="00B824F2"/>
    <w:rsid w:val="00B835D6"/>
    <w:rsid w:val="00B8497D"/>
    <w:rsid w:val="00B867BB"/>
    <w:rsid w:val="00BA2681"/>
    <w:rsid w:val="00BA5D18"/>
    <w:rsid w:val="00BA639E"/>
    <w:rsid w:val="00BB20C7"/>
    <w:rsid w:val="00BB45BD"/>
    <w:rsid w:val="00BB7CD1"/>
    <w:rsid w:val="00BC3FA0"/>
    <w:rsid w:val="00BC72A6"/>
    <w:rsid w:val="00BC74E9"/>
    <w:rsid w:val="00BE485B"/>
    <w:rsid w:val="00BE48E6"/>
    <w:rsid w:val="00BF15A1"/>
    <w:rsid w:val="00BF68A8"/>
    <w:rsid w:val="00C008A1"/>
    <w:rsid w:val="00C10FE6"/>
    <w:rsid w:val="00C11A03"/>
    <w:rsid w:val="00C1428F"/>
    <w:rsid w:val="00C22C0C"/>
    <w:rsid w:val="00C249A2"/>
    <w:rsid w:val="00C414BD"/>
    <w:rsid w:val="00C44E1C"/>
    <w:rsid w:val="00C4527F"/>
    <w:rsid w:val="00C463DD"/>
    <w:rsid w:val="00C467C9"/>
    <w:rsid w:val="00C4724C"/>
    <w:rsid w:val="00C54D0E"/>
    <w:rsid w:val="00C629A0"/>
    <w:rsid w:val="00C64629"/>
    <w:rsid w:val="00C73056"/>
    <w:rsid w:val="00C745C3"/>
    <w:rsid w:val="00CA55D3"/>
    <w:rsid w:val="00CA6B02"/>
    <w:rsid w:val="00CB3E03"/>
    <w:rsid w:val="00CC2832"/>
    <w:rsid w:val="00CC589C"/>
    <w:rsid w:val="00CD57D2"/>
    <w:rsid w:val="00CE4A8F"/>
    <w:rsid w:val="00CF4673"/>
    <w:rsid w:val="00D00610"/>
    <w:rsid w:val="00D139AC"/>
    <w:rsid w:val="00D14B9C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02F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D1453"/>
    <w:rsid w:val="00DD630E"/>
    <w:rsid w:val="00DF4BE7"/>
    <w:rsid w:val="00E0232A"/>
    <w:rsid w:val="00E046DF"/>
    <w:rsid w:val="00E04B58"/>
    <w:rsid w:val="00E105CE"/>
    <w:rsid w:val="00E13B15"/>
    <w:rsid w:val="00E15557"/>
    <w:rsid w:val="00E219C9"/>
    <w:rsid w:val="00E27346"/>
    <w:rsid w:val="00E277A3"/>
    <w:rsid w:val="00E33FE2"/>
    <w:rsid w:val="00E36B96"/>
    <w:rsid w:val="00E471D5"/>
    <w:rsid w:val="00E62184"/>
    <w:rsid w:val="00E64224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3F20"/>
    <w:rsid w:val="00E94345"/>
    <w:rsid w:val="00E9492A"/>
    <w:rsid w:val="00E96630"/>
    <w:rsid w:val="00EA16B6"/>
    <w:rsid w:val="00EA6E41"/>
    <w:rsid w:val="00EA7989"/>
    <w:rsid w:val="00EB5944"/>
    <w:rsid w:val="00EC106A"/>
    <w:rsid w:val="00EC32A0"/>
    <w:rsid w:val="00ED7A2A"/>
    <w:rsid w:val="00EE6B3A"/>
    <w:rsid w:val="00EF1D7F"/>
    <w:rsid w:val="00EF7357"/>
    <w:rsid w:val="00F00EAB"/>
    <w:rsid w:val="00F01744"/>
    <w:rsid w:val="00F03A7B"/>
    <w:rsid w:val="00F227A6"/>
    <w:rsid w:val="00F24FB3"/>
    <w:rsid w:val="00F27D2C"/>
    <w:rsid w:val="00F31E5F"/>
    <w:rsid w:val="00F36773"/>
    <w:rsid w:val="00F36F0D"/>
    <w:rsid w:val="00F414C3"/>
    <w:rsid w:val="00F4272A"/>
    <w:rsid w:val="00F4495E"/>
    <w:rsid w:val="00F54F28"/>
    <w:rsid w:val="00F6100A"/>
    <w:rsid w:val="00F62BEC"/>
    <w:rsid w:val="00F66565"/>
    <w:rsid w:val="00F668C9"/>
    <w:rsid w:val="00F7550B"/>
    <w:rsid w:val="00F8017A"/>
    <w:rsid w:val="00F93781"/>
    <w:rsid w:val="00F93BFA"/>
    <w:rsid w:val="00FB0A9F"/>
    <w:rsid w:val="00FB4F94"/>
    <w:rsid w:val="00FB613B"/>
    <w:rsid w:val="00FB6973"/>
    <w:rsid w:val="00FC3C87"/>
    <w:rsid w:val="00FC68B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EE5EA"/>
  <w15:docId w15:val="{5F4A7E5E-1B59-4786-B724-299A6FD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character" w:customStyle="1" w:styleId="SingleTxtGZchnZchn">
    <w:name w:val="_ Single Txt_G Zchn Zchn"/>
    <w:uiPriority w:val="99"/>
    <w:rsid w:val="00AE40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E400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00B"/>
    <w:rPr>
      <w:rFonts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3883</Characters>
  <Application>Microsoft Office Word</Application>
  <DocSecurity>0</DocSecurity>
  <Lines>84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2018-10-17T12:50:00Z</cp:lastPrinted>
  <dcterms:created xsi:type="dcterms:W3CDTF">2018-10-17T12:53:00Z</dcterms:created>
  <dcterms:modified xsi:type="dcterms:W3CDTF">2018-10-17T13:38:00Z</dcterms:modified>
</cp:coreProperties>
</file>