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775BA6">
              <w:t>8</w:t>
            </w:r>
            <w:r>
              <w:t>/1</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A07946" w:rsidP="008D4A19">
            <w:pPr>
              <w:suppressAutoHyphens w:val="0"/>
            </w:pPr>
            <w:r>
              <w:t>28</w:t>
            </w:r>
            <w:r w:rsidR="004D3CEF">
              <w:t xml:space="preserve"> February</w:t>
            </w:r>
            <w:r w:rsidR="001330DE">
              <w:t xml:space="preserve"> 201</w:t>
            </w:r>
            <w:r w:rsidR="00775BA6">
              <w:t>8</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104th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15</w:t>
      </w:r>
      <w:r>
        <w:rPr>
          <w:rFonts w:eastAsia="SimSun"/>
        </w:rPr>
        <w:t>–</w:t>
      </w:r>
      <w:r w:rsidR="00DE40E0">
        <w:rPr>
          <w:rFonts w:eastAsia="SimSun"/>
        </w:rPr>
        <w:t>1</w:t>
      </w:r>
      <w:r w:rsidR="00A07946">
        <w:rPr>
          <w:rFonts w:eastAsia="SimSun"/>
        </w:rPr>
        <w:t>7</w:t>
      </w:r>
      <w:r w:rsidRPr="00BA64A8">
        <w:rPr>
          <w:rFonts w:eastAsia="SimSun"/>
        </w:rPr>
        <w:t xml:space="preserve"> May 201</w:t>
      </w:r>
      <w:r w:rsidR="00775BA6">
        <w:rPr>
          <w:rFonts w:eastAsia="SimSun"/>
        </w:rPr>
        <w:t>8</w:t>
      </w:r>
      <w:r w:rsidRPr="00BA64A8">
        <w:rPr>
          <w:rFonts w:eastAsia="SimSun"/>
        </w:rPr>
        <w:t xml:space="preserve"> </w:t>
      </w:r>
    </w:p>
    <w:p w:rsidR="001330DE" w:rsidRPr="00BA64A8" w:rsidRDefault="001330DE" w:rsidP="001330DE">
      <w:r w:rsidRPr="00BA64A8">
        <w:rPr>
          <w:rFonts w:eastAsia="SimSun"/>
        </w:rPr>
        <w:t xml:space="preserve">Item </w:t>
      </w:r>
      <w:r w:rsidR="00AD5C88">
        <w:t>5 (b)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AD5C88" w:rsidRPr="00B573A9" w:rsidRDefault="003A6B33" w:rsidP="00AD5C88">
      <w:pPr>
        <w:pStyle w:val="HChG"/>
        <w:keepNext w:val="0"/>
        <w:keepLines w:val="0"/>
        <w:rPr>
          <w:sz w:val="20"/>
        </w:rPr>
      </w:pPr>
      <w:r>
        <w:tab/>
      </w:r>
      <w:r>
        <w:tab/>
      </w:r>
      <w:r w:rsidR="00AD5C88">
        <w:t>9.7.4 Earthing of FL vehicles and 9.8.3 Earthing of MEMUs</w:t>
      </w:r>
    </w:p>
    <w:p w:rsidR="00AD5C88" w:rsidRDefault="00AD5C88" w:rsidP="00AD5C88">
      <w:pPr>
        <w:pStyle w:val="H1G"/>
        <w:keepNext w:val="0"/>
        <w:keepLines w:val="0"/>
      </w:pPr>
      <w:r w:rsidRPr="00B573A9">
        <w:rPr>
          <w:b w:val="0"/>
          <w:sz w:val="20"/>
        </w:rPr>
        <w:tab/>
      </w:r>
      <w:r w:rsidRPr="00B573A9">
        <w:rPr>
          <w:b w:val="0"/>
          <w:sz w:val="20"/>
        </w:rPr>
        <w:tab/>
      </w:r>
      <w:r w:rsidRPr="00E51153">
        <w:t xml:space="preserve">Transmitted by the Government of </w:t>
      </w:r>
      <w:r>
        <w:t>Sweden</w:t>
      </w:r>
      <w:r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D5C88" w:rsidRPr="00B573A9" w:rsidTr="00AD5C88">
        <w:trPr>
          <w:jc w:val="center"/>
        </w:trPr>
        <w:tc>
          <w:tcPr>
            <w:tcW w:w="9629" w:type="dxa"/>
            <w:tcBorders>
              <w:bottom w:val="nil"/>
            </w:tcBorders>
            <w:shd w:val="clear" w:color="auto" w:fill="auto"/>
          </w:tcPr>
          <w:p w:rsidR="00AD5C88" w:rsidRPr="00B573A9" w:rsidRDefault="00AD5C88" w:rsidP="00AD5C88">
            <w:pPr>
              <w:tabs>
                <w:tab w:val="left" w:pos="255"/>
              </w:tabs>
              <w:suppressAutoHyphens w:val="0"/>
              <w:spacing w:before="240" w:after="120"/>
              <w:rPr>
                <w:sz w:val="24"/>
              </w:rPr>
            </w:pPr>
            <w:r w:rsidRPr="00B573A9">
              <w:tab/>
            </w:r>
            <w:r w:rsidRPr="00B573A9">
              <w:rPr>
                <w:i/>
                <w:sz w:val="24"/>
              </w:rPr>
              <w:t>Summary</w:t>
            </w:r>
          </w:p>
        </w:tc>
      </w:tr>
      <w:tr w:rsidR="00AD5C88" w:rsidRPr="00B573A9" w:rsidTr="00AD5C88">
        <w:trPr>
          <w:jc w:val="center"/>
        </w:trPr>
        <w:tc>
          <w:tcPr>
            <w:tcW w:w="9629" w:type="dxa"/>
            <w:tcBorders>
              <w:top w:val="nil"/>
              <w:bottom w:val="nil"/>
            </w:tcBorders>
            <w:shd w:val="clear" w:color="auto" w:fill="auto"/>
          </w:tcPr>
          <w:p w:rsidR="00AD5C88" w:rsidRPr="00AA3C78" w:rsidRDefault="00AD5C88" w:rsidP="00AD5C88">
            <w:pPr>
              <w:pStyle w:val="SingleTxtG"/>
              <w:ind w:left="3402" w:hanging="2268"/>
            </w:pPr>
            <w:r w:rsidRPr="00AA3C78">
              <w:rPr>
                <w:b/>
                <w:szCs w:val="22"/>
              </w:rPr>
              <w:t>Executive summary</w:t>
            </w:r>
            <w:r w:rsidRPr="00AA3C78">
              <w:rPr>
                <w:szCs w:val="22"/>
              </w:rPr>
              <w:t>:</w:t>
            </w:r>
            <w:r w:rsidRPr="00AA3C78">
              <w:tab/>
            </w:r>
            <w:r>
              <w:t xml:space="preserve">Sub-sections 9.7.4 and 9.8.3 contain provisions about electrical connections between the chassis and the tank, battery element, bulk containers or special compartments for packages. This connection refers to bonding, rather than earthing which is stated in the heading. </w:t>
            </w:r>
          </w:p>
        </w:tc>
      </w:tr>
      <w:tr w:rsidR="00AD5C88" w:rsidRPr="00B573A9" w:rsidTr="00AD5C88">
        <w:trPr>
          <w:jc w:val="center"/>
        </w:trPr>
        <w:tc>
          <w:tcPr>
            <w:tcW w:w="9629" w:type="dxa"/>
            <w:tcBorders>
              <w:top w:val="nil"/>
              <w:bottom w:val="nil"/>
            </w:tcBorders>
            <w:shd w:val="clear" w:color="auto" w:fill="auto"/>
          </w:tcPr>
          <w:p w:rsidR="00AD5C88" w:rsidRPr="00AA3C78" w:rsidRDefault="00AD5C88" w:rsidP="00AD5C88">
            <w:pPr>
              <w:pStyle w:val="SingleTxtG"/>
              <w:ind w:left="3402" w:hanging="2268"/>
            </w:pPr>
            <w:r w:rsidRPr="00AA3C78">
              <w:rPr>
                <w:b/>
                <w:szCs w:val="22"/>
              </w:rPr>
              <w:t>Action to be taken</w:t>
            </w:r>
            <w:r w:rsidRPr="00AA3C78">
              <w:rPr>
                <w:szCs w:val="22"/>
              </w:rPr>
              <w:t>:</w:t>
            </w:r>
            <w:r w:rsidRPr="00AA3C78">
              <w:tab/>
            </w:r>
            <w:r w:rsidRPr="002B16C8">
              <w:rPr>
                <w:lang w:val="en-US"/>
              </w:rPr>
              <w:t xml:space="preserve">Amend </w:t>
            </w:r>
            <w:r>
              <w:rPr>
                <w:lang w:val="en-US"/>
              </w:rPr>
              <w:t xml:space="preserve">the headings in </w:t>
            </w:r>
            <w:r w:rsidRPr="002B16C8">
              <w:rPr>
                <w:lang w:val="en-US"/>
              </w:rPr>
              <w:t>subsection</w:t>
            </w:r>
            <w:r>
              <w:rPr>
                <w:lang w:val="en-US"/>
              </w:rPr>
              <w:t>s</w:t>
            </w:r>
            <w:r w:rsidRPr="002B16C8">
              <w:rPr>
                <w:lang w:val="en-US"/>
              </w:rPr>
              <w:t xml:space="preserve"> 9.7.</w:t>
            </w:r>
            <w:r>
              <w:rPr>
                <w:lang w:val="en-US"/>
              </w:rPr>
              <w:t>4 and 9.8.3.</w:t>
            </w:r>
          </w:p>
        </w:tc>
      </w:tr>
      <w:tr w:rsidR="00AD5C88" w:rsidRPr="00B573A9" w:rsidTr="00AD5C88">
        <w:trPr>
          <w:jc w:val="center"/>
        </w:trPr>
        <w:tc>
          <w:tcPr>
            <w:tcW w:w="9629" w:type="dxa"/>
            <w:tcBorders>
              <w:top w:val="nil"/>
              <w:bottom w:val="nil"/>
            </w:tcBorders>
            <w:shd w:val="clear" w:color="auto" w:fill="auto"/>
          </w:tcPr>
          <w:p w:rsidR="00AD5C88" w:rsidRDefault="00AD5C88" w:rsidP="00AD5C88">
            <w:pPr>
              <w:ind w:left="3402" w:right="1134" w:hanging="2268"/>
              <w:jc w:val="both"/>
              <w:rPr>
                <w:lang w:val="en-US"/>
              </w:rPr>
            </w:pPr>
            <w:r>
              <w:rPr>
                <w:b/>
                <w:szCs w:val="22"/>
              </w:rPr>
              <w:t>Background documents</w:t>
            </w:r>
            <w:r w:rsidRPr="002C5C36">
              <w:rPr>
                <w:bCs/>
                <w:szCs w:val="22"/>
              </w:rPr>
              <w:t>:</w:t>
            </w:r>
            <w:r>
              <w:rPr>
                <w:b/>
                <w:szCs w:val="22"/>
              </w:rPr>
              <w:tab/>
            </w:r>
            <w:r>
              <w:rPr>
                <w:lang w:val="en-US"/>
              </w:rPr>
              <w:t>Informal document INF.4 of 103rd session of the Working Party</w:t>
            </w:r>
          </w:p>
          <w:p w:rsidR="00AD5C88" w:rsidRDefault="00AD5C88" w:rsidP="00AD5C88">
            <w:pPr>
              <w:ind w:left="3402" w:right="1134" w:hanging="1"/>
              <w:jc w:val="both"/>
              <w:rPr>
                <w:lang w:val="en-US"/>
              </w:rPr>
            </w:pPr>
            <w:r>
              <w:rPr>
                <w:lang w:val="en-US"/>
              </w:rPr>
              <w:t>ECE/TRANS/WP.15/239 paras. 59, 60</w:t>
            </w:r>
          </w:p>
          <w:p w:rsidR="00AD5C88" w:rsidRPr="00B573A9" w:rsidRDefault="00AD5C88" w:rsidP="00AD5C88">
            <w:pPr>
              <w:tabs>
                <w:tab w:val="left" w:pos="1170"/>
              </w:tabs>
              <w:suppressAutoHyphens w:val="0"/>
            </w:pPr>
          </w:p>
        </w:tc>
      </w:tr>
      <w:tr w:rsidR="00AD5C88" w:rsidRPr="00B573A9" w:rsidTr="00AD5C88">
        <w:trPr>
          <w:jc w:val="center"/>
        </w:trPr>
        <w:tc>
          <w:tcPr>
            <w:tcW w:w="9629" w:type="dxa"/>
            <w:tcBorders>
              <w:top w:val="nil"/>
            </w:tcBorders>
            <w:shd w:val="clear" w:color="auto" w:fill="auto"/>
          </w:tcPr>
          <w:p w:rsidR="00AD5C88" w:rsidRPr="00B573A9" w:rsidRDefault="00AD5C88" w:rsidP="00AD5C88">
            <w:pPr>
              <w:suppressAutoHyphens w:val="0"/>
            </w:pPr>
          </w:p>
        </w:tc>
      </w:tr>
    </w:tbl>
    <w:p w:rsidR="00AD5C88" w:rsidRDefault="00AD5C88" w:rsidP="00AD5C88">
      <w:pPr>
        <w:pStyle w:val="HChG"/>
        <w:keepNext w:val="0"/>
        <w:keepLines w:val="0"/>
        <w:rPr>
          <w:lang w:val="en-US"/>
        </w:rPr>
      </w:pPr>
      <w:r>
        <w:tab/>
      </w:r>
      <w:r>
        <w:tab/>
      </w:r>
      <w:r w:rsidRPr="00362DFF">
        <w:rPr>
          <w:lang w:val="en-US"/>
        </w:rPr>
        <w:t>Introduction</w:t>
      </w:r>
    </w:p>
    <w:p w:rsidR="00AD5C88" w:rsidRDefault="00BA399B" w:rsidP="00AD5C88">
      <w:pPr>
        <w:pStyle w:val="SingleTxtG"/>
      </w:pPr>
      <w:r>
        <w:t>1.</w:t>
      </w:r>
      <w:r>
        <w:tab/>
      </w:r>
      <w:r w:rsidR="00A07946">
        <w:t xml:space="preserve">At the </w:t>
      </w:r>
      <w:r w:rsidR="006C2261">
        <w:t>103</w:t>
      </w:r>
      <w:r w:rsidR="00312068" w:rsidRPr="00312068">
        <w:rPr>
          <w:vertAlign w:val="superscript"/>
        </w:rPr>
        <w:t>rd</w:t>
      </w:r>
      <w:r w:rsidR="00312068">
        <w:t xml:space="preserve"> </w:t>
      </w:r>
      <w:bookmarkStart w:id="0" w:name="_GoBack"/>
      <w:bookmarkEnd w:id="0"/>
      <w:r w:rsidR="00AD5C88">
        <w:t xml:space="preserve">session </w:t>
      </w:r>
      <w:r w:rsidR="006C2261">
        <w:t>of the Working Party</w:t>
      </w:r>
      <w:r w:rsidR="00AD5C88">
        <w:t xml:space="preserve"> in November 2017, Sweden raised a question (see </w:t>
      </w:r>
      <w:r w:rsidR="006C2261">
        <w:t xml:space="preserve">informal document </w:t>
      </w:r>
      <w:r w:rsidR="00AD5C88">
        <w:t>INF.4 from the 103</w:t>
      </w:r>
      <w:r w:rsidR="00AD5C88" w:rsidRPr="003D4C3F">
        <w:rPr>
          <w:vertAlign w:val="superscript"/>
        </w:rPr>
        <w:t>rd</w:t>
      </w:r>
      <w:r w:rsidR="00AD5C88">
        <w:t xml:space="preserve"> session) concerning different terms used in ADR for describing electrical connections in requirements concerning precautions </w:t>
      </w:r>
      <w:r w:rsidR="00AD5C88">
        <w:lastRenderedPageBreak/>
        <w:t xml:space="preserve">against electrostatic charges. The aim with that document was to have a clarification on what is </w:t>
      </w:r>
      <w:proofErr w:type="gramStart"/>
      <w:r w:rsidR="00AD5C88">
        <w:t>actually meant</w:t>
      </w:r>
      <w:proofErr w:type="gramEnd"/>
      <w:r w:rsidR="00AD5C88">
        <w:t xml:space="preserve"> in the different sub-sections.</w:t>
      </w:r>
    </w:p>
    <w:p w:rsidR="00AD5C88" w:rsidRDefault="00BA399B" w:rsidP="00AD5C88">
      <w:pPr>
        <w:pStyle w:val="SingleTxtG"/>
      </w:pPr>
      <w:r>
        <w:t>2.</w:t>
      </w:r>
      <w:r>
        <w:tab/>
      </w:r>
      <w:r w:rsidR="00AD5C88">
        <w:t>The outcome from the meeting was the following (extract from the report):</w:t>
      </w:r>
    </w:p>
    <w:p w:rsidR="00AD5C88" w:rsidRPr="008A6FCB" w:rsidRDefault="00BA399B" w:rsidP="00AD5C88">
      <w:pPr>
        <w:spacing w:before="120" w:after="120"/>
        <w:ind w:left="1134" w:right="1134"/>
        <w:jc w:val="both"/>
        <w:rPr>
          <w:i/>
        </w:rPr>
      </w:pPr>
      <w:r>
        <w:rPr>
          <w:i/>
        </w:rPr>
        <w:t>“59.</w:t>
      </w:r>
      <w:r>
        <w:rPr>
          <w:i/>
        </w:rPr>
        <w:tab/>
      </w:r>
      <w:r w:rsidR="00AD5C88" w:rsidRPr="008A6FCB">
        <w:rPr>
          <w:i/>
        </w:rPr>
        <w:t xml:space="preserve">Concerning the first case presented in informal document INF.4, the Working Party confirmed the interpretation of Sweden, according to which, </w:t>
      </w:r>
      <w:proofErr w:type="gramStart"/>
      <w:r w:rsidR="00AD5C88" w:rsidRPr="008A6FCB">
        <w:rPr>
          <w:i/>
        </w:rPr>
        <w:t>in order to</w:t>
      </w:r>
      <w:proofErr w:type="gramEnd"/>
      <w:r w:rsidR="00AD5C88" w:rsidRPr="008A6FCB">
        <w:rPr>
          <w:i/>
        </w:rPr>
        <w:t xml:space="preserve"> meet the requirements of section 7.5.10, an earthing connection must be established with the vehicle chassis prior to the filling or emptying of tanks, either by means of a direct connection of the vehicle or tank to the earth or by connecting the vehicle or the tank to an earthed storage tank. </w:t>
      </w:r>
    </w:p>
    <w:p w:rsidR="00AD5C88" w:rsidRPr="008A6FCB" w:rsidRDefault="00BA399B" w:rsidP="00AD5C88">
      <w:pPr>
        <w:spacing w:before="120" w:after="120"/>
        <w:ind w:left="1134" w:right="1134"/>
        <w:jc w:val="both"/>
        <w:rPr>
          <w:i/>
        </w:rPr>
      </w:pPr>
      <w:r>
        <w:rPr>
          <w:i/>
        </w:rPr>
        <w:t>60.</w:t>
      </w:r>
      <w:r>
        <w:rPr>
          <w:i/>
        </w:rPr>
        <w:tab/>
      </w:r>
      <w:r w:rsidR="00AD5C88" w:rsidRPr="008A6FCB">
        <w:rPr>
          <w:i/>
        </w:rPr>
        <w:t xml:space="preserve">Concerning the second case, the Working Party confirmed that the provisions in 9.7.4 and 9.8.3 required bonding, while the titles of the sections referred to earthing. </w:t>
      </w:r>
      <w:proofErr w:type="gramStart"/>
      <w:r w:rsidR="00AD5C88" w:rsidRPr="008A6FCB">
        <w:rPr>
          <w:i/>
        </w:rPr>
        <w:t>In order to</w:t>
      </w:r>
      <w:proofErr w:type="gramEnd"/>
      <w:r w:rsidR="00AD5C88" w:rsidRPr="008A6FCB">
        <w:rPr>
          <w:i/>
        </w:rPr>
        <w:t xml:space="preserve"> clarify the text, the representative of Sweden could propose that the terms should be changed at the next session.”</w:t>
      </w:r>
    </w:p>
    <w:p w:rsidR="00AD5C88" w:rsidRDefault="00BA399B" w:rsidP="00AD5C88">
      <w:pPr>
        <w:pStyle w:val="SingleTxtG"/>
      </w:pPr>
      <w:r>
        <w:t>3.</w:t>
      </w:r>
      <w:r>
        <w:tab/>
      </w:r>
      <w:r w:rsidR="00AD5C88">
        <w:t>Sections 9.7.4 and 9.8.3 require that a good electrical connection shall be established by a link from the tanks, containers and compartments to the chassis. According to our understanding, this is usually referred to as “bonding”, while the word “earthing” is used in ADR.</w:t>
      </w:r>
    </w:p>
    <w:p w:rsidR="00AD5C88" w:rsidRDefault="00BA399B" w:rsidP="00BA399B">
      <w:pPr>
        <w:spacing w:before="120" w:after="120"/>
        <w:ind w:left="1134" w:right="1134"/>
        <w:jc w:val="both"/>
      </w:pPr>
      <w:r>
        <w:t>4.</w:t>
      </w:r>
      <w:r>
        <w:tab/>
      </w:r>
      <w:r w:rsidR="00AD5C88">
        <w:t>As stated in the report from the 103</w:t>
      </w:r>
      <w:r w:rsidR="00AD5C88" w:rsidRPr="00375534">
        <w:rPr>
          <w:vertAlign w:val="superscript"/>
        </w:rPr>
        <w:t>rd</w:t>
      </w:r>
      <w:r w:rsidR="00AD5C88">
        <w:t xml:space="preserve"> session (see above), the meeting confirmed that the intention with the provisions in 9.7.4 and 9.8.3 is to require “bonding”, even though both sections refer to “earthing”. At the last session it was argued that the term “bonding” is used in other parts of ADR, and therefore might be inappropriate to use in part 9. </w:t>
      </w:r>
    </w:p>
    <w:p w:rsidR="00AD5C88" w:rsidRPr="00FE6821" w:rsidRDefault="00BA399B" w:rsidP="00AD5C88">
      <w:pPr>
        <w:spacing w:before="120" w:after="120"/>
        <w:ind w:left="1134" w:right="1134"/>
        <w:jc w:val="both"/>
      </w:pPr>
      <w:r>
        <w:t>5.</w:t>
      </w:r>
      <w:r>
        <w:tab/>
      </w:r>
      <w:r w:rsidR="00AD5C88">
        <w:t>As far as we can see, the word on</w:t>
      </w:r>
      <w:r w:rsidR="006C2261">
        <w:t>ly appears in two places in ADR:</w:t>
      </w:r>
      <w:r w:rsidR="00AD5C88">
        <w:t xml:space="preserve"> sub-section 6.1.4.18.1 concerning paper bags and sub-section 6.9.2.2.3 concerning fibre-reinforced plastic tanks. In summary, b</w:t>
      </w:r>
      <w:r w:rsidR="00AD5C88" w:rsidRPr="00FE6821">
        <w:t xml:space="preserve">oth sub-sections </w:t>
      </w:r>
      <w:proofErr w:type="gramStart"/>
      <w:r w:rsidR="00AD5C88" w:rsidRPr="00FE6821">
        <w:t>describes</w:t>
      </w:r>
      <w:proofErr w:type="gramEnd"/>
      <w:r w:rsidR="00AD5C88" w:rsidRPr="00FE6821">
        <w:t xml:space="preserve"> a manufacturing process</w:t>
      </w:r>
      <w:r w:rsidR="00AD5C88">
        <w:t xml:space="preserve"> </w:t>
      </w:r>
      <w:r w:rsidR="00AD5C88" w:rsidRPr="00FE6821">
        <w:t xml:space="preserve">and </w:t>
      </w:r>
      <w:r w:rsidR="00AD5C88">
        <w:t xml:space="preserve">the bonding of </w:t>
      </w:r>
      <w:r w:rsidR="00AD5C88" w:rsidRPr="00FE6821">
        <w:t>different materials to other layers</w:t>
      </w:r>
      <w:r w:rsidR="00AD5C88">
        <w:t xml:space="preserve"> in the same product. </w:t>
      </w:r>
    </w:p>
    <w:p w:rsidR="00AD5C88" w:rsidRPr="00C4376B" w:rsidRDefault="00BA399B" w:rsidP="00AD5C88">
      <w:pPr>
        <w:spacing w:before="120" w:after="120"/>
        <w:ind w:left="1134" w:right="1134"/>
        <w:jc w:val="both"/>
      </w:pPr>
      <w:r>
        <w:t>6.</w:t>
      </w:r>
      <w:r>
        <w:tab/>
      </w:r>
      <w:r w:rsidR="00AD5C88">
        <w:t>Sweden cannot see that using the same word, but with a different meaning, in part 9 would cause any confusion. Amending the headings would better reflect the requirements contained in sections 9.7.4 and 9.8.3.</w:t>
      </w:r>
    </w:p>
    <w:p w:rsidR="00AD5C88" w:rsidRDefault="00AD5C88" w:rsidP="00AD5C88">
      <w:pPr>
        <w:pStyle w:val="HChG"/>
        <w:rPr>
          <w:lang w:val="en-US"/>
        </w:rPr>
      </w:pPr>
      <w:r>
        <w:rPr>
          <w:lang w:val="en-US"/>
        </w:rPr>
        <w:tab/>
      </w:r>
      <w:r>
        <w:rPr>
          <w:lang w:val="en-US"/>
        </w:rPr>
        <w:tab/>
      </w:r>
      <w:r w:rsidRPr="008D62B7">
        <w:rPr>
          <w:lang w:val="en-US"/>
        </w:rPr>
        <w:t>Proposal</w:t>
      </w:r>
      <w:r>
        <w:rPr>
          <w:lang w:val="en-US"/>
        </w:rPr>
        <w:t>s</w:t>
      </w:r>
    </w:p>
    <w:p w:rsidR="00AD5C88" w:rsidRDefault="002F02F3" w:rsidP="00AD5C88">
      <w:pPr>
        <w:pStyle w:val="SingleTxtG"/>
      </w:pPr>
      <w:r>
        <w:t>7</w:t>
      </w:r>
      <w:r w:rsidR="00AD5C88">
        <w:t>.</w:t>
      </w:r>
      <w:r w:rsidR="00AD5C88">
        <w:tab/>
        <w:t>Amend the heading in section 9.7.4 as follows (changes stricken through or underlined):</w:t>
      </w:r>
    </w:p>
    <w:p w:rsidR="00AD5C88" w:rsidRDefault="00AD5C88" w:rsidP="00AD5C88">
      <w:pPr>
        <w:spacing w:before="120" w:after="120"/>
        <w:ind w:left="1134" w:right="1134"/>
        <w:jc w:val="both"/>
      </w:pPr>
      <w:r>
        <w:t xml:space="preserve">“9.7.4 </w:t>
      </w:r>
      <w:r w:rsidRPr="005A7764">
        <w:rPr>
          <w:strike/>
        </w:rPr>
        <w:t>Earthing</w:t>
      </w:r>
      <w:r>
        <w:t xml:space="preserve"> </w:t>
      </w:r>
      <w:r w:rsidRPr="005A7764">
        <w:rPr>
          <w:u w:val="single"/>
        </w:rPr>
        <w:t>Bonding</w:t>
      </w:r>
      <w:r>
        <w:t xml:space="preserve"> of FL vehicles”</w:t>
      </w:r>
    </w:p>
    <w:p w:rsidR="00AD5C88" w:rsidRDefault="002F02F3" w:rsidP="00AD5C88">
      <w:pPr>
        <w:pStyle w:val="SingleTxtG"/>
      </w:pPr>
      <w:r>
        <w:t>8</w:t>
      </w:r>
      <w:r w:rsidR="00AD5C88">
        <w:t>.</w:t>
      </w:r>
      <w:r w:rsidR="00AD5C88">
        <w:tab/>
        <w:t>Amend the heading in section 9.8.3 as follows (changes stricken through or underlined):</w:t>
      </w:r>
    </w:p>
    <w:p w:rsidR="00AD5C88" w:rsidRDefault="00AD5C88" w:rsidP="00AD5C88">
      <w:pPr>
        <w:spacing w:before="120" w:after="120"/>
        <w:ind w:left="1134" w:right="1134"/>
        <w:jc w:val="both"/>
      </w:pPr>
      <w:r>
        <w:t xml:space="preserve">“9.8.3 </w:t>
      </w:r>
      <w:r w:rsidRPr="005A7764">
        <w:rPr>
          <w:strike/>
        </w:rPr>
        <w:t>Earthing</w:t>
      </w:r>
      <w:r>
        <w:t xml:space="preserve"> </w:t>
      </w:r>
      <w:r w:rsidRPr="005A7764">
        <w:rPr>
          <w:u w:val="single"/>
        </w:rPr>
        <w:t>Bonding</w:t>
      </w:r>
      <w:r>
        <w:t xml:space="preserve"> of MEMUs”</w:t>
      </w:r>
    </w:p>
    <w:p w:rsidR="00AD5C88" w:rsidRPr="00042424" w:rsidRDefault="00AD5C88" w:rsidP="00AD5C88">
      <w:pPr>
        <w:spacing w:before="120" w:after="120"/>
        <w:ind w:left="1134" w:right="1134"/>
        <w:jc w:val="both"/>
        <w:rPr>
          <w:u w:val="single"/>
        </w:rPr>
      </w:pPr>
      <w:r w:rsidRPr="00042424">
        <w:rPr>
          <w:u w:val="single"/>
        </w:rPr>
        <w:t>Alternative proposals:</w:t>
      </w:r>
    </w:p>
    <w:p w:rsidR="00AD5C88" w:rsidRDefault="002F02F3" w:rsidP="00AD5C88">
      <w:pPr>
        <w:pStyle w:val="SingleTxtG"/>
      </w:pPr>
      <w:r>
        <w:t>9</w:t>
      </w:r>
      <w:r w:rsidR="00AD5C88">
        <w:t>.</w:t>
      </w:r>
      <w:r w:rsidR="00AD5C88">
        <w:tab/>
        <w:t>Amend the heading in section 9.7.4 as follows (changes stricken through or underlined):</w:t>
      </w:r>
    </w:p>
    <w:p w:rsidR="00AD5C88" w:rsidRDefault="00AD5C88" w:rsidP="00AD5C88">
      <w:pPr>
        <w:spacing w:before="120" w:after="120"/>
        <w:ind w:left="1134" w:right="1134"/>
        <w:jc w:val="both"/>
      </w:pPr>
      <w:r>
        <w:t xml:space="preserve">“9.7.4 </w:t>
      </w:r>
      <w:r w:rsidRPr="005A7764">
        <w:rPr>
          <w:strike/>
        </w:rPr>
        <w:t>Earthing</w:t>
      </w:r>
      <w:r>
        <w:t xml:space="preserve"> </w:t>
      </w:r>
      <w:r>
        <w:rPr>
          <w:u w:val="single"/>
        </w:rPr>
        <w:t>Electrical b</w:t>
      </w:r>
      <w:r w:rsidRPr="005A7764">
        <w:rPr>
          <w:u w:val="single"/>
        </w:rPr>
        <w:t>onding</w:t>
      </w:r>
      <w:r>
        <w:t xml:space="preserve"> of FL vehicles”</w:t>
      </w:r>
    </w:p>
    <w:p w:rsidR="00AD5C88" w:rsidRDefault="002F02F3" w:rsidP="00AD5C88">
      <w:pPr>
        <w:pStyle w:val="SingleTxtG"/>
      </w:pPr>
      <w:r>
        <w:t>10</w:t>
      </w:r>
      <w:r w:rsidR="00AD5C88">
        <w:t>.</w:t>
      </w:r>
      <w:r w:rsidR="00AD5C88">
        <w:tab/>
        <w:t>Amend the heading in section 9.8.3 as follows (changes stricken through or underlined):</w:t>
      </w:r>
    </w:p>
    <w:p w:rsidR="00AD5C88" w:rsidRDefault="00AD5C88" w:rsidP="00AD5C88">
      <w:pPr>
        <w:spacing w:before="120" w:after="120"/>
        <w:ind w:left="1134" w:right="1134"/>
        <w:jc w:val="both"/>
      </w:pPr>
      <w:r>
        <w:t xml:space="preserve">“9.8.3 </w:t>
      </w:r>
      <w:r w:rsidRPr="005A7764">
        <w:rPr>
          <w:strike/>
        </w:rPr>
        <w:t>Earthing</w:t>
      </w:r>
      <w:r>
        <w:t xml:space="preserve"> </w:t>
      </w:r>
      <w:r>
        <w:rPr>
          <w:u w:val="single"/>
        </w:rPr>
        <w:t>Electrical b</w:t>
      </w:r>
      <w:r w:rsidRPr="005A7764">
        <w:rPr>
          <w:u w:val="single"/>
        </w:rPr>
        <w:t>onding</w:t>
      </w:r>
      <w:r>
        <w:t xml:space="preserve"> of MEMUs”</w:t>
      </w:r>
    </w:p>
    <w:p w:rsidR="00AD5C88" w:rsidRPr="00402544" w:rsidRDefault="00AD5C88" w:rsidP="00AD5C88">
      <w:pPr>
        <w:pStyle w:val="HChG"/>
        <w:rPr>
          <w:lang w:val="en-US"/>
        </w:rPr>
      </w:pPr>
      <w:r>
        <w:rPr>
          <w:lang w:val="en-US"/>
        </w:rPr>
        <w:lastRenderedPageBreak/>
        <w:tab/>
      </w:r>
      <w:r>
        <w:rPr>
          <w:lang w:val="en-US"/>
        </w:rPr>
        <w:tab/>
      </w:r>
      <w:r w:rsidRPr="00402544">
        <w:rPr>
          <w:lang w:val="en-US"/>
        </w:rPr>
        <w:t>Feasibility</w:t>
      </w:r>
    </w:p>
    <w:p w:rsidR="00AD5C88" w:rsidRDefault="00AD5C88" w:rsidP="00AD5C88">
      <w:pPr>
        <w:pStyle w:val="SingleTxtG"/>
      </w:pPr>
      <w:r>
        <w:t>No problems are foreseen.</w:t>
      </w:r>
    </w:p>
    <w:p w:rsidR="00AD5C88" w:rsidRPr="00AD5C88" w:rsidRDefault="00AD5C88" w:rsidP="00AD5C88">
      <w:pPr>
        <w:pStyle w:val="SingleTxtG"/>
        <w:spacing w:before="240" w:after="0"/>
        <w:jc w:val="center"/>
        <w:rPr>
          <w:u w:val="single"/>
        </w:rPr>
      </w:pPr>
      <w:r>
        <w:rPr>
          <w:u w:val="single"/>
        </w:rPr>
        <w:tab/>
      </w:r>
      <w:r>
        <w:rPr>
          <w:u w:val="single"/>
        </w:rPr>
        <w:tab/>
      </w:r>
      <w:r>
        <w:rPr>
          <w:u w:val="single"/>
        </w:rPr>
        <w:tab/>
      </w:r>
    </w:p>
    <w:sectPr w:rsidR="00AD5C88" w:rsidRPr="00AD5C88"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312068">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A07946">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39594A" w:rsidRDefault="00AD5C88" w:rsidP="00DD40F2">
      <w:pPr>
        <w:pStyle w:val="FootnoteText"/>
        <w:tabs>
          <w:tab w:val="clear" w:pos="1021"/>
        </w:tabs>
        <w:ind w:left="1418" w:right="1260" w:hanging="284"/>
        <w:jc w:val="both"/>
      </w:pPr>
      <w:r w:rsidRPr="00C634A6">
        <w:rPr>
          <w:rStyle w:val="FootnoteReference"/>
          <w:sz w:val="20"/>
        </w:rPr>
        <w:sym w:font="Symbol" w:char="F02A"/>
      </w:r>
      <w:r>
        <w:tab/>
      </w:r>
      <w:r w:rsidR="00311373">
        <w:rPr>
          <w:color w:val="000000"/>
          <w:lang w:val="en-US" w:eastAsia="en-GB"/>
        </w:rPr>
        <w:t xml:space="preserve">In accordance with the draft </w:t>
      </w:r>
      <w:proofErr w:type="spellStart"/>
      <w:r w:rsidR="00311373">
        <w:rPr>
          <w:color w:val="000000"/>
          <w:lang w:val="en-US" w:eastAsia="en-GB"/>
        </w:rPr>
        <w:t>programme</w:t>
      </w:r>
      <w:proofErr w:type="spellEnd"/>
      <w:r w:rsidR="00311373">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pPr>
    <w:r w:rsidRPr="001330DE">
      <w:t>ECE/TRANS/WP.15/201</w:t>
    </w:r>
    <w:r w:rsidR="00775BA6">
      <w:t>8</w:t>
    </w:r>
    <w:r w:rsidRPr="001330D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jc w:val="right"/>
    </w:pPr>
    <w:r w:rsidRPr="001330DE">
      <w:t>ECE/TRANS/WP.15/201</w:t>
    </w:r>
    <w:r w:rsidR="00AD5C88">
      <w:t>8</w:t>
    </w:r>
    <w:r w:rsidRPr="001330D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C6663"/>
    <w:rsid w:val="001C7895"/>
    <w:rsid w:val="001C7B8E"/>
    <w:rsid w:val="001D0C8C"/>
    <w:rsid w:val="001D1419"/>
    <w:rsid w:val="001D26DF"/>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D4643"/>
    <w:rsid w:val="002F02F3"/>
    <w:rsid w:val="002F175C"/>
    <w:rsid w:val="00302E18"/>
    <w:rsid w:val="00311373"/>
    <w:rsid w:val="00312068"/>
    <w:rsid w:val="003229D8"/>
    <w:rsid w:val="00352709"/>
    <w:rsid w:val="003639E8"/>
    <w:rsid w:val="00363F9A"/>
    <w:rsid w:val="00364574"/>
    <w:rsid w:val="00371178"/>
    <w:rsid w:val="0038358B"/>
    <w:rsid w:val="0039594A"/>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2261"/>
    <w:rsid w:val="006C3589"/>
    <w:rsid w:val="006D2148"/>
    <w:rsid w:val="006D266F"/>
    <w:rsid w:val="006D37AF"/>
    <w:rsid w:val="006D51D0"/>
    <w:rsid w:val="006E564B"/>
    <w:rsid w:val="006E7191"/>
    <w:rsid w:val="00703577"/>
    <w:rsid w:val="00705894"/>
    <w:rsid w:val="0072632A"/>
    <w:rsid w:val="007327D5"/>
    <w:rsid w:val="007629C8"/>
    <w:rsid w:val="0077047D"/>
    <w:rsid w:val="00775BA6"/>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40F93"/>
    <w:rsid w:val="009471BA"/>
    <w:rsid w:val="009760F3"/>
    <w:rsid w:val="009872AB"/>
    <w:rsid w:val="009A0E8D"/>
    <w:rsid w:val="009B26E7"/>
    <w:rsid w:val="00A00A3F"/>
    <w:rsid w:val="00A01489"/>
    <w:rsid w:val="00A07946"/>
    <w:rsid w:val="00A3026E"/>
    <w:rsid w:val="00A338F1"/>
    <w:rsid w:val="00A50DEE"/>
    <w:rsid w:val="00A72F22"/>
    <w:rsid w:val="00A7360F"/>
    <w:rsid w:val="00A748A6"/>
    <w:rsid w:val="00A769F4"/>
    <w:rsid w:val="00A776B4"/>
    <w:rsid w:val="00A94361"/>
    <w:rsid w:val="00AA293C"/>
    <w:rsid w:val="00AD5C88"/>
    <w:rsid w:val="00AE6AC4"/>
    <w:rsid w:val="00B30179"/>
    <w:rsid w:val="00B31E80"/>
    <w:rsid w:val="00B421C1"/>
    <w:rsid w:val="00B54192"/>
    <w:rsid w:val="00B55C71"/>
    <w:rsid w:val="00B56E4A"/>
    <w:rsid w:val="00B56E9C"/>
    <w:rsid w:val="00B64B1F"/>
    <w:rsid w:val="00B6553F"/>
    <w:rsid w:val="00B77D05"/>
    <w:rsid w:val="00B81206"/>
    <w:rsid w:val="00B81E12"/>
    <w:rsid w:val="00B9042E"/>
    <w:rsid w:val="00BA399B"/>
    <w:rsid w:val="00BC3FA0"/>
    <w:rsid w:val="00BC74E9"/>
    <w:rsid w:val="00BD186E"/>
    <w:rsid w:val="00BE0515"/>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E0C77"/>
    <w:rsid w:val="00CE4A8F"/>
    <w:rsid w:val="00CE6A6D"/>
    <w:rsid w:val="00CF49FD"/>
    <w:rsid w:val="00D2031B"/>
    <w:rsid w:val="00D25FE2"/>
    <w:rsid w:val="00D43252"/>
    <w:rsid w:val="00D47EEA"/>
    <w:rsid w:val="00D6286A"/>
    <w:rsid w:val="00D773DF"/>
    <w:rsid w:val="00D77865"/>
    <w:rsid w:val="00D94296"/>
    <w:rsid w:val="00D95303"/>
    <w:rsid w:val="00D978C6"/>
    <w:rsid w:val="00DA3C1C"/>
    <w:rsid w:val="00DD40F2"/>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1745"/>
    <o:shapelayout v:ext="edit">
      <o:idmap v:ext="edit" data="1"/>
    </o:shapelayout>
  </w:shapeDefaults>
  <w:decimalSymbol w:val="."/>
  <w:listSeparator w:val=","/>
  <w14:docId w14:val="4AC753D9"/>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1F19-9758-487F-8F3D-6BB373C4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599</Words>
  <Characters>3418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12</cp:revision>
  <cp:lastPrinted>2017-02-13T14:39:00Z</cp:lastPrinted>
  <dcterms:created xsi:type="dcterms:W3CDTF">2018-02-19T10:14:00Z</dcterms:created>
  <dcterms:modified xsi:type="dcterms:W3CDTF">2018-02-28T10:27:00Z</dcterms:modified>
</cp:coreProperties>
</file>