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4446E" w:rsidTr="00C97039">
        <w:trPr>
          <w:trHeight w:hRule="exact" w:val="851"/>
        </w:trPr>
        <w:tc>
          <w:tcPr>
            <w:tcW w:w="1276" w:type="dxa"/>
            <w:tcBorders>
              <w:bottom w:val="single" w:sz="4" w:space="0" w:color="auto"/>
            </w:tcBorders>
          </w:tcPr>
          <w:p w:rsidR="00F35BAF" w:rsidRPr="0034446E" w:rsidRDefault="00F35BAF" w:rsidP="00D40143">
            <w:bookmarkStart w:id="0" w:name="_GoBack"/>
            <w:bookmarkEnd w:id="0"/>
          </w:p>
        </w:tc>
        <w:tc>
          <w:tcPr>
            <w:tcW w:w="2268" w:type="dxa"/>
            <w:tcBorders>
              <w:bottom w:val="single" w:sz="4" w:space="0" w:color="auto"/>
            </w:tcBorders>
            <w:vAlign w:val="bottom"/>
          </w:tcPr>
          <w:p w:rsidR="00F35BAF" w:rsidRPr="0034446E" w:rsidRDefault="00F35BAF" w:rsidP="00C97039">
            <w:pPr>
              <w:spacing w:after="80" w:line="300" w:lineRule="exact"/>
              <w:rPr>
                <w:sz w:val="28"/>
              </w:rPr>
            </w:pPr>
            <w:r w:rsidRPr="0034446E">
              <w:rPr>
                <w:sz w:val="28"/>
              </w:rPr>
              <w:t>Nations Unies</w:t>
            </w:r>
          </w:p>
        </w:tc>
        <w:tc>
          <w:tcPr>
            <w:tcW w:w="6095" w:type="dxa"/>
            <w:gridSpan w:val="2"/>
            <w:tcBorders>
              <w:bottom w:val="single" w:sz="4" w:space="0" w:color="auto"/>
            </w:tcBorders>
            <w:vAlign w:val="bottom"/>
          </w:tcPr>
          <w:p w:rsidR="00F35BAF" w:rsidRPr="0034446E" w:rsidRDefault="00D40143" w:rsidP="00D40143">
            <w:pPr>
              <w:jc w:val="right"/>
            </w:pPr>
            <w:r w:rsidRPr="0034446E">
              <w:rPr>
                <w:sz w:val="40"/>
              </w:rPr>
              <w:t>ECE</w:t>
            </w:r>
            <w:r w:rsidRPr="0034446E">
              <w:t>/TRANS/WP.15/2018/1</w:t>
            </w:r>
          </w:p>
        </w:tc>
      </w:tr>
      <w:tr w:rsidR="00F35BAF" w:rsidRPr="0034446E" w:rsidTr="00C97039">
        <w:trPr>
          <w:trHeight w:hRule="exact" w:val="2835"/>
        </w:trPr>
        <w:tc>
          <w:tcPr>
            <w:tcW w:w="1276" w:type="dxa"/>
            <w:tcBorders>
              <w:top w:val="single" w:sz="4" w:space="0" w:color="auto"/>
              <w:bottom w:val="single" w:sz="12" w:space="0" w:color="auto"/>
            </w:tcBorders>
          </w:tcPr>
          <w:p w:rsidR="00F35BAF" w:rsidRPr="0034446E" w:rsidRDefault="00F35BAF" w:rsidP="00C97039">
            <w:pPr>
              <w:spacing w:before="120"/>
              <w:jc w:val="center"/>
            </w:pPr>
            <w:r w:rsidRPr="0034446E">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4446E" w:rsidRDefault="00F35BAF" w:rsidP="00C97039">
            <w:pPr>
              <w:spacing w:before="120" w:line="420" w:lineRule="exact"/>
              <w:rPr>
                <w:b/>
                <w:sz w:val="40"/>
                <w:szCs w:val="40"/>
              </w:rPr>
            </w:pPr>
            <w:r w:rsidRPr="0034446E">
              <w:rPr>
                <w:b/>
                <w:sz w:val="40"/>
                <w:szCs w:val="40"/>
              </w:rPr>
              <w:t>Conseil économique et social</w:t>
            </w:r>
          </w:p>
        </w:tc>
        <w:tc>
          <w:tcPr>
            <w:tcW w:w="2835" w:type="dxa"/>
            <w:tcBorders>
              <w:top w:val="single" w:sz="4" w:space="0" w:color="auto"/>
              <w:bottom w:val="single" w:sz="12" w:space="0" w:color="auto"/>
            </w:tcBorders>
          </w:tcPr>
          <w:p w:rsidR="00F35BAF" w:rsidRPr="0034446E" w:rsidRDefault="00D40143" w:rsidP="00C97039">
            <w:pPr>
              <w:spacing w:before="240"/>
            </w:pPr>
            <w:r w:rsidRPr="0034446E">
              <w:t>Distr. générale</w:t>
            </w:r>
          </w:p>
          <w:p w:rsidR="00D40143" w:rsidRPr="0034446E" w:rsidRDefault="00D40143" w:rsidP="00D40143">
            <w:pPr>
              <w:spacing w:line="240" w:lineRule="exact"/>
            </w:pPr>
            <w:r w:rsidRPr="0034446E">
              <w:t>28 février 2018</w:t>
            </w:r>
          </w:p>
          <w:p w:rsidR="00D40143" w:rsidRPr="0034446E" w:rsidRDefault="00D40143" w:rsidP="00D40143">
            <w:pPr>
              <w:spacing w:line="240" w:lineRule="exact"/>
            </w:pPr>
            <w:r w:rsidRPr="0034446E">
              <w:t>Français</w:t>
            </w:r>
          </w:p>
          <w:p w:rsidR="00D40143" w:rsidRPr="0034446E" w:rsidRDefault="00D40143" w:rsidP="00D40143">
            <w:pPr>
              <w:spacing w:line="240" w:lineRule="exact"/>
            </w:pPr>
            <w:r w:rsidRPr="0034446E">
              <w:t>Original : anglais</w:t>
            </w:r>
          </w:p>
        </w:tc>
      </w:tr>
    </w:tbl>
    <w:p w:rsidR="007F20FA" w:rsidRPr="0034446E" w:rsidRDefault="007F20FA" w:rsidP="007F20FA">
      <w:pPr>
        <w:spacing w:before="120"/>
        <w:rPr>
          <w:b/>
          <w:sz w:val="28"/>
          <w:szCs w:val="28"/>
        </w:rPr>
      </w:pPr>
      <w:r w:rsidRPr="0034446E">
        <w:rPr>
          <w:b/>
          <w:sz w:val="28"/>
          <w:szCs w:val="28"/>
        </w:rPr>
        <w:t>Commission économique pour l’Europe</w:t>
      </w:r>
    </w:p>
    <w:p w:rsidR="007F20FA" w:rsidRPr="0034446E" w:rsidRDefault="007F20FA" w:rsidP="007F20FA">
      <w:pPr>
        <w:spacing w:before="120"/>
        <w:rPr>
          <w:sz w:val="28"/>
          <w:szCs w:val="28"/>
        </w:rPr>
      </w:pPr>
      <w:r w:rsidRPr="0034446E">
        <w:rPr>
          <w:sz w:val="28"/>
          <w:szCs w:val="28"/>
        </w:rPr>
        <w:t>Comité des transports intérieurs</w:t>
      </w:r>
    </w:p>
    <w:p w:rsidR="00D40143" w:rsidRPr="0034446E" w:rsidRDefault="00D40143" w:rsidP="00E85C74">
      <w:pPr>
        <w:spacing w:before="120"/>
        <w:rPr>
          <w:b/>
          <w:sz w:val="24"/>
          <w:szCs w:val="24"/>
        </w:rPr>
      </w:pPr>
      <w:r w:rsidRPr="0034446E">
        <w:rPr>
          <w:b/>
          <w:sz w:val="24"/>
          <w:szCs w:val="24"/>
        </w:rPr>
        <w:t>Groupe de travail des transports de marchandises dangereuses</w:t>
      </w:r>
    </w:p>
    <w:p w:rsidR="00D40143" w:rsidRPr="0034446E" w:rsidRDefault="00D40143" w:rsidP="00D40143">
      <w:pPr>
        <w:spacing w:before="120"/>
        <w:rPr>
          <w:rFonts w:eastAsia="SimSun"/>
          <w:b/>
        </w:rPr>
      </w:pPr>
      <w:r w:rsidRPr="0034446E">
        <w:rPr>
          <w:rFonts w:eastAsia="SimSun"/>
          <w:b/>
        </w:rPr>
        <w:t>104</w:t>
      </w:r>
      <w:r w:rsidRPr="0034446E">
        <w:rPr>
          <w:rFonts w:eastAsia="SimSun"/>
          <w:b/>
          <w:vertAlign w:val="superscript"/>
        </w:rPr>
        <w:t>e</w:t>
      </w:r>
      <w:r w:rsidRPr="0034446E">
        <w:rPr>
          <w:rFonts w:eastAsia="SimSun"/>
          <w:b/>
        </w:rPr>
        <w:t xml:space="preserve"> session </w:t>
      </w:r>
    </w:p>
    <w:p w:rsidR="00D40143" w:rsidRPr="0034446E" w:rsidRDefault="00D40143" w:rsidP="00D40143">
      <w:pPr>
        <w:rPr>
          <w:rFonts w:eastAsia="SimSun"/>
        </w:rPr>
      </w:pPr>
      <w:r w:rsidRPr="0034446E">
        <w:rPr>
          <w:rFonts w:eastAsia="SimSun"/>
        </w:rPr>
        <w:t>Genève, 15</w:t>
      </w:r>
      <w:r w:rsidR="00AE4DD8">
        <w:rPr>
          <w:rFonts w:eastAsia="SimSun"/>
        </w:rPr>
        <w:t>-</w:t>
      </w:r>
      <w:r w:rsidRPr="0034446E">
        <w:rPr>
          <w:rFonts w:eastAsia="SimSun"/>
        </w:rPr>
        <w:t xml:space="preserve">17 </w:t>
      </w:r>
      <w:r w:rsidR="00DF3164">
        <w:rPr>
          <w:rFonts w:eastAsia="SimSun"/>
        </w:rPr>
        <w:t>Mai 2018</w:t>
      </w:r>
    </w:p>
    <w:p w:rsidR="00D40143" w:rsidRPr="0034446E" w:rsidRDefault="00D40143" w:rsidP="00D40143">
      <w:r w:rsidRPr="0034446E">
        <w:rPr>
          <w:rFonts w:eastAsia="SimSun"/>
        </w:rPr>
        <w:t xml:space="preserve">Point </w:t>
      </w:r>
      <w:r w:rsidRPr="0034446E">
        <w:t>5 (b) de l’ordre du jour provisoire</w:t>
      </w:r>
    </w:p>
    <w:p w:rsidR="00D40143" w:rsidRPr="0034446E" w:rsidRDefault="00D40143" w:rsidP="00D40143">
      <w:pPr>
        <w:outlineLvl w:val="0"/>
        <w:rPr>
          <w:b/>
          <w:bCs/>
        </w:rPr>
      </w:pPr>
      <w:r w:rsidRPr="0034446E">
        <w:rPr>
          <w:b/>
          <w:bCs/>
        </w:rPr>
        <w:t>Propositions d’amendements aux annexes A et B de l’ADR :</w:t>
      </w:r>
    </w:p>
    <w:p w:rsidR="00D40143" w:rsidRPr="0034446E" w:rsidRDefault="00D40143" w:rsidP="00D40143">
      <w:pPr>
        <w:rPr>
          <w:b/>
          <w:bCs/>
        </w:rPr>
      </w:pPr>
      <w:r w:rsidRPr="0034446E">
        <w:rPr>
          <w:b/>
          <w:bCs/>
          <w:szCs w:val="24"/>
        </w:rPr>
        <w:t>Propositions diverses</w:t>
      </w:r>
    </w:p>
    <w:p w:rsidR="00D40143" w:rsidRPr="0034446E" w:rsidRDefault="00D40143" w:rsidP="0034446E">
      <w:pPr>
        <w:pStyle w:val="HChG"/>
        <w:tabs>
          <w:tab w:val="left" w:pos="1985"/>
        </w:tabs>
        <w:rPr>
          <w:sz w:val="20"/>
        </w:rPr>
      </w:pPr>
      <w:r w:rsidRPr="0034446E">
        <w:tab/>
      </w:r>
      <w:r w:rsidRPr="0034446E">
        <w:tab/>
      </w:r>
      <w:r w:rsidR="0034446E">
        <w:t xml:space="preserve">9.7.4 </w:t>
      </w:r>
      <w:r w:rsidRPr="0034446E">
        <w:t>Mise à la terre des véhicules FL et 9.8.3 Mise à la terre des MEMUs</w:t>
      </w:r>
    </w:p>
    <w:p w:rsidR="00F9573C" w:rsidRPr="0034446E" w:rsidRDefault="00D40143" w:rsidP="00D40143">
      <w:pPr>
        <w:pStyle w:val="H1G"/>
        <w:rPr>
          <w:b w:val="0"/>
          <w:sz w:val="20"/>
        </w:rPr>
      </w:pPr>
      <w:r w:rsidRPr="0034446E">
        <w:rPr>
          <w:sz w:val="20"/>
        </w:rPr>
        <w:tab/>
      </w:r>
      <w:r w:rsidRPr="0034446E">
        <w:rPr>
          <w:sz w:val="20"/>
        </w:rPr>
        <w:tab/>
      </w:r>
      <w:r w:rsidRPr="0034446E">
        <w:t>Communication du Gouvernement de la Suède</w:t>
      </w:r>
      <w:r w:rsidRPr="0034446E">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D40143" w:rsidRPr="0034446E" w:rsidTr="00216E0F">
        <w:trPr>
          <w:jc w:val="center"/>
        </w:trPr>
        <w:tc>
          <w:tcPr>
            <w:tcW w:w="9637" w:type="dxa"/>
            <w:shd w:val="clear" w:color="auto" w:fill="auto"/>
          </w:tcPr>
          <w:p w:rsidR="00D40143" w:rsidRPr="0034446E" w:rsidRDefault="00D40143" w:rsidP="00216E0F">
            <w:pPr>
              <w:spacing w:before="240" w:after="120"/>
              <w:ind w:left="255"/>
              <w:rPr>
                <w:i/>
                <w:sz w:val="24"/>
              </w:rPr>
            </w:pPr>
            <w:r w:rsidRPr="0034446E">
              <w:rPr>
                <w:i/>
                <w:sz w:val="24"/>
              </w:rPr>
              <w:t>Résumé</w:t>
            </w:r>
          </w:p>
        </w:tc>
      </w:tr>
      <w:tr w:rsidR="00D40143" w:rsidRPr="0034446E" w:rsidTr="00216E0F">
        <w:trPr>
          <w:jc w:val="center"/>
        </w:trPr>
        <w:tc>
          <w:tcPr>
            <w:tcW w:w="9637" w:type="dxa"/>
            <w:shd w:val="clear" w:color="auto" w:fill="auto"/>
          </w:tcPr>
          <w:p w:rsidR="00D40143" w:rsidRPr="0034446E" w:rsidRDefault="00D40143" w:rsidP="009E6742">
            <w:pPr>
              <w:pStyle w:val="SingleTxtG"/>
              <w:ind w:left="2523" w:hanging="2268"/>
            </w:pPr>
            <w:r w:rsidRPr="0034446E">
              <w:rPr>
                <w:b/>
                <w:szCs w:val="22"/>
              </w:rPr>
              <w:t>Résumé analytique</w:t>
            </w:r>
            <w:r w:rsidRPr="0034446E">
              <w:rPr>
                <w:szCs w:val="22"/>
              </w:rPr>
              <w:t> :</w:t>
            </w:r>
            <w:r w:rsidRPr="0034446E">
              <w:tab/>
              <w:t>Les sections 9.7.4 and 9.8.3 contiennent des dispositions concernant les liaisons électriques entre, d’une part, le châssis et, d’autre part, les citernes, les éléments des batteries, les conteneurs pour vrac ou les compartiments spéciaux pour colis. Il s’agit d’une liaison électrique plutôt que d’une mise à la terre comme indiqué dans le titre.</w:t>
            </w:r>
          </w:p>
        </w:tc>
      </w:tr>
      <w:tr w:rsidR="00D40143" w:rsidRPr="0034446E" w:rsidTr="00216E0F">
        <w:trPr>
          <w:jc w:val="center"/>
        </w:trPr>
        <w:tc>
          <w:tcPr>
            <w:tcW w:w="9637" w:type="dxa"/>
            <w:shd w:val="clear" w:color="auto" w:fill="auto"/>
          </w:tcPr>
          <w:p w:rsidR="00D40143" w:rsidRPr="0034446E" w:rsidRDefault="00D40143" w:rsidP="009E6742">
            <w:pPr>
              <w:pStyle w:val="SingleTxtG"/>
              <w:ind w:left="2523" w:hanging="2268"/>
            </w:pPr>
            <w:r w:rsidRPr="0034446E">
              <w:rPr>
                <w:b/>
                <w:szCs w:val="22"/>
              </w:rPr>
              <w:t>Mesure à prendre</w:t>
            </w:r>
            <w:r w:rsidRPr="0034446E">
              <w:rPr>
                <w:szCs w:val="22"/>
              </w:rPr>
              <w:t> :</w:t>
            </w:r>
            <w:r w:rsidRPr="0034446E">
              <w:tab/>
              <w:t>Modifier les titres des sections 9.7.4 and 9.8.3.</w:t>
            </w:r>
          </w:p>
        </w:tc>
      </w:tr>
      <w:tr w:rsidR="00D40143" w:rsidRPr="0034446E" w:rsidTr="00216E0F">
        <w:trPr>
          <w:jc w:val="center"/>
        </w:trPr>
        <w:tc>
          <w:tcPr>
            <w:tcW w:w="9637" w:type="dxa"/>
            <w:shd w:val="clear" w:color="auto" w:fill="auto"/>
          </w:tcPr>
          <w:p w:rsidR="00D40143" w:rsidRPr="0034446E" w:rsidRDefault="00D40143" w:rsidP="009E6742">
            <w:pPr>
              <w:pStyle w:val="SingleTxtG"/>
              <w:ind w:left="2523" w:hanging="2268"/>
            </w:pPr>
            <w:r w:rsidRPr="0034446E">
              <w:rPr>
                <w:b/>
                <w:szCs w:val="22"/>
              </w:rPr>
              <w:t>Documents de référence</w:t>
            </w:r>
            <w:r w:rsidRPr="0034446E">
              <w:rPr>
                <w:bCs/>
                <w:szCs w:val="22"/>
              </w:rPr>
              <w:t> :</w:t>
            </w:r>
            <w:r w:rsidRPr="0034446E">
              <w:rPr>
                <w:b/>
                <w:szCs w:val="22"/>
              </w:rPr>
              <w:tab/>
            </w:r>
            <w:r w:rsidRPr="0034446E">
              <w:t>Document INF.4 soumis à la 103</w:t>
            </w:r>
            <w:r w:rsidRPr="0034446E">
              <w:rPr>
                <w:vertAlign w:val="superscript"/>
              </w:rPr>
              <w:t>e</w:t>
            </w:r>
            <w:r w:rsidRPr="0034446E">
              <w:t> session du Groupe de travail et document ECE/TRANS/WP.15/239, par. 59 et 60.</w:t>
            </w:r>
          </w:p>
        </w:tc>
      </w:tr>
      <w:tr w:rsidR="00D40143" w:rsidRPr="0034446E" w:rsidTr="00216E0F">
        <w:trPr>
          <w:jc w:val="center"/>
        </w:trPr>
        <w:tc>
          <w:tcPr>
            <w:tcW w:w="9637" w:type="dxa"/>
            <w:shd w:val="clear" w:color="auto" w:fill="auto"/>
          </w:tcPr>
          <w:p w:rsidR="00D40143" w:rsidRPr="0034446E" w:rsidRDefault="00D40143" w:rsidP="00216E0F"/>
        </w:tc>
      </w:tr>
    </w:tbl>
    <w:p w:rsidR="00D40143" w:rsidRPr="0034446E" w:rsidRDefault="00D40143" w:rsidP="009E6742">
      <w:pPr>
        <w:pStyle w:val="HChG"/>
      </w:pPr>
      <w:r w:rsidRPr="0034446E">
        <w:tab/>
      </w:r>
      <w:r w:rsidRPr="0034446E">
        <w:tab/>
        <w:t>Introduction</w:t>
      </w:r>
    </w:p>
    <w:p w:rsidR="00D40143" w:rsidRPr="0034446E" w:rsidRDefault="00D40143" w:rsidP="00D40143">
      <w:pPr>
        <w:pStyle w:val="SingleTxtG"/>
      </w:pPr>
      <w:r w:rsidRPr="0034446E">
        <w:t>1.</w:t>
      </w:r>
      <w:r w:rsidRPr="0034446E">
        <w:tab/>
        <w:t>À la 103</w:t>
      </w:r>
      <w:r w:rsidRPr="0034446E">
        <w:rPr>
          <w:vertAlign w:val="superscript"/>
        </w:rPr>
        <w:t>e</w:t>
      </w:r>
      <w:r w:rsidR="0034446E">
        <w:t> </w:t>
      </w:r>
      <w:r w:rsidRPr="0034446E">
        <w:t>session du Groupe de travail, en novembre 2017, la Suède a soulevé une question (voir document INF.4 soumis à la 103</w:t>
      </w:r>
      <w:r w:rsidRPr="0034446E">
        <w:rPr>
          <w:vertAlign w:val="superscript"/>
        </w:rPr>
        <w:t>e</w:t>
      </w:r>
      <w:r w:rsidR="0034446E">
        <w:t> </w:t>
      </w:r>
      <w:r w:rsidRPr="0034446E">
        <w:t xml:space="preserve">session) concernant les différents termes utilisés dans l’ADR pour décrire les liaisons électriques dans les prescriptions concernant les précautions à prendre contre les phénomènes électrostatiques. Le présent document a pour objet de préciser ce que donnent à entendre les différentes sections. </w:t>
      </w:r>
    </w:p>
    <w:p w:rsidR="00D40143" w:rsidRPr="0034446E" w:rsidRDefault="00D40143" w:rsidP="009E6742">
      <w:pPr>
        <w:pStyle w:val="SingleTxtG"/>
        <w:keepNext/>
        <w:keepLines/>
      </w:pPr>
      <w:r w:rsidRPr="0034446E">
        <w:lastRenderedPageBreak/>
        <w:t>2.</w:t>
      </w:r>
      <w:r w:rsidRPr="0034446E">
        <w:tab/>
        <w:t>La 103</w:t>
      </w:r>
      <w:r w:rsidRPr="0034446E">
        <w:rPr>
          <w:vertAlign w:val="superscript"/>
        </w:rPr>
        <w:t>e</w:t>
      </w:r>
      <w:r w:rsidR="0034446E">
        <w:t> </w:t>
      </w:r>
      <w:r w:rsidRPr="0034446E">
        <w:t>session est parvenue aux conclusions suivantes (extrait du rapport)</w:t>
      </w:r>
      <w:r w:rsidR="0034446E">
        <w:t> </w:t>
      </w:r>
      <w:r w:rsidRPr="0034446E">
        <w:t>:</w:t>
      </w:r>
    </w:p>
    <w:p w:rsidR="00D40143" w:rsidRPr="0034446E" w:rsidRDefault="00D40143" w:rsidP="00D40143">
      <w:pPr>
        <w:spacing w:before="120" w:after="120"/>
        <w:ind w:left="1134" w:right="1134"/>
        <w:jc w:val="both"/>
        <w:rPr>
          <w:i/>
        </w:rPr>
      </w:pPr>
      <w:r w:rsidRPr="0034446E">
        <w:t>« </w:t>
      </w:r>
      <w:r w:rsidRPr="0034446E">
        <w:rPr>
          <w:i/>
        </w:rPr>
        <w:t>59.</w:t>
      </w:r>
      <w:r w:rsidRPr="0034446E">
        <w:rPr>
          <w:i/>
        </w:rPr>
        <w:tab/>
        <w:t xml:space="preserve">Concernant le premier cas </w:t>
      </w:r>
      <w:r w:rsidR="0034446E" w:rsidRPr="0034446E">
        <w:rPr>
          <w:i/>
        </w:rPr>
        <w:t>présenté</w:t>
      </w:r>
      <w:r w:rsidRPr="0034446E">
        <w:rPr>
          <w:i/>
        </w:rPr>
        <w:t>́ dans le document informel INF.4, le Groupe de travail a confirmé l’</w:t>
      </w:r>
      <w:r w:rsidR="0034446E" w:rsidRPr="0034446E">
        <w:rPr>
          <w:i/>
        </w:rPr>
        <w:t>interprétation</w:t>
      </w:r>
      <w:r w:rsidRPr="0034446E">
        <w:rPr>
          <w:i/>
        </w:rPr>
        <w:t xml:space="preserve"> de la </w:t>
      </w:r>
      <w:r w:rsidR="0034446E" w:rsidRPr="0034446E">
        <w:rPr>
          <w:i/>
        </w:rPr>
        <w:t>Suède</w:t>
      </w:r>
      <w:r w:rsidRPr="0034446E">
        <w:rPr>
          <w:i/>
        </w:rPr>
        <w:t xml:space="preserve">, à savoir que, pour satisfaire aux exigences de la section 7.5.10, une connexion du </w:t>
      </w:r>
      <w:r w:rsidR="0034446E" w:rsidRPr="0034446E">
        <w:rPr>
          <w:i/>
        </w:rPr>
        <w:t>châssis</w:t>
      </w:r>
      <w:r w:rsidRPr="0034446E">
        <w:rPr>
          <w:i/>
        </w:rPr>
        <w:t xml:space="preserve"> du </w:t>
      </w:r>
      <w:r w:rsidR="0034446E" w:rsidRPr="0034446E">
        <w:rPr>
          <w:i/>
        </w:rPr>
        <w:t>véhicule</w:t>
      </w:r>
      <w:r w:rsidRPr="0034446E">
        <w:rPr>
          <w:i/>
        </w:rPr>
        <w:t xml:space="preserve"> à la terre doit </w:t>
      </w:r>
      <w:r w:rsidR="0034446E" w:rsidRPr="0034446E">
        <w:rPr>
          <w:i/>
        </w:rPr>
        <w:t>être</w:t>
      </w:r>
      <w:r w:rsidRPr="0034446E">
        <w:rPr>
          <w:i/>
        </w:rPr>
        <w:t xml:space="preserve"> </w:t>
      </w:r>
      <w:r w:rsidR="0034446E" w:rsidRPr="0034446E">
        <w:rPr>
          <w:i/>
        </w:rPr>
        <w:t>établie</w:t>
      </w:r>
      <w:r w:rsidRPr="0034446E">
        <w:rPr>
          <w:i/>
        </w:rPr>
        <w:t xml:space="preserve"> avant le remplissage ou la vidange des citernes, soit par une connexion directe à la terre du </w:t>
      </w:r>
      <w:r w:rsidR="0034446E" w:rsidRPr="0034446E">
        <w:rPr>
          <w:i/>
        </w:rPr>
        <w:t>véhicule</w:t>
      </w:r>
      <w:r w:rsidRPr="0034446E">
        <w:rPr>
          <w:i/>
        </w:rPr>
        <w:t xml:space="preserve"> ou de la citerne, soit en reliant le </w:t>
      </w:r>
      <w:r w:rsidR="0034446E" w:rsidRPr="0034446E">
        <w:rPr>
          <w:i/>
        </w:rPr>
        <w:t>véhicule</w:t>
      </w:r>
      <w:r w:rsidRPr="0034446E">
        <w:rPr>
          <w:i/>
        </w:rPr>
        <w:t xml:space="preserve"> ou la citerne à un </w:t>
      </w:r>
      <w:r w:rsidR="0034446E" w:rsidRPr="0034446E">
        <w:rPr>
          <w:i/>
        </w:rPr>
        <w:t>réservoir</w:t>
      </w:r>
      <w:r w:rsidRPr="0034446E">
        <w:rPr>
          <w:i/>
        </w:rPr>
        <w:t xml:space="preserve"> de stockage, </w:t>
      </w:r>
      <w:r w:rsidR="0034446E" w:rsidRPr="0034446E">
        <w:rPr>
          <w:i/>
        </w:rPr>
        <w:t>lui-même</w:t>
      </w:r>
      <w:r w:rsidR="0034446E">
        <w:rPr>
          <w:i/>
        </w:rPr>
        <w:t xml:space="preserve"> mis à la terre.</w:t>
      </w:r>
    </w:p>
    <w:p w:rsidR="00D40143" w:rsidRPr="0034446E" w:rsidRDefault="0034446E" w:rsidP="00D40143">
      <w:pPr>
        <w:spacing w:before="120" w:after="120"/>
        <w:ind w:left="1134" w:right="1134"/>
        <w:jc w:val="both"/>
        <w:rPr>
          <w:i/>
        </w:rPr>
      </w:pPr>
      <w:r>
        <w:rPr>
          <w:i/>
        </w:rPr>
        <w:t>60.</w:t>
      </w:r>
      <w:r w:rsidR="00D40143" w:rsidRPr="0034446E">
        <w:rPr>
          <w:i/>
        </w:rPr>
        <w:tab/>
        <w:t xml:space="preserve">Concernant le </w:t>
      </w:r>
      <w:r w:rsidRPr="0034446E">
        <w:rPr>
          <w:i/>
        </w:rPr>
        <w:t>deuxième</w:t>
      </w:r>
      <w:r w:rsidR="00D40143" w:rsidRPr="0034446E">
        <w:rPr>
          <w:i/>
        </w:rPr>
        <w:t xml:space="preserve"> cas, le Groupe de travail a </w:t>
      </w:r>
      <w:r w:rsidRPr="0034446E">
        <w:rPr>
          <w:i/>
        </w:rPr>
        <w:t>confirmé</w:t>
      </w:r>
      <w:r w:rsidR="00D40143" w:rsidRPr="0034446E">
        <w:rPr>
          <w:i/>
        </w:rPr>
        <w:t xml:space="preserve">́ que les dispositions figurant aux 9.7.4 et 9.8.3 </w:t>
      </w:r>
      <w:r w:rsidRPr="0034446E">
        <w:rPr>
          <w:i/>
        </w:rPr>
        <w:t>requièrent</w:t>
      </w:r>
      <w:r w:rsidR="00D40143" w:rsidRPr="0034446E">
        <w:rPr>
          <w:i/>
        </w:rPr>
        <w:t xml:space="preserve"> une liaison </w:t>
      </w:r>
      <w:r w:rsidRPr="0034446E">
        <w:rPr>
          <w:i/>
        </w:rPr>
        <w:t>équipotentielle</w:t>
      </w:r>
      <w:r w:rsidR="00D40143" w:rsidRPr="0034446E">
        <w:rPr>
          <w:i/>
        </w:rPr>
        <w:t xml:space="preserve"> alors que les titres de ces sections se </w:t>
      </w:r>
      <w:r w:rsidRPr="0034446E">
        <w:rPr>
          <w:i/>
        </w:rPr>
        <w:t>réfèrent</w:t>
      </w:r>
      <w:r w:rsidR="00D40143" w:rsidRPr="0034446E">
        <w:rPr>
          <w:i/>
        </w:rPr>
        <w:t xml:space="preserve"> à la mise à la terre. Dans un souci de clarifier le texte, la </w:t>
      </w:r>
      <w:r w:rsidRPr="0034446E">
        <w:rPr>
          <w:i/>
        </w:rPr>
        <w:t>représentante</w:t>
      </w:r>
      <w:r w:rsidR="00D40143" w:rsidRPr="0034446E">
        <w:rPr>
          <w:i/>
        </w:rPr>
        <w:t xml:space="preserve"> de la </w:t>
      </w:r>
      <w:r w:rsidRPr="0034446E">
        <w:rPr>
          <w:i/>
        </w:rPr>
        <w:t>Suède</w:t>
      </w:r>
      <w:r w:rsidR="00D40143" w:rsidRPr="0034446E">
        <w:rPr>
          <w:i/>
        </w:rPr>
        <w:t xml:space="preserve"> pourra proposer des modifications des termes </w:t>
      </w:r>
      <w:r w:rsidRPr="0034446E">
        <w:rPr>
          <w:i/>
        </w:rPr>
        <w:t>utilisés</w:t>
      </w:r>
      <w:r w:rsidR="00D40143" w:rsidRPr="0034446E">
        <w:rPr>
          <w:i/>
        </w:rPr>
        <w:t xml:space="preserve"> à la prochaine session.</w:t>
      </w:r>
      <w:r w:rsidR="00D40143" w:rsidRPr="0034446E">
        <w:t> ».</w:t>
      </w:r>
    </w:p>
    <w:p w:rsidR="00D40143" w:rsidRPr="0034446E" w:rsidRDefault="00D40143" w:rsidP="00D40143">
      <w:pPr>
        <w:pStyle w:val="SingleTxtG"/>
      </w:pPr>
      <w:r w:rsidRPr="0034446E">
        <w:t>3.</w:t>
      </w:r>
      <w:r w:rsidRPr="0034446E">
        <w:tab/>
        <w:t>Les sections 9.7.4 et 9.8.3 stipulent qu’il doit exister une bonne liaison électrique entre d’une part le châssis et d’autre part les réservoirs, les citernes et les différents compartiments. Selon nous, on parle habituellement de « liaison » alors que l’ADR parle plutôt de « mise à la terre ».</w:t>
      </w:r>
    </w:p>
    <w:p w:rsidR="00D40143" w:rsidRPr="0034446E" w:rsidRDefault="00D40143" w:rsidP="00D40143">
      <w:pPr>
        <w:spacing w:before="120" w:after="120"/>
        <w:ind w:left="1134" w:right="1134"/>
        <w:jc w:val="both"/>
      </w:pPr>
      <w:r w:rsidRPr="0034446E">
        <w:t>4.</w:t>
      </w:r>
      <w:r w:rsidRPr="0034446E">
        <w:tab/>
        <w:t>Comme indiqué dans le rapport de la 103</w:t>
      </w:r>
      <w:r w:rsidRPr="0034446E">
        <w:rPr>
          <w:vertAlign w:val="superscript"/>
        </w:rPr>
        <w:t>e</w:t>
      </w:r>
      <w:r w:rsidR="0034446E">
        <w:t> </w:t>
      </w:r>
      <w:r w:rsidRPr="0034446E">
        <w:t xml:space="preserve">session (voir ci-dessus), le Groupe de travail a confirmé que l’objet des dispositions du 9.7.4 et du 9.8.3 était de prescrire une </w:t>
      </w:r>
      <w:r w:rsidR="0034446E">
        <w:t>« </w:t>
      </w:r>
      <w:r w:rsidRPr="0034446E">
        <w:t>liaison</w:t>
      </w:r>
      <w:r w:rsidR="0034446E">
        <w:t> »</w:t>
      </w:r>
      <w:r w:rsidRPr="0034446E">
        <w:t xml:space="preserve">, alors que les deux paragraphes parlent de </w:t>
      </w:r>
      <w:r w:rsidR="0034446E">
        <w:t>« </w:t>
      </w:r>
      <w:r w:rsidRPr="0034446E">
        <w:t>mise à la terre</w:t>
      </w:r>
      <w:r w:rsidR="0034446E">
        <w:t> »</w:t>
      </w:r>
      <w:r w:rsidRPr="0034446E">
        <w:t xml:space="preserve">. Lors de la dernière session, d’aucuns ont fait valoir que le terme </w:t>
      </w:r>
      <w:r w:rsidR="00DF3164">
        <w:t>« </w:t>
      </w:r>
      <w:r w:rsidRPr="0034446E">
        <w:t>liaison</w:t>
      </w:r>
      <w:r w:rsidR="00DF3164">
        <w:t> »</w:t>
      </w:r>
      <w:r w:rsidRPr="0034446E">
        <w:t xml:space="preserve"> était utilisé dans d’autres parties de l’ADR, et qu’il ne pourrait donc pas être utilisé dans la partie </w:t>
      </w:r>
      <w:r w:rsidR="00DF3164">
        <w:t>9.</w:t>
      </w:r>
    </w:p>
    <w:p w:rsidR="00D40143" w:rsidRPr="0034446E" w:rsidRDefault="00D40143" w:rsidP="00D40143">
      <w:pPr>
        <w:spacing w:before="120" w:after="120"/>
        <w:ind w:left="1134" w:right="1134"/>
        <w:jc w:val="both"/>
      </w:pPr>
      <w:r w:rsidRPr="0034446E">
        <w:t>5.</w:t>
      </w:r>
      <w:r w:rsidRPr="0034446E">
        <w:tab/>
        <w:t>Apparemment, ce terme n’apparaît qu’à deux endroits dans l’ADR, à savoir au paragraphe 6.1.4.18.1 concernant les sacs en papier et au paragraphe 6.9.2.2.3 concernant les citernes en matière plastique renforcée de fibres. En résumé, ces deux paragraphes décrivent un processus de fabrication et le raccordement de différents matériaux à d’autres couches dans le même produit.</w:t>
      </w:r>
    </w:p>
    <w:p w:rsidR="00D40143" w:rsidRPr="0034446E" w:rsidRDefault="00D40143" w:rsidP="00D40143">
      <w:pPr>
        <w:spacing w:before="120" w:after="120"/>
        <w:ind w:left="1134" w:right="1134"/>
        <w:jc w:val="both"/>
      </w:pPr>
      <w:r w:rsidRPr="0034446E">
        <w:t>6.</w:t>
      </w:r>
      <w:r w:rsidRPr="0034446E">
        <w:tab/>
        <w:t>La Suède ne voit pas pourquoi l’utilisation du même mot, mais avec un sens différent, dans la partie 9 serait source de confusion. Une modification des titres rendrait mieux compte des prescriptions figurant aux paragraphes 9.7.4 et 9.8.3.</w:t>
      </w:r>
    </w:p>
    <w:p w:rsidR="00D40143" w:rsidRPr="0034446E" w:rsidRDefault="00D40143" w:rsidP="00D40143">
      <w:pPr>
        <w:pStyle w:val="HChG"/>
      </w:pPr>
      <w:r w:rsidRPr="0034446E">
        <w:tab/>
      </w:r>
      <w:r w:rsidRPr="0034446E">
        <w:tab/>
        <w:t>Propositions</w:t>
      </w:r>
    </w:p>
    <w:p w:rsidR="00D40143" w:rsidRPr="0034446E" w:rsidRDefault="00D40143" w:rsidP="00D40143">
      <w:pPr>
        <w:pStyle w:val="SingleTxtG"/>
      </w:pPr>
      <w:r w:rsidRPr="0034446E">
        <w:t>7.</w:t>
      </w:r>
      <w:r w:rsidRPr="0034446E">
        <w:tab/>
        <w:t>Modifier le titre de la section 9.7.4 comme suit :</w:t>
      </w:r>
    </w:p>
    <w:p w:rsidR="00D40143" w:rsidRPr="0034446E" w:rsidRDefault="00D40143" w:rsidP="00D40143">
      <w:pPr>
        <w:spacing w:before="120" w:after="120"/>
        <w:ind w:left="1134" w:right="1134"/>
        <w:jc w:val="both"/>
      </w:pPr>
      <w:r w:rsidRPr="0034446E">
        <w:t xml:space="preserve">« 9.7.4 </w:t>
      </w:r>
      <w:r w:rsidRPr="0034446E">
        <w:rPr>
          <w:strike/>
        </w:rPr>
        <w:t>Mise à la terre</w:t>
      </w:r>
      <w:r w:rsidRPr="0034446E">
        <w:t xml:space="preserve"> </w:t>
      </w:r>
      <w:r w:rsidRPr="0034446E">
        <w:rPr>
          <w:u w:val="single"/>
        </w:rPr>
        <w:t>Liaison</w:t>
      </w:r>
      <w:r w:rsidRPr="0034446E">
        <w:t xml:space="preserve"> des véhicules FL ».</w:t>
      </w:r>
    </w:p>
    <w:p w:rsidR="00D40143" w:rsidRPr="0034446E" w:rsidRDefault="00D40143" w:rsidP="00D40143">
      <w:pPr>
        <w:pStyle w:val="SingleTxtG"/>
      </w:pPr>
      <w:r w:rsidRPr="0034446E">
        <w:t>8.</w:t>
      </w:r>
      <w:r w:rsidRPr="0034446E">
        <w:tab/>
        <w:t>Modifier le titre du paragraphe 9.8.3 comme suit :</w:t>
      </w:r>
    </w:p>
    <w:p w:rsidR="00D40143" w:rsidRPr="0034446E" w:rsidRDefault="00D40143" w:rsidP="00D40143">
      <w:pPr>
        <w:spacing w:before="120" w:after="120"/>
        <w:ind w:left="1134" w:right="1134"/>
        <w:jc w:val="both"/>
      </w:pPr>
      <w:r w:rsidRPr="0034446E">
        <w:t xml:space="preserve">« 9.8.3 </w:t>
      </w:r>
      <w:r w:rsidRPr="0034446E">
        <w:rPr>
          <w:strike/>
        </w:rPr>
        <w:t>Mise à la terre</w:t>
      </w:r>
      <w:r w:rsidRPr="0034446E">
        <w:t xml:space="preserve"> </w:t>
      </w:r>
      <w:r w:rsidRPr="0034446E">
        <w:rPr>
          <w:u w:val="single"/>
        </w:rPr>
        <w:t>Liaison</w:t>
      </w:r>
      <w:r w:rsidRPr="0034446E">
        <w:t xml:space="preserve"> des MEMUs ».</w:t>
      </w:r>
    </w:p>
    <w:p w:rsidR="00D40143" w:rsidRPr="0034446E" w:rsidRDefault="00D40143" w:rsidP="00D40143">
      <w:pPr>
        <w:spacing w:before="120" w:after="120"/>
        <w:ind w:left="1134" w:right="1134"/>
        <w:jc w:val="both"/>
        <w:outlineLvl w:val="0"/>
        <w:rPr>
          <w:u w:val="single"/>
        </w:rPr>
      </w:pPr>
      <w:r w:rsidRPr="0034446E">
        <w:rPr>
          <w:u w:val="single"/>
        </w:rPr>
        <w:t>Autres propositions</w:t>
      </w:r>
    </w:p>
    <w:p w:rsidR="00D40143" w:rsidRPr="0034446E" w:rsidRDefault="00D40143" w:rsidP="00D40143">
      <w:pPr>
        <w:pStyle w:val="SingleTxtG"/>
      </w:pPr>
      <w:r w:rsidRPr="0034446E">
        <w:t>9.</w:t>
      </w:r>
      <w:r w:rsidRPr="0034446E">
        <w:tab/>
        <w:t>Modifier le titre du paragraphe 9.7.4 comme suit :</w:t>
      </w:r>
    </w:p>
    <w:p w:rsidR="00D40143" w:rsidRPr="0034446E" w:rsidRDefault="00D40143" w:rsidP="00D40143">
      <w:pPr>
        <w:spacing w:before="120" w:after="120"/>
        <w:ind w:left="1134" w:right="1134"/>
        <w:jc w:val="both"/>
        <w:outlineLvl w:val="0"/>
      </w:pPr>
      <w:r w:rsidRPr="0034446E">
        <w:t xml:space="preserve">« 9.7.4 </w:t>
      </w:r>
      <w:r w:rsidRPr="0034446E">
        <w:rPr>
          <w:strike/>
        </w:rPr>
        <w:t>Mise à la terre</w:t>
      </w:r>
      <w:r w:rsidRPr="0034446E">
        <w:t xml:space="preserve"> </w:t>
      </w:r>
      <w:r w:rsidRPr="0034446E">
        <w:rPr>
          <w:u w:val="single"/>
        </w:rPr>
        <w:t>Liaison électrique</w:t>
      </w:r>
      <w:r w:rsidRPr="0034446E">
        <w:t xml:space="preserve"> des véhicules FL »</w:t>
      </w:r>
      <w:r w:rsidR="0034446E">
        <w:t>.</w:t>
      </w:r>
    </w:p>
    <w:p w:rsidR="00D40143" w:rsidRPr="0034446E" w:rsidRDefault="00D40143" w:rsidP="00D40143">
      <w:pPr>
        <w:pStyle w:val="SingleTxtG"/>
      </w:pPr>
      <w:r w:rsidRPr="0034446E">
        <w:t>10.</w:t>
      </w:r>
      <w:r w:rsidRPr="0034446E">
        <w:tab/>
        <w:t>Modifier le titre du paragraphe 9.8.3 comme suit :</w:t>
      </w:r>
    </w:p>
    <w:p w:rsidR="00D40143" w:rsidRPr="0034446E" w:rsidRDefault="00D40143" w:rsidP="00D40143">
      <w:pPr>
        <w:spacing w:before="120" w:after="120"/>
        <w:ind w:left="1134" w:right="1134"/>
        <w:jc w:val="both"/>
      </w:pPr>
      <w:r w:rsidRPr="0034446E">
        <w:t xml:space="preserve">« 9.8.3 </w:t>
      </w:r>
      <w:r w:rsidRPr="0034446E">
        <w:rPr>
          <w:strike/>
        </w:rPr>
        <w:t>Mise à la terre</w:t>
      </w:r>
      <w:r w:rsidRPr="0034446E">
        <w:t xml:space="preserve"> </w:t>
      </w:r>
      <w:r w:rsidRPr="0034446E">
        <w:rPr>
          <w:u w:val="single"/>
        </w:rPr>
        <w:t>Liaison électrique</w:t>
      </w:r>
      <w:r w:rsidRPr="0034446E">
        <w:t xml:space="preserve"> des MEMUs ».</w:t>
      </w:r>
    </w:p>
    <w:p w:rsidR="00D40143" w:rsidRPr="0034446E" w:rsidRDefault="00D40143" w:rsidP="00D40143">
      <w:pPr>
        <w:pStyle w:val="HChG"/>
        <w:outlineLvl w:val="0"/>
      </w:pPr>
      <w:r w:rsidRPr="0034446E">
        <w:tab/>
      </w:r>
      <w:r w:rsidRPr="0034446E">
        <w:tab/>
        <w:t>Faisabilité</w:t>
      </w:r>
    </w:p>
    <w:p w:rsidR="00D40143" w:rsidRPr="0034446E" w:rsidRDefault="00D40143" w:rsidP="00D40143">
      <w:pPr>
        <w:pStyle w:val="SingleTxtG"/>
      </w:pPr>
      <w:r w:rsidRPr="0034446E">
        <w:t>Aucun problème n’est prévu.</w:t>
      </w:r>
    </w:p>
    <w:p w:rsidR="00D40143" w:rsidRPr="0034446E" w:rsidRDefault="00D40143" w:rsidP="00D40143">
      <w:pPr>
        <w:pStyle w:val="SingleTxtG"/>
        <w:spacing w:before="240" w:after="0"/>
        <w:jc w:val="center"/>
        <w:rPr>
          <w:u w:val="single"/>
        </w:rPr>
      </w:pPr>
      <w:r w:rsidRPr="0034446E">
        <w:rPr>
          <w:u w:val="single"/>
        </w:rPr>
        <w:tab/>
      </w:r>
      <w:r w:rsidRPr="0034446E">
        <w:rPr>
          <w:u w:val="single"/>
        </w:rPr>
        <w:tab/>
      </w:r>
      <w:r w:rsidRPr="0034446E">
        <w:rPr>
          <w:u w:val="single"/>
        </w:rPr>
        <w:tab/>
      </w:r>
    </w:p>
    <w:sectPr w:rsidR="00D40143" w:rsidRPr="0034446E" w:rsidSect="00D401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34" w:rsidRDefault="000B2134" w:rsidP="00F95C08">
      <w:pPr>
        <w:spacing w:line="240" w:lineRule="auto"/>
      </w:pPr>
    </w:p>
  </w:endnote>
  <w:endnote w:type="continuationSeparator" w:id="0">
    <w:p w:rsidR="000B2134" w:rsidRPr="00AC3823" w:rsidRDefault="000B2134" w:rsidP="00AC3823">
      <w:pPr>
        <w:pStyle w:val="Footer"/>
      </w:pPr>
    </w:p>
  </w:endnote>
  <w:endnote w:type="continuationNotice" w:id="1">
    <w:p w:rsidR="000B2134" w:rsidRDefault="000B21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43" w:rsidRPr="00D40143" w:rsidRDefault="00D40143" w:rsidP="00D40143">
    <w:pPr>
      <w:pStyle w:val="Footer"/>
      <w:tabs>
        <w:tab w:val="right" w:pos="9638"/>
      </w:tabs>
    </w:pPr>
    <w:r w:rsidRPr="00D40143">
      <w:rPr>
        <w:b/>
        <w:sz w:val="18"/>
      </w:rPr>
      <w:fldChar w:fldCharType="begin"/>
    </w:r>
    <w:r w:rsidRPr="00D40143">
      <w:rPr>
        <w:b/>
        <w:sz w:val="18"/>
      </w:rPr>
      <w:instrText xml:space="preserve"> PAGE  \* MERGEFORMAT </w:instrText>
    </w:r>
    <w:r w:rsidRPr="00D40143">
      <w:rPr>
        <w:b/>
        <w:sz w:val="18"/>
      </w:rPr>
      <w:fldChar w:fldCharType="separate"/>
    </w:r>
    <w:r w:rsidR="004576B4">
      <w:rPr>
        <w:b/>
        <w:noProof/>
        <w:sz w:val="18"/>
      </w:rPr>
      <w:t>2</w:t>
    </w:r>
    <w:r w:rsidRPr="00D40143">
      <w:rPr>
        <w:b/>
        <w:sz w:val="18"/>
      </w:rPr>
      <w:fldChar w:fldCharType="end"/>
    </w:r>
    <w:r>
      <w:rPr>
        <w:b/>
        <w:sz w:val="18"/>
      </w:rPr>
      <w:tab/>
    </w:r>
    <w:r>
      <w:t>GE.18-03094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43" w:rsidRPr="00D40143" w:rsidRDefault="00D40143" w:rsidP="00D40143">
    <w:pPr>
      <w:pStyle w:val="Footer"/>
      <w:tabs>
        <w:tab w:val="right" w:pos="9638"/>
      </w:tabs>
      <w:rPr>
        <w:b/>
        <w:sz w:val="18"/>
      </w:rPr>
    </w:pPr>
    <w:r>
      <w:t>GE.18-03094</w:t>
    </w:r>
    <w:r>
      <w:tab/>
    </w:r>
    <w:r w:rsidRPr="00D40143">
      <w:rPr>
        <w:b/>
        <w:sz w:val="18"/>
      </w:rPr>
      <w:fldChar w:fldCharType="begin"/>
    </w:r>
    <w:r w:rsidRPr="00D40143">
      <w:rPr>
        <w:b/>
        <w:sz w:val="18"/>
      </w:rPr>
      <w:instrText xml:space="preserve"> PAGE  \* MERGEFORMAT </w:instrText>
    </w:r>
    <w:r w:rsidRPr="00D40143">
      <w:rPr>
        <w:b/>
        <w:sz w:val="18"/>
      </w:rPr>
      <w:fldChar w:fldCharType="separate"/>
    </w:r>
    <w:r w:rsidR="009E6742">
      <w:rPr>
        <w:b/>
        <w:noProof/>
        <w:sz w:val="18"/>
      </w:rPr>
      <w:t>3</w:t>
    </w:r>
    <w:r w:rsidRPr="00D401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40143" w:rsidRDefault="00D40143" w:rsidP="00D40143">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18-03094  (F)</w:t>
    </w:r>
    <w:r w:rsidR="00AE4DD8">
      <w:rPr>
        <w:sz w:val="20"/>
      </w:rPr>
      <w:t xml:space="preserve">    090318    190318</w:t>
    </w:r>
    <w:r>
      <w:rPr>
        <w:sz w:val="20"/>
      </w:rPr>
      <w:br/>
    </w:r>
    <w:r w:rsidRPr="00D40143">
      <w:rPr>
        <w:rFonts w:ascii="C39T30Lfz" w:hAnsi="C39T30Lfz"/>
        <w:sz w:val="56"/>
      </w:rPr>
      <w:t></w:t>
    </w:r>
    <w:r w:rsidRPr="00D40143">
      <w:rPr>
        <w:rFonts w:ascii="C39T30Lfz" w:hAnsi="C39T30Lfz"/>
        <w:sz w:val="56"/>
      </w:rPr>
      <w:t></w:t>
    </w:r>
    <w:r w:rsidRPr="00D40143">
      <w:rPr>
        <w:rFonts w:ascii="C39T30Lfz" w:hAnsi="C39T30Lfz"/>
        <w:sz w:val="56"/>
      </w:rPr>
      <w:t></w:t>
    </w:r>
    <w:r w:rsidRPr="00D40143">
      <w:rPr>
        <w:rFonts w:ascii="C39T30Lfz" w:hAnsi="C39T30Lfz"/>
        <w:sz w:val="56"/>
      </w:rPr>
      <w:t></w:t>
    </w:r>
    <w:r w:rsidRPr="00D40143">
      <w:rPr>
        <w:rFonts w:ascii="C39T30Lfz" w:hAnsi="C39T30Lfz"/>
        <w:sz w:val="56"/>
      </w:rPr>
      <w:t></w:t>
    </w:r>
    <w:r w:rsidRPr="00D40143">
      <w:rPr>
        <w:rFonts w:ascii="C39T30Lfz" w:hAnsi="C39T30Lfz"/>
        <w:sz w:val="56"/>
      </w:rPr>
      <w:t></w:t>
    </w:r>
    <w:r w:rsidRPr="00D40143">
      <w:rPr>
        <w:rFonts w:ascii="C39T30Lfz" w:hAnsi="C39T30Lfz"/>
        <w:sz w:val="56"/>
      </w:rPr>
      <w:t></w:t>
    </w:r>
    <w:r w:rsidRPr="00D40143">
      <w:rPr>
        <w:rFonts w:ascii="C39T30Lfz" w:hAnsi="C39T30Lfz"/>
        <w:sz w:val="56"/>
      </w:rPr>
      <w:t></w:t>
    </w:r>
    <w:r w:rsidRPr="00D4014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34" w:rsidRPr="00AC3823" w:rsidRDefault="000B2134" w:rsidP="00AC3823">
      <w:pPr>
        <w:pStyle w:val="Footer"/>
        <w:tabs>
          <w:tab w:val="right" w:pos="2155"/>
        </w:tabs>
        <w:spacing w:after="80" w:line="240" w:lineRule="atLeast"/>
        <w:ind w:left="680"/>
        <w:rPr>
          <w:u w:val="single"/>
        </w:rPr>
      </w:pPr>
      <w:r>
        <w:rPr>
          <w:u w:val="single"/>
        </w:rPr>
        <w:tab/>
      </w:r>
    </w:p>
  </w:footnote>
  <w:footnote w:type="continuationSeparator" w:id="0">
    <w:p w:rsidR="000B2134" w:rsidRPr="00AC3823" w:rsidRDefault="000B2134" w:rsidP="00AC3823">
      <w:pPr>
        <w:pStyle w:val="Footer"/>
        <w:tabs>
          <w:tab w:val="right" w:pos="2155"/>
        </w:tabs>
        <w:spacing w:after="80" w:line="240" w:lineRule="atLeast"/>
        <w:ind w:left="680"/>
        <w:rPr>
          <w:u w:val="single"/>
        </w:rPr>
      </w:pPr>
      <w:r>
        <w:rPr>
          <w:u w:val="single"/>
        </w:rPr>
        <w:tab/>
      </w:r>
    </w:p>
  </w:footnote>
  <w:footnote w:type="continuationNotice" w:id="1">
    <w:p w:rsidR="000B2134" w:rsidRPr="00AC3823" w:rsidRDefault="000B2134">
      <w:pPr>
        <w:spacing w:line="240" w:lineRule="auto"/>
        <w:rPr>
          <w:sz w:val="2"/>
          <w:szCs w:val="2"/>
        </w:rPr>
      </w:pPr>
    </w:p>
  </w:footnote>
  <w:footnote w:id="2">
    <w:p w:rsidR="00D40143" w:rsidRPr="00D40143" w:rsidRDefault="00D40143">
      <w:pPr>
        <w:pStyle w:val="FootnoteText"/>
      </w:pPr>
      <w:r>
        <w:rPr>
          <w:rStyle w:val="FootnoteReference"/>
        </w:rPr>
        <w:tab/>
      </w:r>
      <w:r w:rsidRPr="00D40143">
        <w:rPr>
          <w:rStyle w:val="FootnoteReference"/>
          <w:sz w:val="20"/>
          <w:vertAlign w:val="baseline"/>
        </w:rPr>
        <w:t>*</w:t>
      </w:r>
      <w:r>
        <w:rPr>
          <w:rStyle w:val="FootnoteReference"/>
          <w:sz w:val="20"/>
          <w:vertAlign w:val="baseline"/>
        </w:rPr>
        <w:tab/>
      </w:r>
      <w:r>
        <w:rPr>
          <w:color w:val="000000"/>
          <w:lang w:val="fr-FR" w:eastAsia="en-GB"/>
        </w:rPr>
        <w:t>Conformément au projet</w:t>
      </w:r>
      <w:r w:rsidRPr="00EC302C">
        <w:rPr>
          <w:color w:val="000000"/>
          <w:lang w:val="fr-FR" w:eastAsia="en-GB"/>
        </w:rPr>
        <w:t xml:space="preserve"> de programme de travail du Comité des transports intérieurs pour 2018</w:t>
      </w:r>
      <w:r w:rsidR="00AE4DD8">
        <w:rPr>
          <w:color w:val="000000"/>
          <w:lang w:val="fr-FR" w:eastAsia="en-GB"/>
        </w:rPr>
        <w:noBreakHyphen/>
      </w:r>
      <w:r w:rsidRPr="00EC302C">
        <w:rPr>
          <w:color w:val="000000"/>
          <w:lang w:val="fr-FR" w:eastAsia="en-GB"/>
        </w:rPr>
        <w:t>2019, (ECE/TRANS/WP.15/237, annex</w:t>
      </w:r>
      <w:r>
        <w:rPr>
          <w:color w:val="000000"/>
          <w:lang w:val="fr-FR" w:eastAsia="en-GB"/>
        </w:rPr>
        <w:t>e</w:t>
      </w:r>
      <w:r w:rsidRPr="00EC302C">
        <w:rPr>
          <w:color w:val="000000"/>
          <w:lang w:val="fr-FR" w:eastAsia="en-GB"/>
        </w:rPr>
        <w:t xml:space="preserv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43" w:rsidRPr="00D40143" w:rsidRDefault="004576B4">
    <w:pPr>
      <w:pStyle w:val="Header"/>
    </w:pPr>
    <w:r>
      <w:fldChar w:fldCharType="begin"/>
    </w:r>
    <w:r>
      <w:instrText xml:space="preserve"> TITLE  \* MERGEFORMAT </w:instrText>
    </w:r>
    <w:r>
      <w:fldChar w:fldCharType="separate"/>
    </w:r>
    <w:r w:rsidR="009E6742">
      <w:t>ECE/TRANS/WP.15/2018/1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43" w:rsidRPr="00D40143" w:rsidRDefault="004576B4" w:rsidP="00D40143">
    <w:pPr>
      <w:pStyle w:val="Header"/>
      <w:jc w:val="right"/>
    </w:pPr>
    <w:r>
      <w:fldChar w:fldCharType="begin"/>
    </w:r>
    <w:r>
      <w:instrText xml:space="preserve"> TITLE  \* MERGEFORMAT </w:instrText>
    </w:r>
    <w:r>
      <w:fldChar w:fldCharType="separate"/>
    </w:r>
    <w:r w:rsidR="009E6742">
      <w:t>ECE/TRANS/WP.15/2018/1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4"/>
    <w:rsid w:val="00017F94"/>
    <w:rsid w:val="00023842"/>
    <w:rsid w:val="000334F9"/>
    <w:rsid w:val="00045FEB"/>
    <w:rsid w:val="0007796D"/>
    <w:rsid w:val="000B2134"/>
    <w:rsid w:val="000B7790"/>
    <w:rsid w:val="00111F2F"/>
    <w:rsid w:val="0014365E"/>
    <w:rsid w:val="00143C66"/>
    <w:rsid w:val="00176178"/>
    <w:rsid w:val="001F525A"/>
    <w:rsid w:val="00223272"/>
    <w:rsid w:val="0024779E"/>
    <w:rsid w:val="00257168"/>
    <w:rsid w:val="002744B8"/>
    <w:rsid w:val="002832AC"/>
    <w:rsid w:val="002D7C93"/>
    <w:rsid w:val="00305801"/>
    <w:rsid w:val="0034446E"/>
    <w:rsid w:val="003916DE"/>
    <w:rsid w:val="00441C3B"/>
    <w:rsid w:val="00446FE5"/>
    <w:rsid w:val="00452396"/>
    <w:rsid w:val="004576B4"/>
    <w:rsid w:val="004837D8"/>
    <w:rsid w:val="004E468C"/>
    <w:rsid w:val="005505B7"/>
    <w:rsid w:val="00573BE5"/>
    <w:rsid w:val="00586ED3"/>
    <w:rsid w:val="00596AA9"/>
    <w:rsid w:val="005F3314"/>
    <w:rsid w:val="0071601D"/>
    <w:rsid w:val="007A62E6"/>
    <w:rsid w:val="007F20FA"/>
    <w:rsid w:val="0080684C"/>
    <w:rsid w:val="00871C75"/>
    <w:rsid w:val="008776DC"/>
    <w:rsid w:val="009446C0"/>
    <w:rsid w:val="009705C8"/>
    <w:rsid w:val="009C1CF4"/>
    <w:rsid w:val="009E6742"/>
    <w:rsid w:val="009F6B74"/>
    <w:rsid w:val="00A30353"/>
    <w:rsid w:val="00A85460"/>
    <w:rsid w:val="00AC3823"/>
    <w:rsid w:val="00AE323C"/>
    <w:rsid w:val="00AE4DD8"/>
    <w:rsid w:val="00AF0CB5"/>
    <w:rsid w:val="00B00181"/>
    <w:rsid w:val="00B00B0D"/>
    <w:rsid w:val="00B765F7"/>
    <w:rsid w:val="00BA0CA9"/>
    <w:rsid w:val="00C02897"/>
    <w:rsid w:val="00C97039"/>
    <w:rsid w:val="00CC3C6E"/>
    <w:rsid w:val="00D3439C"/>
    <w:rsid w:val="00D40143"/>
    <w:rsid w:val="00DB1831"/>
    <w:rsid w:val="00DB5B44"/>
    <w:rsid w:val="00DD3BFD"/>
    <w:rsid w:val="00DF3164"/>
    <w:rsid w:val="00DF6678"/>
    <w:rsid w:val="00E0299A"/>
    <w:rsid w:val="00E73C2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2E0BC6-867D-4785-A066-0F73194C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ps">
    <w:name w:val="hps"/>
    <w:basedOn w:val="DefaultParagraphFont"/>
    <w:rsid w:val="00D40143"/>
  </w:style>
  <w:style w:type="character" w:customStyle="1" w:styleId="HChGChar">
    <w:name w:val="_ H _Ch_G Char"/>
    <w:link w:val="HChG"/>
    <w:rsid w:val="00D4014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4014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ECE/TRANS/WP.15/2018/1</vt:lpstr>
      <vt:lpstr>ECE/TRANS/WP.15/2018/1</vt:lpstr>
    </vt:vector>
  </TitlesOfParts>
  <Company>DCM</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ECE/TRANS/WP.15/2018/1</dc:title>
  <dc:subject/>
  <dc:creator>Fabienne CRELIER</dc:creator>
  <cp:keywords/>
  <cp:lastModifiedBy>Christine Barrio-Champeau</cp:lastModifiedBy>
  <cp:revision>2</cp:revision>
  <cp:lastPrinted>2018-03-19T07:35:00Z</cp:lastPrinted>
  <dcterms:created xsi:type="dcterms:W3CDTF">2018-03-19T15:34:00Z</dcterms:created>
  <dcterms:modified xsi:type="dcterms:W3CDTF">2018-03-19T15:34:00Z</dcterms:modified>
</cp:coreProperties>
</file>