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3E62B5" w:rsidTr="00387CD4">
        <w:trPr>
          <w:trHeight w:hRule="exact" w:val="851"/>
        </w:trPr>
        <w:tc>
          <w:tcPr>
            <w:tcW w:w="142" w:type="dxa"/>
            <w:tcBorders>
              <w:bottom w:val="single" w:sz="4" w:space="0" w:color="auto"/>
            </w:tcBorders>
          </w:tcPr>
          <w:p w:rsidR="002D5AAC" w:rsidRPr="003E62B5" w:rsidRDefault="002D5AAC" w:rsidP="00AA64B9">
            <w:pPr>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3E62B5" w:rsidRDefault="00DF71B9" w:rsidP="00387CD4">
            <w:pPr>
              <w:spacing w:after="80" w:line="300" w:lineRule="exact"/>
              <w:rPr>
                <w:spacing w:val="0"/>
                <w:w w:val="100"/>
                <w:kern w:val="0"/>
                <w:sz w:val="28"/>
              </w:rPr>
            </w:pPr>
            <w:r w:rsidRPr="003E62B5">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3E62B5" w:rsidRDefault="00AA64B9" w:rsidP="00AA64B9">
            <w:pPr>
              <w:jc w:val="right"/>
              <w:rPr>
                <w:spacing w:val="0"/>
                <w:w w:val="100"/>
                <w:kern w:val="0"/>
              </w:rPr>
            </w:pPr>
            <w:r w:rsidRPr="003E62B5">
              <w:rPr>
                <w:spacing w:val="0"/>
                <w:w w:val="100"/>
                <w:kern w:val="0"/>
                <w:sz w:val="40"/>
              </w:rPr>
              <w:t>ECE</w:t>
            </w:r>
            <w:r w:rsidRPr="003E62B5">
              <w:rPr>
                <w:spacing w:val="0"/>
                <w:w w:val="100"/>
                <w:kern w:val="0"/>
              </w:rPr>
              <w:t>/TRANS/WP.15/2018/1</w:t>
            </w:r>
          </w:p>
        </w:tc>
      </w:tr>
      <w:tr w:rsidR="002D5AAC" w:rsidRPr="003E62B5" w:rsidTr="00387CD4">
        <w:trPr>
          <w:trHeight w:hRule="exact" w:val="2835"/>
        </w:trPr>
        <w:tc>
          <w:tcPr>
            <w:tcW w:w="1280" w:type="dxa"/>
            <w:gridSpan w:val="2"/>
            <w:tcBorders>
              <w:top w:val="single" w:sz="4" w:space="0" w:color="auto"/>
              <w:bottom w:val="single" w:sz="12" w:space="0" w:color="auto"/>
            </w:tcBorders>
          </w:tcPr>
          <w:p w:rsidR="002D5AAC" w:rsidRPr="003E62B5" w:rsidRDefault="002E5067" w:rsidP="00387CD4">
            <w:pPr>
              <w:spacing w:before="120"/>
              <w:jc w:val="center"/>
              <w:rPr>
                <w:spacing w:val="0"/>
                <w:w w:val="100"/>
                <w:kern w:val="0"/>
              </w:rPr>
            </w:pPr>
            <w:r w:rsidRPr="003E62B5">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3E62B5" w:rsidRDefault="008A37C8" w:rsidP="00387CD4">
            <w:pPr>
              <w:suppressAutoHyphens/>
              <w:spacing w:before="120" w:line="460" w:lineRule="exact"/>
              <w:rPr>
                <w:b/>
                <w:spacing w:val="0"/>
                <w:w w:val="100"/>
                <w:kern w:val="0"/>
                <w:sz w:val="34"/>
                <w:szCs w:val="34"/>
              </w:rPr>
            </w:pPr>
            <w:r w:rsidRPr="003E62B5">
              <w:rPr>
                <w:rFonts w:eastAsia="Times New Roman" w:cs="Times New Roman"/>
                <w:b/>
                <w:spacing w:val="0"/>
                <w:w w:val="100"/>
                <w:kern w:val="0"/>
                <w:sz w:val="40"/>
                <w:szCs w:val="40"/>
              </w:rPr>
              <w:t xml:space="preserve">Экономический </w:t>
            </w:r>
            <w:r w:rsidRPr="003E62B5">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3E62B5" w:rsidRDefault="00AA64B9" w:rsidP="00387CD4">
            <w:pPr>
              <w:spacing w:before="240"/>
              <w:rPr>
                <w:spacing w:val="0"/>
                <w:w w:val="100"/>
                <w:kern w:val="0"/>
                <w:lang w:val="en-US"/>
              </w:rPr>
            </w:pPr>
            <w:r w:rsidRPr="003E62B5">
              <w:rPr>
                <w:spacing w:val="0"/>
                <w:w w:val="100"/>
                <w:kern w:val="0"/>
                <w:lang w:val="en-US"/>
              </w:rPr>
              <w:t>Distr.: General</w:t>
            </w:r>
          </w:p>
          <w:p w:rsidR="00AA64B9" w:rsidRPr="003E62B5" w:rsidRDefault="00AA64B9" w:rsidP="00AA64B9">
            <w:pPr>
              <w:spacing w:line="240" w:lineRule="exact"/>
              <w:rPr>
                <w:spacing w:val="0"/>
                <w:w w:val="100"/>
                <w:kern w:val="0"/>
                <w:lang w:val="en-US"/>
              </w:rPr>
            </w:pPr>
            <w:r w:rsidRPr="003E62B5">
              <w:rPr>
                <w:spacing w:val="0"/>
                <w:w w:val="100"/>
                <w:kern w:val="0"/>
                <w:lang w:val="en-US"/>
              </w:rPr>
              <w:t>28 February 2018</w:t>
            </w:r>
          </w:p>
          <w:p w:rsidR="00AA64B9" w:rsidRPr="003E62B5" w:rsidRDefault="00AA64B9" w:rsidP="00AA64B9">
            <w:pPr>
              <w:spacing w:line="240" w:lineRule="exact"/>
              <w:rPr>
                <w:spacing w:val="0"/>
                <w:w w:val="100"/>
                <w:kern w:val="0"/>
                <w:lang w:val="en-US"/>
              </w:rPr>
            </w:pPr>
            <w:r w:rsidRPr="003E62B5">
              <w:rPr>
                <w:spacing w:val="0"/>
                <w:w w:val="100"/>
                <w:kern w:val="0"/>
                <w:lang w:val="en-US"/>
              </w:rPr>
              <w:t>Russian</w:t>
            </w:r>
          </w:p>
          <w:p w:rsidR="00AA64B9" w:rsidRPr="003E62B5" w:rsidRDefault="00AA64B9" w:rsidP="00AA64B9">
            <w:pPr>
              <w:spacing w:line="240" w:lineRule="exact"/>
              <w:rPr>
                <w:spacing w:val="0"/>
                <w:w w:val="100"/>
                <w:kern w:val="0"/>
                <w:lang w:val="en-US"/>
              </w:rPr>
            </w:pPr>
            <w:r w:rsidRPr="003E62B5">
              <w:rPr>
                <w:spacing w:val="0"/>
                <w:w w:val="100"/>
                <w:kern w:val="0"/>
                <w:lang w:val="en-US"/>
              </w:rPr>
              <w:t>Original: English</w:t>
            </w:r>
          </w:p>
        </w:tc>
      </w:tr>
    </w:tbl>
    <w:p w:rsidR="008A37C8" w:rsidRPr="003E62B5" w:rsidRDefault="008A37C8" w:rsidP="003E62B5">
      <w:pPr>
        <w:suppressAutoHyphens/>
        <w:spacing w:before="120"/>
        <w:rPr>
          <w:b/>
          <w:spacing w:val="0"/>
          <w:w w:val="100"/>
          <w:kern w:val="0"/>
          <w:sz w:val="28"/>
          <w:szCs w:val="28"/>
        </w:rPr>
      </w:pPr>
      <w:r w:rsidRPr="003E62B5">
        <w:rPr>
          <w:b/>
          <w:spacing w:val="0"/>
          <w:w w:val="100"/>
          <w:kern w:val="0"/>
          <w:sz w:val="28"/>
          <w:szCs w:val="28"/>
        </w:rPr>
        <w:t>Европейская экономическая комиссия</w:t>
      </w:r>
    </w:p>
    <w:p w:rsidR="00AA64B9" w:rsidRPr="003E62B5" w:rsidRDefault="00AA64B9" w:rsidP="003E62B5">
      <w:pPr>
        <w:suppressAutoHyphens/>
        <w:spacing w:before="120"/>
        <w:rPr>
          <w:spacing w:val="0"/>
          <w:w w:val="100"/>
          <w:kern w:val="0"/>
          <w:sz w:val="28"/>
          <w:szCs w:val="28"/>
        </w:rPr>
      </w:pPr>
      <w:r w:rsidRPr="003E62B5">
        <w:rPr>
          <w:spacing w:val="0"/>
          <w:w w:val="100"/>
          <w:kern w:val="0"/>
          <w:sz w:val="28"/>
          <w:szCs w:val="28"/>
        </w:rPr>
        <w:t>Комитет по внутреннему транспорту</w:t>
      </w:r>
    </w:p>
    <w:p w:rsidR="00AA64B9" w:rsidRPr="003E62B5" w:rsidRDefault="00AA64B9" w:rsidP="003E62B5">
      <w:pPr>
        <w:suppressAutoHyphens/>
        <w:spacing w:before="120"/>
        <w:rPr>
          <w:b/>
          <w:spacing w:val="0"/>
          <w:w w:val="100"/>
          <w:kern w:val="0"/>
          <w:sz w:val="24"/>
          <w:szCs w:val="24"/>
        </w:rPr>
      </w:pPr>
      <w:r w:rsidRPr="003E62B5">
        <w:rPr>
          <w:b/>
          <w:spacing w:val="0"/>
          <w:w w:val="100"/>
          <w:kern w:val="0"/>
          <w:sz w:val="24"/>
          <w:szCs w:val="24"/>
        </w:rPr>
        <w:t>Рабочая группа по перевозкам опасных грузов</w:t>
      </w:r>
    </w:p>
    <w:p w:rsidR="00AA64B9" w:rsidRPr="003E62B5" w:rsidRDefault="00AA64B9" w:rsidP="003E62B5">
      <w:pPr>
        <w:suppressAutoHyphens/>
        <w:spacing w:before="120"/>
        <w:rPr>
          <w:rFonts w:eastAsia="SimSun"/>
          <w:b/>
          <w:spacing w:val="0"/>
          <w:w w:val="100"/>
          <w:kern w:val="0"/>
        </w:rPr>
      </w:pPr>
      <w:r w:rsidRPr="003E62B5">
        <w:rPr>
          <w:b/>
          <w:spacing w:val="0"/>
          <w:w w:val="100"/>
          <w:kern w:val="0"/>
        </w:rPr>
        <w:t xml:space="preserve">104-я сессия </w:t>
      </w:r>
    </w:p>
    <w:p w:rsidR="00AA64B9" w:rsidRPr="003E62B5" w:rsidRDefault="00AA64B9" w:rsidP="003E62B5">
      <w:pPr>
        <w:suppressAutoHyphens/>
        <w:rPr>
          <w:rFonts w:eastAsia="SimSun"/>
          <w:spacing w:val="0"/>
          <w:w w:val="100"/>
          <w:kern w:val="0"/>
        </w:rPr>
      </w:pPr>
      <w:r w:rsidRPr="003E62B5">
        <w:rPr>
          <w:spacing w:val="0"/>
          <w:w w:val="100"/>
          <w:kern w:val="0"/>
        </w:rPr>
        <w:t xml:space="preserve">Женева, 15–17 мая 2018 года </w:t>
      </w:r>
    </w:p>
    <w:p w:rsidR="00AA64B9" w:rsidRPr="003E62B5" w:rsidRDefault="00AA64B9" w:rsidP="003E62B5">
      <w:pPr>
        <w:suppressAutoHyphens/>
        <w:rPr>
          <w:spacing w:val="0"/>
          <w:w w:val="100"/>
          <w:kern w:val="0"/>
        </w:rPr>
      </w:pPr>
      <w:r w:rsidRPr="003E62B5">
        <w:rPr>
          <w:spacing w:val="0"/>
          <w:w w:val="100"/>
          <w:kern w:val="0"/>
        </w:rPr>
        <w:t>Пункт 5 b) предварительной повестки дня</w:t>
      </w:r>
    </w:p>
    <w:p w:rsidR="00AA64B9" w:rsidRPr="003E62B5" w:rsidRDefault="00AA64B9" w:rsidP="003E62B5">
      <w:pPr>
        <w:suppressAutoHyphens/>
        <w:rPr>
          <w:b/>
          <w:bCs/>
          <w:spacing w:val="0"/>
          <w:w w:val="100"/>
          <w:kern w:val="0"/>
        </w:rPr>
      </w:pPr>
      <w:r w:rsidRPr="003E62B5">
        <w:rPr>
          <w:b/>
          <w:spacing w:val="0"/>
          <w:w w:val="100"/>
          <w:kern w:val="0"/>
        </w:rPr>
        <w:t>Предложения о внесении поправок в приложения А и В к ДОПОГ:</w:t>
      </w:r>
      <w:r w:rsidRPr="003E62B5">
        <w:rPr>
          <w:b/>
          <w:bCs/>
          <w:spacing w:val="0"/>
          <w:w w:val="100"/>
          <w:kern w:val="0"/>
        </w:rPr>
        <w:br/>
      </w:r>
      <w:r w:rsidRPr="003E62B5">
        <w:rPr>
          <w:b/>
          <w:spacing w:val="0"/>
          <w:w w:val="100"/>
          <w:kern w:val="0"/>
        </w:rPr>
        <w:t>различные предложения</w:t>
      </w:r>
    </w:p>
    <w:p w:rsidR="00AA64B9" w:rsidRPr="003E62B5" w:rsidRDefault="00AA64B9" w:rsidP="003E62B5">
      <w:pPr>
        <w:pStyle w:val="HChGR"/>
        <w:rPr>
          <w:spacing w:val="0"/>
          <w:w w:val="100"/>
          <w:kern w:val="0"/>
          <w:sz w:val="20"/>
        </w:rPr>
      </w:pPr>
      <w:r w:rsidRPr="003E62B5">
        <w:rPr>
          <w:spacing w:val="0"/>
          <w:w w:val="100"/>
          <w:kern w:val="0"/>
        </w:rPr>
        <w:tab/>
      </w:r>
      <w:r w:rsidRPr="003E62B5">
        <w:rPr>
          <w:spacing w:val="0"/>
          <w:w w:val="100"/>
          <w:kern w:val="0"/>
        </w:rPr>
        <w:tab/>
        <w:t>Раздел 9.7.4 «Заземл</w:t>
      </w:r>
      <w:r w:rsidR="003E62B5">
        <w:rPr>
          <w:spacing w:val="0"/>
          <w:w w:val="100"/>
          <w:kern w:val="0"/>
        </w:rPr>
        <w:t>ение транспортных средств FL» и </w:t>
      </w:r>
      <w:r w:rsidRPr="003E62B5">
        <w:rPr>
          <w:spacing w:val="0"/>
          <w:w w:val="100"/>
          <w:kern w:val="0"/>
        </w:rPr>
        <w:t>раздел 9.8.3 «Заземление MEMU»</w:t>
      </w:r>
    </w:p>
    <w:p w:rsidR="00AA64B9" w:rsidRPr="003E62B5" w:rsidRDefault="00AA64B9" w:rsidP="003E62B5">
      <w:pPr>
        <w:pStyle w:val="H1GR"/>
        <w:rPr>
          <w:b w:val="0"/>
          <w:spacing w:val="0"/>
          <w:w w:val="100"/>
          <w:kern w:val="0"/>
          <w:sz w:val="20"/>
        </w:rPr>
      </w:pPr>
      <w:r w:rsidRPr="003E62B5">
        <w:rPr>
          <w:spacing w:val="0"/>
          <w:w w:val="100"/>
          <w:kern w:val="0"/>
        </w:rPr>
        <w:tab/>
      </w:r>
      <w:r w:rsidRPr="003E62B5">
        <w:rPr>
          <w:spacing w:val="0"/>
          <w:w w:val="100"/>
          <w:kern w:val="0"/>
        </w:rPr>
        <w:tab/>
        <w:t>Передано правительством Швеции</w:t>
      </w:r>
      <w:r w:rsidRPr="003E62B5">
        <w:rPr>
          <w:rStyle w:val="FootnoteReference"/>
          <w:b w:val="0"/>
          <w:spacing w:val="0"/>
          <w:w w:val="100"/>
          <w:kern w:val="0"/>
          <w:sz w:val="20"/>
          <w:vertAlign w:val="baseline"/>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AA64B9" w:rsidRPr="003E62B5" w:rsidTr="00850215">
        <w:trPr>
          <w:jc w:val="center"/>
        </w:trPr>
        <w:tc>
          <w:tcPr>
            <w:tcW w:w="9637" w:type="dxa"/>
            <w:tcBorders>
              <w:bottom w:val="nil"/>
            </w:tcBorders>
          </w:tcPr>
          <w:p w:rsidR="00AA64B9" w:rsidRPr="003E62B5" w:rsidRDefault="00AA64B9" w:rsidP="003E62B5">
            <w:pPr>
              <w:tabs>
                <w:tab w:val="left" w:pos="255"/>
              </w:tabs>
              <w:suppressAutoHyphens/>
              <w:spacing w:before="240" w:after="120"/>
              <w:rPr>
                <w:rFonts w:cs="Times New Roman"/>
                <w:spacing w:val="0"/>
                <w:w w:val="100"/>
                <w:kern w:val="0"/>
                <w:sz w:val="24"/>
              </w:rPr>
            </w:pPr>
            <w:r w:rsidRPr="003E62B5">
              <w:rPr>
                <w:rFonts w:cs="Times New Roman"/>
                <w:spacing w:val="0"/>
                <w:w w:val="100"/>
                <w:kern w:val="0"/>
              </w:rPr>
              <w:tab/>
            </w:r>
            <w:r w:rsidRPr="003E62B5">
              <w:rPr>
                <w:rFonts w:cs="Times New Roman"/>
                <w:i/>
                <w:spacing w:val="0"/>
                <w:w w:val="100"/>
                <w:kern w:val="0"/>
                <w:sz w:val="24"/>
              </w:rPr>
              <w:t>Резюме</w:t>
            </w:r>
          </w:p>
        </w:tc>
      </w:tr>
      <w:tr w:rsidR="00AA64B9" w:rsidRPr="003E62B5" w:rsidTr="00850215">
        <w:trPr>
          <w:jc w:val="center"/>
        </w:trPr>
        <w:tc>
          <w:tcPr>
            <w:tcW w:w="9637" w:type="dxa"/>
            <w:tcBorders>
              <w:top w:val="nil"/>
              <w:bottom w:val="nil"/>
            </w:tcBorders>
            <w:shd w:val="clear" w:color="auto" w:fill="auto"/>
          </w:tcPr>
          <w:p w:rsidR="00AA64B9" w:rsidRPr="003E62B5" w:rsidRDefault="00AA64B9" w:rsidP="003E62B5">
            <w:pPr>
              <w:pStyle w:val="SingleTxtGR"/>
              <w:suppressAutoHyphens/>
              <w:spacing w:line="230" w:lineRule="atLeast"/>
              <w:ind w:left="3969" w:hanging="2835"/>
              <w:rPr>
                <w:spacing w:val="0"/>
                <w:w w:val="100"/>
                <w:kern w:val="0"/>
              </w:rPr>
            </w:pPr>
            <w:r w:rsidRPr="003E62B5">
              <w:rPr>
                <w:b/>
                <w:spacing w:val="0"/>
                <w:w w:val="100"/>
                <w:kern w:val="0"/>
              </w:rPr>
              <w:t>Существо предложения</w:t>
            </w:r>
            <w:r w:rsidRPr="003E62B5">
              <w:rPr>
                <w:spacing w:val="0"/>
                <w:w w:val="100"/>
                <w:kern w:val="0"/>
              </w:rPr>
              <w:t>:</w:t>
            </w:r>
            <w:r w:rsidRPr="003E62B5">
              <w:rPr>
                <w:spacing w:val="0"/>
                <w:w w:val="100"/>
                <w:kern w:val="0"/>
              </w:rPr>
              <w:tab/>
            </w:r>
            <w:r w:rsidR="003E62B5">
              <w:rPr>
                <w:spacing w:val="0"/>
                <w:w w:val="100"/>
                <w:kern w:val="0"/>
              </w:rPr>
              <w:tab/>
            </w:r>
            <w:r w:rsidRPr="003E62B5">
              <w:rPr>
                <w:spacing w:val="0"/>
                <w:w w:val="100"/>
                <w:kern w:val="0"/>
              </w:rPr>
              <w:t>В разделах 9.7.4 и 9.8.3 содержатся положения об электрических соединениях между шасси и цистерной, элементом батареи, контейнерами для массовых грузов и специальными отделениями для упаковок. В данном случае речь идет об уравнивании потенциалов, а не о заземлении, как заявлено в заголовке.</w:t>
            </w:r>
          </w:p>
        </w:tc>
      </w:tr>
      <w:tr w:rsidR="00AA64B9" w:rsidRPr="003E62B5" w:rsidTr="00850215">
        <w:trPr>
          <w:jc w:val="center"/>
        </w:trPr>
        <w:tc>
          <w:tcPr>
            <w:tcW w:w="9637" w:type="dxa"/>
            <w:tcBorders>
              <w:top w:val="nil"/>
              <w:bottom w:val="nil"/>
            </w:tcBorders>
            <w:shd w:val="clear" w:color="auto" w:fill="auto"/>
          </w:tcPr>
          <w:p w:rsidR="00AA64B9" w:rsidRPr="003E62B5" w:rsidRDefault="00AA64B9" w:rsidP="003E62B5">
            <w:pPr>
              <w:pStyle w:val="SingleTxtGR"/>
              <w:suppressAutoHyphens/>
              <w:spacing w:line="230" w:lineRule="atLeast"/>
              <w:rPr>
                <w:spacing w:val="0"/>
                <w:w w:val="100"/>
                <w:kern w:val="0"/>
              </w:rPr>
            </w:pPr>
            <w:r w:rsidRPr="003E62B5">
              <w:rPr>
                <w:b/>
                <w:spacing w:val="0"/>
                <w:w w:val="100"/>
                <w:kern w:val="0"/>
              </w:rPr>
              <w:t>Предлагаемое решение</w:t>
            </w:r>
            <w:r w:rsidRPr="003E62B5">
              <w:rPr>
                <w:spacing w:val="0"/>
                <w:w w:val="100"/>
                <w:kern w:val="0"/>
              </w:rPr>
              <w:t>:</w:t>
            </w:r>
            <w:r w:rsidRPr="003E62B5">
              <w:rPr>
                <w:spacing w:val="0"/>
                <w:w w:val="100"/>
                <w:kern w:val="0"/>
              </w:rPr>
              <w:tab/>
            </w:r>
            <w:r w:rsidR="003E62B5">
              <w:rPr>
                <w:spacing w:val="0"/>
                <w:w w:val="100"/>
                <w:kern w:val="0"/>
              </w:rPr>
              <w:tab/>
            </w:r>
            <w:r w:rsidRPr="003E62B5">
              <w:rPr>
                <w:spacing w:val="0"/>
                <w:w w:val="100"/>
                <w:kern w:val="0"/>
              </w:rPr>
              <w:t>Изменить заголовки в разделах 9.7.4 и 9.8.3.</w:t>
            </w:r>
          </w:p>
        </w:tc>
      </w:tr>
      <w:tr w:rsidR="00AA64B9" w:rsidRPr="003E62B5" w:rsidTr="00850215">
        <w:trPr>
          <w:jc w:val="center"/>
        </w:trPr>
        <w:tc>
          <w:tcPr>
            <w:tcW w:w="9637" w:type="dxa"/>
            <w:tcBorders>
              <w:top w:val="nil"/>
              <w:bottom w:val="nil"/>
            </w:tcBorders>
            <w:shd w:val="clear" w:color="auto" w:fill="auto"/>
          </w:tcPr>
          <w:p w:rsidR="00AA64B9" w:rsidRPr="003E62B5" w:rsidRDefault="00AA64B9" w:rsidP="003E62B5">
            <w:pPr>
              <w:pStyle w:val="SingleTxtGR"/>
              <w:suppressAutoHyphens/>
              <w:spacing w:line="230" w:lineRule="atLeast"/>
              <w:ind w:left="3969" w:hanging="2835"/>
              <w:rPr>
                <w:spacing w:val="0"/>
                <w:w w:val="100"/>
                <w:kern w:val="0"/>
              </w:rPr>
            </w:pPr>
            <w:r w:rsidRPr="003E62B5">
              <w:rPr>
                <w:b/>
                <w:spacing w:val="0"/>
                <w:w w:val="100"/>
                <w:kern w:val="0"/>
              </w:rPr>
              <w:t>Справочные документы</w:t>
            </w:r>
            <w:r w:rsidRPr="003E62B5">
              <w:rPr>
                <w:spacing w:val="0"/>
                <w:w w:val="100"/>
                <w:kern w:val="0"/>
              </w:rPr>
              <w:t>:</w:t>
            </w:r>
            <w:r w:rsidRPr="003E62B5">
              <w:rPr>
                <w:spacing w:val="0"/>
                <w:w w:val="100"/>
                <w:kern w:val="0"/>
              </w:rPr>
              <w:tab/>
              <w:t>Неофициальный документ INF.4 103-й сессии Рабочей группы, ECE/TRANS/WP.15/239, пункты 59, 60.</w:t>
            </w:r>
          </w:p>
        </w:tc>
      </w:tr>
      <w:tr w:rsidR="00AA64B9" w:rsidRPr="003E62B5" w:rsidTr="00850215">
        <w:trPr>
          <w:jc w:val="center"/>
        </w:trPr>
        <w:tc>
          <w:tcPr>
            <w:tcW w:w="9637" w:type="dxa"/>
            <w:tcBorders>
              <w:top w:val="nil"/>
            </w:tcBorders>
          </w:tcPr>
          <w:p w:rsidR="00AA64B9" w:rsidRPr="003E62B5" w:rsidRDefault="00AA64B9" w:rsidP="003E62B5">
            <w:pPr>
              <w:suppressAutoHyphens/>
              <w:rPr>
                <w:rFonts w:cs="Times New Roman"/>
                <w:spacing w:val="0"/>
                <w:w w:val="100"/>
                <w:kern w:val="0"/>
              </w:rPr>
            </w:pPr>
          </w:p>
        </w:tc>
      </w:tr>
    </w:tbl>
    <w:p w:rsidR="00AA64B9" w:rsidRPr="003E62B5" w:rsidRDefault="00AA64B9" w:rsidP="003E62B5">
      <w:pPr>
        <w:pStyle w:val="HChGR"/>
        <w:spacing w:line="260" w:lineRule="exact"/>
        <w:rPr>
          <w:spacing w:val="0"/>
          <w:w w:val="100"/>
          <w:kern w:val="0"/>
        </w:rPr>
      </w:pPr>
      <w:r w:rsidRPr="003E62B5">
        <w:rPr>
          <w:spacing w:val="0"/>
          <w:w w:val="100"/>
          <w:kern w:val="0"/>
        </w:rPr>
        <w:tab/>
      </w:r>
      <w:r w:rsidRPr="003E62B5">
        <w:rPr>
          <w:spacing w:val="0"/>
          <w:w w:val="100"/>
          <w:kern w:val="0"/>
        </w:rPr>
        <w:tab/>
        <w:t>Введение</w:t>
      </w:r>
    </w:p>
    <w:p w:rsidR="00AA64B9" w:rsidRPr="003E62B5" w:rsidRDefault="00AA64B9" w:rsidP="003E62B5">
      <w:pPr>
        <w:pStyle w:val="SingleTxtGR"/>
        <w:suppressAutoHyphens/>
        <w:spacing w:line="230" w:lineRule="atLeast"/>
        <w:rPr>
          <w:spacing w:val="0"/>
          <w:w w:val="100"/>
          <w:kern w:val="0"/>
        </w:rPr>
      </w:pPr>
      <w:r w:rsidRPr="003E62B5">
        <w:rPr>
          <w:spacing w:val="0"/>
          <w:w w:val="100"/>
          <w:kern w:val="0"/>
        </w:rPr>
        <w:t>1.</w:t>
      </w:r>
      <w:r w:rsidRPr="003E62B5">
        <w:rPr>
          <w:spacing w:val="0"/>
          <w:w w:val="100"/>
          <w:kern w:val="0"/>
        </w:rPr>
        <w:tab/>
        <w:t>На 103-й сессии Рабочей группы в ноябре 2017 года Швеция подняла вопрос (см. неофициальный документ INF.4 103-й сессии) относительно различия в терминах, используемых в ДОПОГ для описания электрических соединени</w:t>
      </w:r>
      <w:r w:rsidR="00EF2484">
        <w:rPr>
          <w:spacing w:val="0"/>
          <w:w w:val="100"/>
          <w:kern w:val="0"/>
        </w:rPr>
        <w:t>й</w:t>
      </w:r>
      <w:r w:rsidRPr="003E62B5">
        <w:rPr>
          <w:spacing w:val="0"/>
          <w:w w:val="100"/>
          <w:kern w:val="0"/>
        </w:rPr>
        <w:t xml:space="preserve"> в требованиях, касающихся мер предосторожности против электростатических зарядов. Цель этого </w:t>
      </w:r>
      <w:r w:rsidRPr="003E62B5">
        <w:rPr>
          <w:spacing w:val="0"/>
          <w:w w:val="100"/>
          <w:kern w:val="0"/>
        </w:rPr>
        <w:lastRenderedPageBreak/>
        <w:t>документа заключалась в том, чтобы разъяснить, что фактически понимается в различных разделах.</w:t>
      </w:r>
    </w:p>
    <w:p w:rsidR="00AA64B9" w:rsidRPr="003E62B5" w:rsidRDefault="00AA64B9" w:rsidP="003E62B5">
      <w:pPr>
        <w:pStyle w:val="SingleTxtGR"/>
        <w:suppressAutoHyphens/>
        <w:rPr>
          <w:spacing w:val="0"/>
          <w:w w:val="100"/>
          <w:kern w:val="0"/>
        </w:rPr>
      </w:pPr>
      <w:r w:rsidRPr="003E62B5">
        <w:rPr>
          <w:spacing w:val="0"/>
          <w:w w:val="100"/>
          <w:kern w:val="0"/>
        </w:rPr>
        <w:t>2.</w:t>
      </w:r>
      <w:r w:rsidRPr="003E62B5">
        <w:rPr>
          <w:spacing w:val="0"/>
          <w:w w:val="100"/>
          <w:kern w:val="0"/>
        </w:rPr>
        <w:tab/>
        <w:t>На сессии было решено следующее (выдержка из доклада):</w:t>
      </w:r>
    </w:p>
    <w:p w:rsidR="00AA64B9" w:rsidRPr="003E62B5" w:rsidRDefault="003E62B5" w:rsidP="003E62B5">
      <w:pPr>
        <w:pStyle w:val="SingleTxtGR"/>
        <w:suppressAutoHyphens/>
        <w:rPr>
          <w:i/>
          <w:spacing w:val="0"/>
          <w:w w:val="100"/>
          <w:kern w:val="0"/>
        </w:rPr>
      </w:pPr>
      <w:r w:rsidRPr="003E62B5">
        <w:rPr>
          <w:spacing w:val="0"/>
          <w:w w:val="100"/>
          <w:kern w:val="0"/>
        </w:rPr>
        <w:t>«</w:t>
      </w:r>
      <w:r w:rsidR="00AA64B9" w:rsidRPr="003E62B5">
        <w:rPr>
          <w:spacing w:val="0"/>
          <w:w w:val="100"/>
          <w:kern w:val="0"/>
        </w:rPr>
        <w:t>59.</w:t>
      </w:r>
      <w:r w:rsidR="00AA64B9" w:rsidRPr="003E62B5">
        <w:rPr>
          <w:spacing w:val="0"/>
          <w:w w:val="100"/>
          <w:kern w:val="0"/>
        </w:rPr>
        <w:tab/>
      </w:r>
      <w:r w:rsidR="00AA64B9" w:rsidRPr="003E62B5">
        <w:rPr>
          <w:i/>
          <w:iCs/>
          <w:spacing w:val="0"/>
          <w:w w:val="100"/>
          <w:kern w:val="0"/>
        </w:rPr>
        <w:t>Касаясь первого случая, представленного в неофициальном документе INF.4, Рабочая группа подтвердила толкование Швеции, а именно то, что для выполнения требований раздела 7.5.10 заземление шасси транспортного средства должно быть обеспечено до наполнения или опорожнения цистерн либо путем непосредственного заземления транспортного средства или цистерны, либо путем соединения транспортного средства или цистерны с резервуаром-хранилищем, который сам заземлен.</w:t>
      </w:r>
      <w:r w:rsidR="00AA64B9" w:rsidRPr="003E62B5">
        <w:rPr>
          <w:spacing w:val="0"/>
          <w:w w:val="100"/>
          <w:kern w:val="0"/>
        </w:rPr>
        <w:t xml:space="preserve"> </w:t>
      </w:r>
    </w:p>
    <w:p w:rsidR="00AA64B9" w:rsidRPr="003E62B5" w:rsidRDefault="00AA64B9" w:rsidP="003E62B5">
      <w:pPr>
        <w:pStyle w:val="SingleTxtGR"/>
        <w:suppressAutoHyphens/>
        <w:rPr>
          <w:i/>
          <w:spacing w:val="0"/>
          <w:w w:val="100"/>
          <w:kern w:val="0"/>
        </w:rPr>
      </w:pPr>
      <w:r w:rsidRPr="003E62B5">
        <w:rPr>
          <w:spacing w:val="0"/>
          <w:w w:val="100"/>
          <w:kern w:val="0"/>
        </w:rPr>
        <w:t>60.</w:t>
      </w:r>
      <w:r w:rsidRPr="003E62B5">
        <w:rPr>
          <w:spacing w:val="0"/>
          <w:w w:val="100"/>
          <w:kern w:val="0"/>
        </w:rPr>
        <w:tab/>
      </w:r>
      <w:r w:rsidRPr="003E62B5">
        <w:rPr>
          <w:i/>
          <w:spacing w:val="0"/>
          <w:w w:val="100"/>
          <w:kern w:val="0"/>
        </w:rPr>
        <w:t>Что касается второго случая, то Рабочая группа подтвердила, что положения, содержащиеся в разделах 9.7.4 и 9.8.3, предписывают уравнивание потенциалов, в то время как в названиях этих раз</w:t>
      </w:r>
      <w:r w:rsidR="003E62B5">
        <w:rPr>
          <w:i/>
          <w:spacing w:val="0"/>
          <w:w w:val="100"/>
          <w:kern w:val="0"/>
        </w:rPr>
        <w:t>делов говорится о заземлении. В </w:t>
      </w:r>
      <w:r w:rsidRPr="003E62B5">
        <w:rPr>
          <w:i/>
          <w:spacing w:val="0"/>
          <w:w w:val="100"/>
          <w:kern w:val="0"/>
        </w:rPr>
        <w:t>целях уточнения текста представитель Швеции может предложить изменения к используемым терминам на следующей сессии</w:t>
      </w:r>
      <w:r w:rsidR="003E62B5" w:rsidRPr="003E62B5">
        <w:rPr>
          <w:spacing w:val="0"/>
          <w:w w:val="100"/>
          <w:kern w:val="0"/>
        </w:rPr>
        <w:t>»</w:t>
      </w:r>
      <w:r w:rsidRPr="003E62B5">
        <w:rPr>
          <w:spacing w:val="0"/>
          <w:w w:val="100"/>
          <w:kern w:val="0"/>
        </w:rPr>
        <w:t>.</w:t>
      </w:r>
    </w:p>
    <w:p w:rsidR="00AA64B9" w:rsidRPr="003E62B5" w:rsidRDefault="00AA64B9" w:rsidP="003E62B5">
      <w:pPr>
        <w:pStyle w:val="SingleTxtGR"/>
        <w:suppressAutoHyphens/>
        <w:rPr>
          <w:spacing w:val="0"/>
          <w:w w:val="100"/>
          <w:kern w:val="0"/>
        </w:rPr>
      </w:pPr>
      <w:r w:rsidRPr="003E62B5">
        <w:rPr>
          <w:spacing w:val="0"/>
          <w:w w:val="100"/>
          <w:kern w:val="0"/>
        </w:rPr>
        <w:t>3.</w:t>
      </w:r>
      <w:r w:rsidRPr="003E62B5">
        <w:rPr>
          <w:spacing w:val="0"/>
          <w:w w:val="100"/>
          <w:kern w:val="0"/>
        </w:rPr>
        <w:tab/>
        <w:t>Разделами 9.7.4 и 9.8.3 предусматривается обеспечение надлежащего электрического контакта путем соединения цистерн, контейнеров и грузовых отделений с шасси. Насколько мы понимаем, та</w:t>
      </w:r>
      <w:r w:rsidR="003E62B5" w:rsidRPr="003E62B5">
        <w:rPr>
          <w:spacing w:val="0"/>
          <w:w w:val="100"/>
          <w:kern w:val="0"/>
        </w:rPr>
        <w:t xml:space="preserve">кое </w:t>
      </w:r>
      <w:proofErr w:type="spellStart"/>
      <w:r w:rsidR="003E62B5" w:rsidRPr="003E62B5">
        <w:rPr>
          <w:spacing w:val="0"/>
          <w:w w:val="100"/>
          <w:kern w:val="0"/>
        </w:rPr>
        <w:t>соедниение</w:t>
      </w:r>
      <w:proofErr w:type="spellEnd"/>
      <w:r w:rsidR="003E62B5" w:rsidRPr="003E62B5">
        <w:rPr>
          <w:spacing w:val="0"/>
          <w:w w:val="100"/>
          <w:kern w:val="0"/>
        </w:rPr>
        <w:t xml:space="preserve"> обычно называют «</w:t>
      </w:r>
      <w:proofErr w:type="spellStart"/>
      <w:r w:rsidR="003E62B5" w:rsidRPr="003E62B5">
        <w:rPr>
          <w:spacing w:val="0"/>
          <w:w w:val="100"/>
          <w:kern w:val="0"/>
        </w:rPr>
        <w:t>bonding</w:t>
      </w:r>
      <w:proofErr w:type="spellEnd"/>
      <w:r w:rsidR="003E62B5" w:rsidRPr="003E62B5">
        <w:rPr>
          <w:spacing w:val="0"/>
          <w:w w:val="100"/>
          <w:kern w:val="0"/>
        </w:rPr>
        <w:t>» («</w:t>
      </w:r>
      <w:r w:rsidRPr="003E62B5">
        <w:rPr>
          <w:spacing w:val="0"/>
          <w:w w:val="100"/>
          <w:kern w:val="0"/>
        </w:rPr>
        <w:t>уравнива</w:t>
      </w:r>
      <w:r w:rsidR="003E62B5" w:rsidRPr="003E62B5">
        <w:rPr>
          <w:spacing w:val="0"/>
          <w:w w:val="100"/>
          <w:kern w:val="0"/>
        </w:rPr>
        <w:t>ние потенциалов»</w:t>
      </w:r>
      <w:r w:rsidRPr="003E62B5">
        <w:rPr>
          <w:spacing w:val="0"/>
          <w:w w:val="100"/>
          <w:kern w:val="0"/>
        </w:rPr>
        <w:t xml:space="preserve">), в то время </w:t>
      </w:r>
      <w:r w:rsidR="003E62B5" w:rsidRPr="003E62B5">
        <w:rPr>
          <w:spacing w:val="0"/>
          <w:w w:val="100"/>
          <w:kern w:val="0"/>
        </w:rPr>
        <w:t>как в ДОПОГ используется слово «</w:t>
      </w:r>
      <w:proofErr w:type="spellStart"/>
      <w:r w:rsidR="003E62B5" w:rsidRPr="003E62B5">
        <w:rPr>
          <w:spacing w:val="0"/>
          <w:w w:val="100"/>
          <w:kern w:val="0"/>
        </w:rPr>
        <w:t>earthing</w:t>
      </w:r>
      <w:proofErr w:type="spellEnd"/>
      <w:r w:rsidR="003E62B5" w:rsidRPr="003E62B5">
        <w:rPr>
          <w:spacing w:val="0"/>
          <w:w w:val="100"/>
          <w:kern w:val="0"/>
        </w:rPr>
        <w:t>» («заземление»</w:t>
      </w:r>
      <w:r w:rsidRPr="003E62B5">
        <w:rPr>
          <w:spacing w:val="0"/>
          <w:w w:val="100"/>
          <w:kern w:val="0"/>
        </w:rPr>
        <w:t>).</w:t>
      </w:r>
    </w:p>
    <w:p w:rsidR="00AA64B9" w:rsidRPr="003E62B5" w:rsidRDefault="00AA64B9" w:rsidP="003E62B5">
      <w:pPr>
        <w:pStyle w:val="SingleTxtGR"/>
        <w:suppressAutoHyphens/>
        <w:rPr>
          <w:spacing w:val="0"/>
          <w:w w:val="100"/>
          <w:kern w:val="0"/>
        </w:rPr>
      </w:pPr>
      <w:r w:rsidRPr="003E62B5">
        <w:rPr>
          <w:spacing w:val="0"/>
          <w:w w:val="100"/>
          <w:kern w:val="0"/>
        </w:rPr>
        <w:t>4.</w:t>
      </w:r>
      <w:r w:rsidRPr="003E62B5">
        <w:rPr>
          <w:spacing w:val="0"/>
          <w:w w:val="100"/>
          <w:kern w:val="0"/>
        </w:rPr>
        <w:tab/>
        <w:t>Как указано в докладе о работе 103-й сессии (см. выше), его участники подтвердили, что положения разде</w:t>
      </w:r>
      <w:r w:rsidR="003E62B5" w:rsidRPr="003E62B5">
        <w:rPr>
          <w:spacing w:val="0"/>
          <w:w w:val="100"/>
          <w:kern w:val="0"/>
        </w:rPr>
        <w:t>лов 9.7.4 и 9.8.3 предписывают «</w:t>
      </w:r>
      <w:proofErr w:type="spellStart"/>
      <w:r w:rsidR="003E62B5" w:rsidRPr="003E62B5">
        <w:rPr>
          <w:spacing w:val="0"/>
          <w:w w:val="100"/>
          <w:kern w:val="0"/>
        </w:rPr>
        <w:t>bonding</w:t>
      </w:r>
      <w:proofErr w:type="spellEnd"/>
      <w:r w:rsidR="003E62B5" w:rsidRPr="003E62B5">
        <w:rPr>
          <w:spacing w:val="0"/>
          <w:w w:val="100"/>
          <w:kern w:val="0"/>
        </w:rPr>
        <w:t>» («</w:t>
      </w:r>
      <w:r w:rsidRPr="003E62B5">
        <w:rPr>
          <w:spacing w:val="0"/>
          <w:w w:val="100"/>
          <w:kern w:val="0"/>
        </w:rPr>
        <w:t>уравнивание потенциа</w:t>
      </w:r>
      <w:r w:rsidR="003E62B5" w:rsidRPr="003E62B5">
        <w:rPr>
          <w:spacing w:val="0"/>
          <w:w w:val="100"/>
          <w:kern w:val="0"/>
        </w:rPr>
        <w:t>лов»</w:t>
      </w:r>
      <w:r w:rsidRPr="003E62B5">
        <w:rPr>
          <w:spacing w:val="0"/>
          <w:w w:val="100"/>
          <w:kern w:val="0"/>
        </w:rPr>
        <w:t>), хот</w:t>
      </w:r>
      <w:r w:rsidR="003E62B5" w:rsidRPr="003E62B5">
        <w:rPr>
          <w:spacing w:val="0"/>
          <w:w w:val="100"/>
          <w:kern w:val="0"/>
        </w:rPr>
        <w:t>я в обоих разделах говорится о «</w:t>
      </w:r>
      <w:proofErr w:type="spellStart"/>
      <w:r w:rsidR="003E62B5" w:rsidRPr="003E62B5">
        <w:rPr>
          <w:spacing w:val="0"/>
          <w:w w:val="100"/>
          <w:kern w:val="0"/>
        </w:rPr>
        <w:t>earthing</w:t>
      </w:r>
      <w:proofErr w:type="spellEnd"/>
      <w:r w:rsidR="003E62B5" w:rsidRPr="003E62B5">
        <w:rPr>
          <w:spacing w:val="0"/>
          <w:w w:val="100"/>
          <w:kern w:val="0"/>
        </w:rPr>
        <w:t>» («заземление»</w:t>
      </w:r>
      <w:r w:rsidRPr="003E62B5">
        <w:rPr>
          <w:spacing w:val="0"/>
          <w:w w:val="100"/>
          <w:kern w:val="0"/>
        </w:rPr>
        <w:t>). На предыдущей се</w:t>
      </w:r>
      <w:r w:rsidR="003E62B5" w:rsidRPr="003E62B5">
        <w:rPr>
          <w:spacing w:val="0"/>
          <w:w w:val="100"/>
          <w:kern w:val="0"/>
        </w:rPr>
        <w:t>ссии было отмечено, что термин «</w:t>
      </w:r>
      <w:proofErr w:type="spellStart"/>
      <w:r w:rsidR="003E62B5" w:rsidRPr="003E62B5">
        <w:rPr>
          <w:spacing w:val="0"/>
          <w:w w:val="100"/>
          <w:kern w:val="0"/>
        </w:rPr>
        <w:t>bonding</w:t>
      </w:r>
      <w:proofErr w:type="spellEnd"/>
      <w:r w:rsidR="003E62B5" w:rsidRPr="003E62B5">
        <w:rPr>
          <w:spacing w:val="0"/>
          <w:w w:val="100"/>
          <w:kern w:val="0"/>
        </w:rPr>
        <w:t>»</w:t>
      </w:r>
      <w:r w:rsidRPr="003E62B5">
        <w:rPr>
          <w:spacing w:val="0"/>
          <w:w w:val="100"/>
          <w:kern w:val="0"/>
        </w:rPr>
        <w:t xml:space="preserve"> используется в других частях ДОПОГ, в силу чего применять его в части 9 может быть неуместно. </w:t>
      </w:r>
    </w:p>
    <w:p w:rsidR="00AA64B9" w:rsidRPr="003E62B5" w:rsidRDefault="00AA64B9" w:rsidP="003E62B5">
      <w:pPr>
        <w:pStyle w:val="SingleTxtGR"/>
        <w:suppressAutoHyphens/>
        <w:rPr>
          <w:spacing w:val="0"/>
          <w:w w:val="100"/>
          <w:kern w:val="0"/>
        </w:rPr>
      </w:pPr>
      <w:r w:rsidRPr="003E62B5">
        <w:rPr>
          <w:spacing w:val="0"/>
          <w:w w:val="100"/>
          <w:kern w:val="0"/>
        </w:rPr>
        <w:t>5.</w:t>
      </w:r>
      <w:r w:rsidRPr="003E62B5">
        <w:rPr>
          <w:spacing w:val="0"/>
          <w:w w:val="100"/>
          <w:kern w:val="0"/>
        </w:rPr>
        <w:tab/>
        <w:t>Насколько нам известно, этот термин встречается в ДОПОГ только в двух местах: в пункте 6.1.4.18.1, касающемся бумажных мешков, и в пункте 6.9.2.2.3, касающемся цистерн из армирован</w:t>
      </w:r>
      <w:r w:rsidR="00EF2484">
        <w:rPr>
          <w:spacing w:val="0"/>
          <w:w w:val="100"/>
          <w:kern w:val="0"/>
        </w:rPr>
        <w:t>ных волокном пластмасс. В целом</w:t>
      </w:r>
      <w:r w:rsidRPr="003E62B5">
        <w:rPr>
          <w:spacing w:val="0"/>
          <w:w w:val="100"/>
          <w:kern w:val="0"/>
        </w:rPr>
        <w:t xml:space="preserve"> в обоих этих пунктах описывается процесс изготовления, предусматривающий скл</w:t>
      </w:r>
      <w:r w:rsidR="003E62B5" w:rsidRPr="003E62B5">
        <w:rPr>
          <w:spacing w:val="0"/>
          <w:w w:val="100"/>
          <w:kern w:val="0"/>
        </w:rPr>
        <w:t>еивание («</w:t>
      </w:r>
      <w:proofErr w:type="spellStart"/>
      <w:r w:rsidR="003E62B5" w:rsidRPr="003E62B5">
        <w:rPr>
          <w:spacing w:val="0"/>
          <w:w w:val="100"/>
          <w:kern w:val="0"/>
        </w:rPr>
        <w:t>bonding</w:t>
      </w:r>
      <w:proofErr w:type="spellEnd"/>
      <w:r w:rsidR="003E62B5" w:rsidRPr="003E62B5">
        <w:rPr>
          <w:spacing w:val="0"/>
          <w:w w:val="100"/>
          <w:kern w:val="0"/>
        </w:rPr>
        <w:t>»</w:t>
      </w:r>
      <w:r w:rsidRPr="003E62B5">
        <w:rPr>
          <w:spacing w:val="0"/>
          <w:w w:val="100"/>
          <w:kern w:val="0"/>
        </w:rPr>
        <w:t xml:space="preserve">) различных материалов с другими слоями одного и того же изделия. </w:t>
      </w:r>
    </w:p>
    <w:p w:rsidR="00AA64B9" w:rsidRPr="003E62B5" w:rsidRDefault="00AA64B9" w:rsidP="003E62B5">
      <w:pPr>
        <w:pStyle w:val="SingleTxtGR"/>
        <w:suppressAutoHyphens/>
        <w:rPr>
          <w:spacing w:val="0"/>
          <w:w w:val="100"/>
          <w:kern w:val="0"/>
        </w:rPr>
      </w:pPr>
      <w:r w:rsidRPr="003E62B5">
        <w:rPr>
          <w:spacing w:val="0"/>
          <w:w w:val="100"/>
          <w:kern w:val="0"/>
        </w:rPr>
        <w:t>6.</w:t>
      </w:r>
      <w:r w:rsidRPr="003E62B5">
        <w:rPr>
          <w:spacing w:val="0"/>
          <w:w w:val="100"/>
          <w:kern w:val="0"/>
        </w:rPr>
        <w:tab/>
        <w:t>Швеция не считает, что использование одного и того же</w:t>
      </w:r>
      <w:r w:rsidR="00EF2484">
        <w:rPr>
          <w:spacing w:val="0"/>
          <w:w w:val="100"/>
          <w:kern w:val="0"/>
        </w:rPr>
        <w:t xml:space="preserve"> термина, но с другим значением</w:t>
      </w:r>
      <w:r w:rsidRPr="003E62B5">
        <w:rPr>
          <w:spacing w:val="0"/>
          <w:w w:val="100"/>
          <w:kern w:val="0"/>
        </w:rPr>
        <w:t xml:space="preserve"> в части 9 могло бы привести к какой-либо путанице. Внесение поправок в заголовки позволило бы лучше отразить требова</w:t>
      </w:r>
      <w:r w:rsidR="00EF2484">
        <w:rPr>
          <w:spacing w:val="0"/>
          <w:w w:val="100"/>
          <w:kern w:val="0"/>
        </w:rPr>
        <w:t>ния, предусмотренные в разделах </w:t>
      </w:r>
      <w:r w:rsidRPr="003E62B5">
        <w:rPr>
          <w:spacing w:val="0"/>
          <w:w w:val="100"/>
          <w:kern w:val="0"/>
        </w:rPr>
        <w:t>9.7.4 и 9.8.3.</w:t>
      </w:r>
    </w:p>
    <w:p w:rsidR="00AA64B9" w:rsidRPr="003E62B5" w:rsidRDefault="00AA64B9" w:rsidP="003E62B5">
      <w:pPr>
        <w:pStyle w:val="HChGR"/>
        <w:rPr>
          <w:spacing w:val="0"/>
          <w:w w:val="100"/>
          <w:kern w:val="0"/>
        </w:rPr>
      </w:pPr>
      <w:r w:rsidRPr="003E62B5">
        <w:rPr>
          <w:spacing w:val="0"/>
          <w:w w:val="100"/>
          <w:kern w:val="0"/>
        </w:rPr>
        <w:tab/>
      </w:r>
      <w:r w:rsidRPr="003E62B5">
        <w:rPr>
          <w:spacing w:val="0"/>
          <w:w w:val="100"/>
          <w:kern w:val="0"/>
        </w:rPr>
        <w:tab/>
        <w:t>Предложения</w:t>
      </w:r>
    </w:p>
    <w:p w:rsidR="00AA64B9" w:rsidRPr="003E62B5" w:rsidRDefault="00AA64B9" w:rsidP="003E62B5">
      <w:pPr>
        <w:pStyle w:val="SingleTxtGR"/>
        <w:suppressAutoHyphens/>
        <w:rPr>
          <w:spacing w:val="0"/>
          <w:w w:val="100"/>
          <w:kern w:val="0"/>
        </w:rPr>
      </w:pPr>
      <w:r w:rsidRPr="003E62B5">
        <w:rPr>
          <w:spacing w:val="0"/>
          <w:w w:val="100"/>
          <w:kern w:val="0"/>
        </w:rPr>
        <w:t>7.</w:t>
      </w:r>
      <w:r w:rsidRPr="003E62B5">
        <w:rPr>
          <w:spacing w:val="0"/>
          <w:w w:val="100"/>
          <w:kern w:val="0"/>
        </w:rPr>
        <w:tab/>
        <w:t>Внести поправку в заголовок раздела 9.7.4 следующего содержания (изменения вычеркнуты или подчеркнуты):</w:t>
      </w:r>
    </w:p>
    <w:p w:rsidR="00AA64B9" w:rsidRPr="003E62B5" w:rsidRDefault="003E62B5" w:rsidP="003E62B5">
      <w:pPr>
        <w:pStyle w:val="SingleTxtGR"/>
        <w:suppressAutoHyphens/>
        <w:rPr>
          <w:spacing w:val="0"/>
          <w:w w:val="100"/>
          <w:kern w:val="0"/>
        </w:rPr>
      </w:pPr>
      <w:r w:rsidRPr="003E62B5">
        <w:rPr>
          <w:spacing w:val="0"/>
          <w:w w:val="100"/>
          <w:kern w:val="0"/>
        </w:rPr>
        <w:t>«</w:t>
      </w:r>
      <w:r w:rsidR="00AA64B9" w:rsidRPr="003E62B5">
        <w:rPr>
          <w:spacing w:val="0"/>
          <w:w w:val="100"/>
          <w:kern w:val="0"/>
        </w:rPr>
        <w:t xml:space="preserve">9.7.4 </w:t>
      </w:r>
      <w:r w:rsidR="00AA64B9" w:rsidRPr="003E62B5">
        <w:rPr>
          <w:strike/>
          <w:spacing w:val="0"/>
          <w:w w:val="100"/>
          <w:kern w:val="0"/>
        </w:rPr>
        <w:t>Заземление</w:t>
      </w:r>
      <w:r w:rsidR="00AA64B9" w:rsidRPr="003E62B5">
        <w:rPr>
          <w:spacing w:val="0"/>
          <w:w w:val="100"/>
          <w:kern w:val="0"/>
        </w:rPr>
        <w:t xml:space="preserve"> </w:t>
      </w:r>
      <w:r w:rsidR="00AA64B9" w:rsidRPr="003E62B5">
        <w:rPr>
          <w:spacing w:val="0"/>
          <w:w w:val="100"/>
          <w:kern w:val="0"/>
          <w:u w:val="single"/>
        </w:rPr>
        <w:t xml:space="preserve">Уравнивание потенциалов на </w:t>
      </w:r>
      <w:r w:rsidR="00AA64B9" w:rsidRPr="003E62B5">
        <w:rPr>
          <w:spacing w:val="0"/>
          <w:w w:val="100"/>
          <w:kern w:val="0"/>
        </w:rPr>
        <w:t>транспорт</w:t>
      </w:r>
      <w:r w:rsidRPr="003E62B5">
        <w:rPr>
          <w:spacing w:val="0"/>
          <w:w w:val="100"/>
          <w:kern w:val="0"/>
        </w:rPr>
        <w:t>ных средствах FL»</w:t>
      </w:r>
    </w:p>
    <w:p w:rsidR="00AA64B9" w:rsidRPr="003E62B5" w:rsidRDefault="00AA64B9" w:rsidP="003E62B5">
      <w:pPr>
        <w:pStyle w:val="SingleTxtGR"/>
        <w:suppressAutoHyphens/>
        <w:rPr>
          <w:spacing w:val="0"/>
          <w:w w:val="100"/>
          <w:kern w:val="0"/>
        </w:rPr>
      </w:pPr>
      <w:r w:rsidRPr="003E62B5">
        <w:rPr>
          <w:spacing w:val="0"/>
          <w:w w:val="100"/>
          <w:kern w:val="0"/>
        </w:rPr>
        <w:t>8.</w:t>
      </w:r>
      <w:r w:rsidRPr="003E62B5">
        <w:rPr>
          <w:spacing w:val="0"/>
          <w:w w:val="100"/>
          <w:kern w:val="0"/>
        </w:rPr>
        <w:tab/>
        <w:t>Внести поправку в заголовок раздела 9.8.3 следующего содержания (изменения вычеркнуты или подчеркнуты):</w:t>
      </w:r>
    </w:p>
    <w:p w:rsidR="00AA64B9" w:rsidRPr="003E62B5" w:rsidRDefault="003E62B5" w:rsidP="003E62B5">
      <w:pPr>
        <w:pStyle w:val="SingleTxtGR"/>
        <w:suppressAutoHyphens/>
        <w:rPr>
          <w:spacing w:val="0"/>
          <w:w w:val="100"/>
          <w:kern w:val="0"/>
        </w:rPr>
      </w:pPr>
      <w:r w:rsidRPr="003E62B5">
        <w:rPr>
          <w:spacing w:val="0"/>
          <w:w w:val="100"/>
          <w:kern w:val="0"/>
        </w:rPr>
        <w:t>«</w:t>
      </w:r>
      <w:r w:rsidR="00AA64B9" w:rsidRPr="003E62B5">
        <w:rPr>
          <w:spacing w:val="0"/>
          <w:w w:val="100"/>
          <w:kern w:val="0"/>
        </w:rPr>
        <w:t xml:space="preserve">9.8.3 </w:t>
      </w:r>
      <w:r w:rsidR="00AA64B9" w:rsidRPr="003E62B5">
        <w:rPr>
          <w:strike/>
          <w:spacing w:val="0"/>
          <w:w w:val="100"/>
          <w:kern w:val="0"/>
        </w:rPr>
        <w:t xml:space="preserve">Заземление </w:t>
      </w:r>
      <w:r w:rsidR="00AA64B9" w:rsidRPr="003E62B5">
        <w:rPr>
          <w:spacing w:val="0"/>
          <w:w w:val="100"/>
          <w:kern w:val="0"/>
          <w:u w:val="single"/>
        </w:rPr>
        <w:t xml:space="preserve">Уравнивание потенциалов на </w:t>
      </w:r>
      <w:r w:rsidRPr="003E62B5">
        <w:rPr>
          <w:spacing w:val="0"/>
          <w:w w:val="100"/>
          <w:kern w:val="0"/>
        </w:rPr>
        <w:t>MEMU»</w:t>
      </w:r>
    </w:p>
    <w:p w:rsidR="00AA64B9" w:rsidRPr="003E62B5" w:rsidRDefault="00AA64B9" w:rsidP="003E62B5">
      <w:pPr>
        <w:pStyle w:val="SingleTxtGR"/>
        <w:suppressAutoHyphens/>
        <w:rPr>
          <w:spacing w:val="0"/>
          <w:w w:val="100"/>
          <w:kern w:val="0"/>
          <w:u w:val="single"/>
        </w:rPr>
      </w:pPr>
      <w:r w:rsidRPr="003E62B5">
        <w:rPr>
          <w:spacing w:val="0"/>
          <w:w w:val="100"/>
          <w:kern w:val="0"/>
          <w:u w:val="single"/>
        </w:rPr>
        <w:t>Альтернативные предложения:</w:t>
      </w:r>
    </w:p>
    <w:p w:rsidR="00AA64B9" w:rsidRPr="003E62B5" w:rsidRDefault="00AA64B9" w:rsidP="003E62B5">
      <w:pPr>
        <w:pStyle w:val="SingleTxtGR"/>
        <w:suppressAutoHyphens/>
        <w:rPr>
          <w:spacing w:val="0"/>
          <w:w w:val="100"/>
          <w:kern w:val="0"/>
        </w:rPr>
      </w:pPr>
      <w:r w:rsidRPr="003E62B5">
        <w:rPr>
          <w:spacing w:val="0"/>
          <w:w w:val="100"/>
          <w:kern w:val="0"/>
        </w:rPr>
        <w:t>9.</w:t>
      </w:r>
      <w:r w:rsidRPr="003E62B5">
        <w:rPr>
          <w:spacing w:val="0"/>
          <w:w w:val="100"/>
          <w:kern w:val="0"/>
        </w:rPr>
        <w:tab/>
        <w:t>Внести поправку в заголовок раздела 9.7.4 следующего содержания (изменения вычеркнуты или подчеркнуты):</w:t>
      </w:r>
    </w:p>
    <w:p w:rsidR="00AA64B9" w:rsidRPr="003E62B5" w:rsidRDefault="003E62B5" w:rsidP="003E62B5">
      <w:pPr>
        <w:pStyle w:val="SingleTxtGR"/>
        <w:suppressAutoHyphens/>
        <w:rPr>
          <w:spacing w:val="0"/>
          <w:w w:val="100"/>
          <w:kern w:val="0"/>
        </w:rPr>
      </w:pPr>
      <w:r w:rsidRPr="003E62B5">
        <w:rPr>
          <w:spacing w:val="0"/>
          <w:w w:val="100"/>
          <w:kern w:val="0"/>
        </w:rPr>
        <w:t>«</w:t>
      </w:r>
      <w:r w:rsidR="00AA64B9" w:rsidRPr="003E62B5">
        <w:rPr>
          <w:spacing w:val="0"/>
          <w:w w:val="100"/>
          <w:kern w:val="0"/>
        </w:rPr>
        <w:t xml:space="preserve">9.7.4 </w:t>
      </w:r>
      <w:r w:rsidR="00AA64B9" w:rsidRPr="003E62B5">
        <w:rPr>
          <w:strike/>
          <w:spacing w:val="0"/>
          <w:w w:val="100"/>
          <w:kern w:val="0"/>
        </w:rPr>
        <w:t>Заземление</w:t>
      </w:r>
      <w:r w:rsidR="00AA64B9" w:rsidRPr="003E62B5">
        <w:rPr>
          <w:spacing w:val="0"/>
          <w:w w:val="100"/>
          <w:kern w:val="0"/>
        </w:rPr>
        <w:t xml:space="preserve"> </w:t>
      </w:r>
      <w:r w:rsidR="00AA64B9" w:rsidRPr="003E62B5">
        <w:rPr>
          <w:spacing w:val="0"/>
          <w:w w:val="100"/>
          <w:kern w:val="0"/>
          <w:u w:val="single"/>
        </w:rPr>
        <w:t xml:space="preserve">Уравнивание электрических потенциалов на </w:t>
      </w:r>
      <w:r w:rsidRPr="003E62B5">
        <w:rPr>
          <w:spacing w:val="0"/>
          <w:w w:val="100"/>
          <w:kern w:val="0"/>
        </w:rPr>
        <w:t>транспортных средствах FL»</w:t>
      </w:r>
    </w:p>
    <w:p w:rsidR="00AA64B9" w:rsidRPr="003E62B5" w:rsidRDefault="00AA64B9" w:rsidP="003E62B5">
      <w:pPr>
        <w:pStyle w:val="SingleTxtGR"/>
        <w:suppressAutoHyphens/>
        <w:rPr>
          <w:spacing w:val="0"/>
          <w:w w:val="100"/>
          <w:kern w:val="0"/>
        </w:rPr>
      </w:pPr>
      <w:r w:rsidRPr="003E62B5">
        <w:rPr>
          <w:spacing w:val="0"/>
          <w:w w:val="100"/>
          <w:kern w:val="0"/>
        </w:rPr>
        <w:t>10.</w:t>
      </w:r>
      <w:r w:rsidRPr="003E62B5">
        <w:rPr>
          <w:spacing w:val="0"/>
          <w:w w:val="100"/>
          <w:kern w:val="0"/>
        </w:rPr>
        <w:tab/>
        <w:t>Внести поправку в заголовок раздела 9.8.3 следующего содержания (изменения вычеркнуты или подчеркнуты):</w:t>
      </w:r>
    </w:p>
    <w:p w:rsidR="00AA64B9" w:rsidRPr="003E62B5" w:rsidRDefault="003E62B5" w:rsidP="003E62B5">
      <w:pPr>
        <w:pStyle w:val="SingleTxtGR"/>
        <w:suppressAutoHyphens/>
        <w:rPr>
          <w:spacing w:val="0"/>
          <w:w w:val="100"/>
          <w:kern w:val="0"/>
        </w:rPr>
      </w:pPr>
      <w:r w:rsidRPr="003E62B5">
        <w:rPr>
          <w:spacing w:val="0"/>
          <w:w w:val="100"/>
          <w:kern w:val="0"/>
        </w:rPr>
        <w:lastRenderedPageBreak/>
        <w:t>«</w:t>
      </w:r>
      <w:r w:rsidR="00AA64B9" w:rsidRPr="003E62B5">
        <w:rPr>
          <w:spacing w:val="0"/>
          <w:w w:val="100"/>
          <w:kern w:val="0"/>
        </w:rPr>
        <w:t xml:space="preserve">9.8.3 </w:t>
      </w:r>
      <w:r w:rsidR="00AA64B9" w:rsidRPr="003E62B5">
        <w:rPr>
          <w:strike/>
          <w:spacing w:val="0"/>
          <w:w w:val="100"/>
          <w:kern w:val="0"/>
        </w:rPr>
        <w:t xml:space="preserve">Заземление </w:t>
      </w:r>
      <w:r w:rsidR="00AA64B9" w:rsidRPr="003E62B5">
        <w:rPr>
          <w:spacing w:val="0"/>
          <w:w w:val="100"/>
          <w:kern w:val="0"/>
          <w:u w:val="single"/>
        </w:rPr>
        <w:t xml:space="preserve">Уравнивание электрических потенциалов на </w:t>
      </w:r>
      <w:r w:rsidRPr="003E62B5">
        <w:rPr>
          <w:spacing w:val="0"/>
          <w:w w:val="100"/>
          <w:kern w:val="0"/>
        </w:rPr>
        <w:t>MEMU»</w:t>
      </w:r>
    </w:p>
    <w:p w:rsidR="00AA64B9" w:rsidRPr="003E62B5" w:rsidRDefault="00AA64B9" w:rsidP="003E62B5">
      <w:pPr>
        <w:pStyle w:val="HChGR"/>
        <w:rPr>
          <w:spacing w:val="0"/>
          <w:w w:val="100"/>
          <w:kern w:val="0"/>
        </w:rPr>
      </w:pPr>
      <w:r w:rsidRPr="003E62B5">
        <w:rPr>
          <w:spacing w:val="0"/>
          <w:w w:val="100"/>
          <w:kern w:val="0"/>
        </w:rPr>
        <w:tab/>
      </w:r>
      <w:r w:rsidRPr="003E62B5">
        <w:rPr>
          <w:spacing w:val="0"/>
          <w:w w:val="100"/>
          <w:kern w:val="0"/>
        </w:rPr>
        <w:tab/>
        <w:t>Осуществимость</w:t>
      </w:r>
    </w:p>
    <w:p w:rsidR="00AA64B9" w:rsidRPr="003E62B5" w:rsidRDefault="00AA64B9" w:rsidP="003E62B5">
      <w:pPr>
        <w:pStyle w:val="SingleTxtGR"/>
        <w:suppressAutoHyphens/>
        <w:rPr>
          <w:spacing w:val="0"/>
          <w:w w:val="100"/>
          <w:kern w:val="0"/>
        </w:rPr>
      </w:pPr>
      <w:r w:rsidRPr="003E62B5">
        <w:rPr>
          <w:spacing w:val="0"/>
          <w:w w:val="100"/>
          <w:kern w:val="0"/>
        </w:rPr>
        <w:t>Не предвидится никаких проблем.</w:t>
      </w:r>
    </w:p>
    <w:p w:rsidR="00E12C5F" w:rsidRPr="003E62B5" w:rsidRDefault="00AA64B9" w:rsidP="003E62B5">
      <w:pPr>
        <w:pStyle w:val="SingleTxtGR"/>
        <w:suppressAutoHyphens/>
        <w:spacing w:before="240" w:after="0"/>
        <w:jc w:val="center"/>
        <w:rPr>
          <w:spacing w:val="0"/>
          <w:w w:val="100"/>
          <w:kern w:val="0"/>
          <w:u w:val="single"/>
        </w:rPr>
      </w:pPr>
      <w:r w:rsidRPr="003E62B5">
        <w:rPr>
          <w:spacing w:val="0"/>
          <w:w w:val="100"/>
          <w:kern w:val="0"/>
          <w:u w:val="single"/>
        </w:rPr>
        <w:tab/>
      </w:r>
      <w:r w:rsidRPr="003E62B5">
        <w:rPr>
          <w:spacing w:val="0"/>
          <w:w w:val="100"/>
          <w:kern w:val="0"/>
          <w:u w:val="single"/>
        </w:rPr>
        <w:tab/>
      </w:r>
      <w:r w:rsidRPr="003E62B5">
        <w:rPr>
          <w:spacing w:val="0"/>
          <w:w w:val="100"/>
          <w:kern w:val="0"/>
          <w:u w:val="single"/>
        </w:rPr>
        <w:tab/>
      </w:r>
    </w:p>
    <w:sectPr w:rsidR="00E12C5F" w:rsidRPr="003E62B5" w:rsidSect="00AA64B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7F" w:rsidRPr="00A312BC" w:rsidRDefault="00F45F7F" w:rsidP="00A312BC"/>
  </w:endnote>
  <w:endnote w:type="continuationSeparator" w:id="0">
    <w:p w:rsidR="00F45F7F" w:rsidRPr="00A312BC" w:rsidRDefault="00F45F7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9" w:rsidRPr="003E62B5" w:rsidRDefault="00AA64B9">
    <w:pPr>
      <w:pStyle w:val="Footer"/>
      <w:rPr>
        <w:spacing w:val="0"/>
        <w:w w:val="100"/>
        <w:kern w:val="0"/>
      </w:rPr>
    </w:pPr>
    <w:r w:rsidRPr="003E62B5">
      <w:rPr>
        <w:b/>
        <w:spacing w:val="0"/>
        <w:w w:val="100"/>
        <w:kern w:val="0"/>
        <w:sz w:val="18"/>
      </w:rPr>
      <w:fldChar w:fldCharType="begin"/>
    </w:r>
    <w:r w:rsidRPr="003E62B5">
      <w:rPr>
        <w:b/>
        <w:spacing w:val="0"/>
        <w:w w:val="100"/>
        <w:kern w:val="0"/>
        <w:sz w:val="18"/>
      </w:rPr>
      <w:instrText xml:space="preserve"> PAGE  \* MERGEFORMAT </w:instrText>
    </w:r>
    <w:r w:rsidRPr="003E62B5">
      <w:rPr>
        <w:b/>
        <w:spacing w:val="0"/>
        <w:w w:val="100"/>
        <w:kern w:val="0"/>
        <w:sz w:val="18"/>
      </w:rPr>
      <w:fldChar w:fldCharType="separate"/>
    </w:r>
    <w:r w:rsidR="0094159E">
      <w:rPr>
        <w:b/>
        <w:noProof/>
        <w:spacing w:val="0"/>
        <w:w w:val="100"/>
        <w:kern w:val="0"/>
        <w:sz w:val="18"/>
      </w:rPr>
      <w:t>2</w:t>
    </w:r>
    <w:r w:rsidRPr="003E62B5">
      <w:rPr>
        <w:b/>
        <w:spacing w:val="0"/>
        <w:w w:val="100"/>
        <w:kern w:val="0"/>
        <w:sz w:val="18"/>
      </w:rPr>
      <w:fldChar w:fldCharType="end"/>
    </w:r>
    <w:r w:rsidRPr="003E62B5">
      <w:rPr>
        <w:b/>
        <w:spacing w:val="0"/>
        <w:w w:val="100"/>
        <w:kern w:val="0"/>
        <w:sz w:val="18"/>
      </w:rPr>
      <w:tab/>
    </w:r>
    <w:r w:rsidRPr="003E62B5">
      <w:rPr>
        <w:spacing w:val="0"/>
        <w:w w:val="100"/>
        <w:kern w:val="0"/>
      </w:rPr>
      <w:t>GE.18-03094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9" w:rsidRPr="003E62B5" w:rsidRDefault="00AA64B9" w:rsidP="00AA64B9">
    <w:pPr>
      <w:pStyle w:val="Footer"/>
      <w:tabs>
        <w:tab w:val="clear" w:pos="9639"/>
        <w:tab w:val="right" w:pos="9638"/>
      </w:tabs>
      <w:rPr>
        <w:b/>
        <w:spacing w:val="0"/>
        <w:w w:val="100"/>
        <w:kern w:val="0"/>
        <w:sz w:val="18"/>
      </w:rPr>
    </w:pPr>
    <w:r w:rsidRPr="003E62B5">
      <w:rPr>
        <w:spacing w:val="0"/>
        <w:w w:val="100"/>
        <w:kern w:val="0"/>
      </w:rPr>
      <w:t>GE.18-03094</w:t>
    </w:r>
    <w:r w:rsidRPr="003E62B5">
      <w:rPr>
        <w:spacing w:val="0"/>
        <w:w w:val="100"/>
        <w:kern w:val="0"/>
      </w:rPr>
      <w:tab/>
    </w:r>
    <w:r w:rsidRPr="003E62B5">
      <w:rPr>
        <w:b/>
        <w:spacing w:val="0"/>
        <w:w w:val="100"/>
        <w:kern w:val="0"/>
        <w:sz w:val="18"/>
      </w:rPr>
      <w:fldChar w:fldCharType="begin"/>
    </w:r>
    <w:r w:rsidRPr="003E62B5">
      <w:rPr>
        <w:b/>
        <w:spacing w:val="0"/>
        <w:w w:val="100"/>
        <w:kern w:val="0"/>
        <w:sz w:val="18"/>
      </w:rPr>
      <w:instrText xml:space="preserve"> PAGE  \* MERGEFORMAT </w:instrText>
    </w:r>
    <w:r w:rsidRPr="003E62B5">
      <w:rPr>
        <w:b/>
        <w:spacing w:val="0"/>
        <w:w w:val="100"/>
        <w:kern w:val="0"/>
        <w:sz w:val="18"/>
      </w:rPr>
      <w:fldChar w:fldCharType="separate"/>
    </w:r>
    <w:r w:rsidR="0094159E">
      <w:rPr>
        <w:b/>
        <w:noProof/>
        <w:spacing w:val="0"/>
        <w:w w:val="100"/>
        <w:kern w:val="0"/>
        <w:sz w:val="18"/>
      </w:rPr>
      <w:t>3</w:t>
    </w:r>
    <w:r w:rsidRPr="003E62B5">
      <w:rPr>
        <w:b/>
        <w:spacing w:val="0"/>
        <w:w w:val="100"/>
        <w:kern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E62B5" w:rsidRDefault="00AA64B9" w:rsidP="00AA64B9">
    <w:pPr>
      <w:spacing w:before="120" w:line="240" w:lineRule="auto"/>
      <w:rPr>
        <w:spacing w:val="0"/>
        <w:w w:val="100"/>
        <w:kern w:val="0"/>
      </w:rPr>
    </w:pPr>
    <w:r w:rsidRPr="003E62B5">
      <w:rPr>
        <w:spacing w:val="0"/>
        <w:w w:val="100"/>
        <w:kern w:val="0"/>
      </w:rPr>
      <w:t>GE.</w:t>
    </w:r>
    <w:r w:rsidR="00DF71B9" w:rsidRPr="003E62B5">
      <w:rPr>
        <w:b/>
        <w:noProof/>
        <w:spacing w:val="0"/>
        <w:w w:val="100"/>
        <w:kern w:val="0"/>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62B5">
      <w:rPr>
        <w:spacing w:val="0"/>
        <w:w w:val="100"/>
        <w:kern w:val="0"/>
      </w:rPr>
      <w:t>18-03094  (R)</w:t>
    </w:r>
    <w:r w:rsidR="003E62B5" w:rsidRPr="003E62B5">
      <w:rPr>
        <w:spacing w:val="0"/>
        <w:w w:val="100"/>
        <w:kern w:val="0"/>
      </w:rPr>
      <w:t xml:space="preserve">  120318  120318</w:t>
    </w:r>
    <w:r w:rsidRPr="003E62B5">
      <w:rPr>
        <w:spacing w:val="0"/>
        <w:w w:val="100"/>
        <w:kern w:val="0"/>
      </w:rPr>
      <w:br/>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rFonts w:ascii="C39T30Lfz" w:hAnsi="C39T30Lfz"/>
        <w:spacing w:val="0"/>
        <w:w w:val="100"/>
        <w:kern w:val="0"/>
        <w:sz w:val="56"/>
      </w:rPr>
      <w:t></w:t>
    </w:r>
    <w:r w:rsidRPr="003E62B5">
      <w:rPr>
        <w:noProof/>
        <w:spacing w:val="0"/>
        <w:w w:val="100"/>
        <w:kern w:val="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8/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7F" w:rsidRPr="001075E9" w:rsidRDefault="00F45F7F" w:rsidP="001075E9">
      <w:pPr>
        <w:tabs>
          <w:tab w:val="right" w:pos="2155"/>
        </w:tabs>
        <w:spacing w:after="80" w:line="240" w:lineRule="auto"/>
        <w:ind w:left="680"/>
        <w:rPr>
          <w:u w:val="single"/>
        </w:rPr>
      </w:pPr>
      <w:r>
        <w:rPr>
          <w:u w:val="single"/>
        </w:rPr>
        <w:tab/>
      </w:r>
    </w:p>
  </w:footnote>
  <w:footnote w:type="continuationSeparator" w:id="0">
    <w:p w:rsidR="00F45F7F" w:rsidRDefault="00F45F7F" w:rsidP="00407B78">
      <w:pPr>
        <w:tabs>
          <w:tab w:val="right" w:pos="2155"/>
        </w:tabs>
        <w:spacing w:after="80"/>
        <w:ind w:left="680"/>
        <w:rPr>
          <w:u w:val="single"/>
        </w:rPr>
      </w:pPr>
      <w:r>
        <w:rPr>
          <w:u w:val="single"/>
        </w:rPr>
        <w:tab/>
      </w:r>
    </w:p>
  </w:footnote>
  <w:footnote w:id="1">
    <w:p w:rsidR="00AA64B9" w:rsidRPr="003E62B5" w:rsidRDefault="00AA64B9" w:rsidP="00AA64B9">
      <w:pPr>
        <w:pStyle w:val="FootnoteText"/>
        <w:tabs>
          <w:tab w:val="clear" w:pos="1021"/>
        </w:tabs>
        <w:ind w:left="1418" w:right="1260" w:hanging="284"/>
        <w:rPr>
          <w:spacing w:val="0"/>
          <w:w w:val="100"/>
          <w:kern w:val="0"/>
          <w:lang w:val="ru-RU"/>
        </w:rPr>
      </w:pPr>
      <w:r w:rsidRPr="003E62B5">
        <w:rPr>
          <w:rStyle w:val="FootnoteReference"/>
          <w:spacing w:val="0"/>
          <w:w w:val="100"/>
          <w:kern w:val="0"/>
          <w:sz w:val="20"/>
          <w:vertAlign w:val="baseline"/>
          <w:lang w:val="ru-RU"/>
        </w:rPr>
        <w:sym w:font="Symbol" w:char="F02A"/>
      </w:r>
      <w:r w:rsidRPr="003E62B5">
        <w:rPr>
          <w:spacing w:val="0"/>
          <w:w w:val="100"/>
          <w:kern w:val="0"/>
          <w:lang w:val="ru-RU"/>
        </w:rPr>
        <w:tab/>
        <w:t>В соответствии с проектом программы работы Комитета по</w:t>
      </w:r>
      <w:r w:rsidR="003E62B5">
        <w:rPr>
          <w:spacing w:val="0"/>
          <w:w w:val="100"/>
          <w:kern w:val="0"/>
          <w:lang w:val="ru-RU"/>
        </w:rPr>
        <w:t xml:space="preserve"> внутреннему транспорту на 2018–</w:t>
      </w:r>
      <w:r w:rsidRPr="003E62B5">
        <w:rPr>
          <w:spacing w:val="0"/>
          <w:w w:val="100"/>
          <w:kern w:val="0"/>
          <w:lang w:val="ru-RU"/>
        </w:rPr>
        <w:t>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9" w:rsidRPr="003E62B5" w:rsidRDefault="00AA64B9">
    <w:pPr>
      <w:pStyle w:val="Header"/>
      <w:rPr>
        <w:spacing w:val="0"/>
        <w:w w:val="90"/>
        <w:kern w:val="0"/>
      </w:rPr>
    </w:pPr>
    <w:r w:rsidRPr="003E62B5">
      <w:rPr>
        <w:spacing w:val="0"/>
        <w:w w:val="90"/>
        <w:kern w:val="0"/>
      </w:rPr>
      <w:fldChar w:fldCharType="begin"/>
    </w:r>
    <w:r w:rsidRPr="003E62B5">
      <w:rPr>
        <w:spacing w:val="0"/>
        <w:w w:val="90"/>
        <w:kern w:val="0"/>
      </w:rPr>
      <w:instrText xml:space="preserve"> TITLE  \* MERGEFORMAT </w:instrText>
    </w:r>
    <w:r w:rsidRPr="003E62B5">
      <w:rPr>
        <w:spacing w:val="0"/>
        <w:w w:val="90"/>
        <w:kern w:val="0"/>
      </w:rPr>
      <w:fldChar w:fldCharType="separate"/>
    </w:r>
    <w:r w:rsidR="00497830">
      <w:rPr>
        <w:spacing w:val="0"/>
        <w:w w:val="90"/>
        <w:kern w:val="0"/>
      </w:rPr>
      <w:t>ECE/TRANS/WP.15/2018/1</w:t>
    </w:r>
    <w:r w:rsidRPr="003E62B5">
      <w:rPr>
        <w:spacing w:val="0"/>
        <w:w w:val="90"/>
        <w:kern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B9" w:rsidRPr="003E62B5" w:rsidRDefault="00AA64B9" w:rsidP="00AA64B9">
    <w:pPr>
      <w:pStyle w:val="Header"/>
      <w:jc w:val="right"/>
      <w:rPr>
        <w:spacing w:val="0"/>
        <w:w w:val="100"/>
        <w:kern w:val="0"/>
      </w:rPr>
    </w:pPr>
    <w:r w:rsidRPr="003E62B5">
      <w:rPr>
        <w:spacing w:val="0"/>
        <w:w w:val="100"/>
        <w:kern w:val="0"/>
      </w:rPr>
      <w:fldChar w:fldCharType="begin"/>
    </w:r>
    <w:r w:rsidRPr="003E62B5">
      <w:rPr>
        <w:spacing w:val="0"/>
        <w:w w:val="100"/>
        <w:kern w:val="0"/>
      </w:rPr>
      <w:instrText xml:space="preserve"> TITLE  \* MERGEFORMAT </w:instrText>
    </w:r>
    <w:r w:rsidRPr="003E62B5">
      <w:rPr>
        <w:spacing w:val="0"/>
        <w:w w:val="100"/>
        <w:kern w:val="0"/>
      </w:rPr>
      <w:fldChar w:fldCharType="separate"/>
    </w:r>
    <w:r w:rsidR="00497830">
      <w:rPr>
        <w:spacing w:val="0"/>
        <w:w w:val="100"/>
        <w:kern w:val="0"/>
      </w:rPr>
      <w:t>ECE/TRANS/WP.15/2018/1</w:t>
    </w:r>
    <w:r w:rsidRPr="003E62B5">
      <w:rPr>
        <w:spacing w:val="0"/>
        <w:w w:val="100"/>
        <w:kern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7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62B5"/>
    <w:rsid w:val="00407B78"/>
    <w:rsid w:val="00424203"/>
    <w:rsid w:val="00452493"/>
    <w:rsid w:val="00453318"/>
    <w:rsid w:val="00454AF2"/>
    <w:rsid w:val="00454E07"/>
    <w:rsid w:val="00472C5C"/>
    <w:rsid w:val="00497830"/>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4159E"/>
    <w:rsid w:val="00951972"/>
    <w:rsid w:val="009608F3"/>
    <w:rsid w:val="009A24AC"/>
    <w:rsid w:val="009C6FE6"/>
    <w:rsid w:val="009D7E7D"/>
    <w:rsid w:val="00A14DA8"/>
    <w:rsid w:val="00A312BC"/>
    <w:rsid w:val="00A84021"/>
    <w:rsid w:val="00A84D35"/>
    <w:rsid w:val="00A917B3"/>
    <w:rsid w:val="00AA64B9"/>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2484"/>
    <w:rsid w:val="00EF3220"/>
    <w:rsid w:val="00F2523A"/>
    <w:rsid w:val="00F43903"/>
    <w:rsid w:val="00F45F7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9DB762-1D42-492B-B787-59A0444B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rsid w:val="00AA64B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Normal"/>
    <w:link w:val="SingleTxtGChar"/>
    <w:qFormat/>
    <w:rsid w:val="00AA64B9"/>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AA64B9"/>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SingleTxtGChar">
    <w:name w:val="_ Single Txt_G Char"/>
    <w:link w:val="SingleTxtG"/>
    <w:rsid w:val="00AA64B9"/>
    <w:rPr>
      <w:lang w:val="en-GB" w:eastAsia="en-US"/>
    </w:rPr>
  </w:style>
  <w:style w:type="character" w:customStyle="1" w:styleId="HChGChar">
    <w:name w:val="_ H _Ch_G Char"/>
    <w:link w:val="HChG"/>
    <w:rsid w:val="00AA64B9"/>
    <w:rPr>
      <w:b/>
      <w:sz w:val="28"/>
      <w:lang w:val="en-GB" w:eastAsia="en-US"/>
    </w:rPr>
  </w:style>
  <w:style w:type="character" w:customStyle="1" w:styleId="H1GChar">
    <w:name w:val="_ H_1_G Char"/>
    <w:link w:val="H1G"/>
    <w:rsid w:val="00AA64B9"/>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3812</Characters>
  <Application>Microsoft Office Word</Application>
  <DocSecurity>0</DocSecurity>
  <Lines>31</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ECE/TRANS/WP.15/2018/1</vt:lpstr>
      <vt:lpstr>ECE/TRANS/WP.15/2018/1</vt:lpstr>
      <vt:lpstr>A/</vt:lpstr>
    </vt:vector>
  </TitlesOfParts>
  <Company>DCM</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ECE/TRANS/WP.15/2018/1</dc:title>
  <dc:subject/>
  <dc:creator>Uliana ANTIPOVA</dc:creator>
  <cp:keywords/>
  <cp:lastModifiedBy>Christine Barrio-Champeau</cp:lastModifiedBy>
  <cp:revision>2</cp:revision>
  <cp:lastPrinted>2018-03-12T10:20:00Z</cp:lastPrinted>
  <dcterms:created xsi:type="dcterms:W3CDTF">2018-03-19T15:36:00Z</dcterms:created>
  <dcterms:modified xsi:type="dcterms:W3CDTF">2018-03-19T15:36:00Z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