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3328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33288" w:rsidP="00B33288">
            <w:pPr>
              <w:jc w:val="right"/>
            </w:pPr>
            <w:r w:rsidRPr="00B33288">
              <w:rPr>
                <w:sz w:val="40"/>
              </w:rPr>
              <w:t>ECE</w:t>
            </w:r>
            <w:r>
              <w:t>/TRANS/WP.15/2018/5</w:t>
            </w:r>
          </w:p>
        </w:tc>
      </w:tr>
      <w:tr w:rsidR="002D5AAC" w:rsidRPr="00B3328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3328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33288" w:rsidRDefault="00B33288" w:rsidP="00B332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B33288" w:rsidRDefault="00B33288" w:rsidP="00B332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33288" w:rsidRPr="008D53B6" w:rsidRDefault="00B33288" w:rsidP="00B332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33288" w:rsidRPr="00574D8F" w:rsidRDefault="00B33288" w:rsidP="00B33288">
      <w:pPr>
        <w:suppressAutoHyphens w:val="0"/>
        <w:spacing w:before="120" w:line="240" w:lineRule="auto"/>
        <w:rPr>
          <w:sz w:val="28"/>
          <w:szCs w:val="28"/>
        </w:rPr>
      </w:pPr>
      <w:r w:rsidRPr="00574D8F">
        <w:rPr>
          <w:sz w:val="28"/>
          <w:szCs w:val="28"/>
        </w:rPr>
        <w:t>Комитет по внутреннему транспорту</w:t>
      </w:r>
    </w:p>
    <w:p w:rsidR="00B33288" w:rsidRPr="00B33288" w:rsidRDefault="00B33288" w:rsidP="00B33288">
      <w:pPr>
        <w:suppressAutoHyphens w:val="0"/>
        <w:spacing w:before="120" w:line="240" w:lineRule="auto"/>
        <w:rPr>
          <w:b/>
          <w:sz w:val="24"/>
          <w:szCs w:val="24"/>
        </w:rPr>
      </w:pPr>
      <w:r w:rsidRPr="00B33288">
        <w:rPr>
          <w:b/>
          <w:sz w:val="24"/>
          <w:szCs w:val="24"/>
        </w:rPr>
        <w:t>Рабочая группа по перевозкам опасных грузов</w:t>
      </w:r>
    </w:p>
    <w:p w:rsidR="00B33288" w:rsidRPr="00B33288" w:rsidRDefault="00B33288" w:rsidP="00B33288">
      <w:pPr>
        <w:suppressAutoHyphens w:val="0"/>
        <w:spacing w:before="120" w:line="240" w:lineRule="auto"/>
        <w:rPr>
          <w:b/>
        </w:rPr>
      </w:pPr>
      <w:r w:rsidRPr="00B33288">
        <w:rPr>
          <w:b/>
        </w:rPr>
        <w:t xml:space="preserve">105-я сессия </w:t>
      </w:r>
    </w:p>
    <w:p w:rsidR="00B33288" w:rsidRPr="00B33288" w:rsidRDefault="00B33288" w:rsidP="00B33288">
      <w:pPr>
        <w:suppressAutoHyphens w:val="0"/>
        <w:spacing w:line="240" w:lineRule="auto"/>
      </w:pPr>
      <w:r w:rsidRPr="00B33288">
        <w:t xml:space="preserve">Женева, 6–9 ноября 2018 года </w:t>
      </w:r>
    </w:p>
    <w:p w:rsidR="00B33288" w:rsidRPr="00B33288" w:rsidRDefault="00B33288" w:rsidP="00B33288">
      <w:pPr>
        <w:suppressAutoHyphens w:val="0"/>
        <w:spacing w:line="240" w:lineRule="auto"/>
      </w:pPr>
      <w:r w:rsidRPr="00B33288">
        <w:t>Пункт 5 b) предварительной повестки дня</w:t>
      </w:r>
    </w:p>
    <w:p w:rsidR="00B33288" w:rsidRPr="00B33288" w:rsidRDefault="00B33288" w:rsidP="00B33288">
      <w:pPr>
        <w:suppressAutoHyphens w:val="0"/>
        <w:spacing w:line="240" w:lineRule="auto"/>
        <w:rPr>
          <w:b/>
          <w:bCs/>
        </w:rPr>
      </w:pPr>
      <w:r w:rsidRPr="00B33288">
        <w:rPr>
          <w:b/>
        </w:rPr>
        <w:t xml:space="preserve">Предложения о внесении поправок </w:t>
      </w:r>
      <w:r w:rsidRPr="00B33288">
        <w:rPr>
          <w:b/>
        </w:rPr>
        <w:br/>
        <w:t>в приложения А и B к ДОПОГ:</w:t>
      </w:r>
    </w:p>
    <w:p w:rsidR="00B33288" w:rsidRPr="00B33288" w:rsidRDefault="00B33288" w:rsidP="00B33288">
      <w:pPr>
        <w:suppressAutoHyphens w:val="0"/>
        <w:spacing w:line="240" w:lineRule="auto"/>
        <w:rPr>
          <w:b/>
        </w:rPr>
      </w:pPr>
      <w:r w:rsidRPr="00B33288">
        <w:rPr>
          <w:b/>
        </w:rPr>
        <w:t>различные предложения</w:t>
      </w:r>
    </w:p>
    <w:p w:rsidR="00B33288" w:rsidRPr="00B33288" w:rsidRDefault="00B33288" w:rsidP="00B33288">
      <w:pPr>
        <w:pStyle w:val="HChGR"/>
      </w:pPr>
      <w:r w:rsidRPr="00B33288">
        <w:tab/>
      </w:r>
      <w:r w:rsidRPr="00B33288">
        <w:tab/>
        <w:t>Исправление к сноске b в письменных инструкциях (пункт 5.4.3.4)</w:t>
      </w:r>
    </w:p>
    <w:p w:rsidR="00B33288" w:rsidRDefault="00B33288" w:rsidP="00B33288">
      <w:pPr>
        <w:pStyle w:val="H1GR"/>
        <w:rPr>
          <w:b w:val="0"/>
          <w:sz w:val="20"/>
        </w:rPr>
      </w:pPr>
      <w:r w:rsidRPr="00B33288">
        <w:tab/>
      </w:r>
      <w:r w:rsidRPr="00B33288">
        <w:tab/>
        <w:t>Передано правительством Германии</w:t>
      </w:r>
      <w:r w:rsidRPr="00B33288">
        <w:rPr>
          <w:b w:val="0"/>
          <w:sz w:val="20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33288" w:rsidRPr="00B33288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B33288" w:rsidRPr="00B33288" w:rsidRDefault="00B3328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33288">
              <w:rPr>
                <w:rFonts w:cs="Times New Roman"/>
              </w:rPr>
              <w:tab/>
            </w:r>
            <w:r w:rsidRPr="00B3328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33288" w:rsidRPr="00B3328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33288" w:rsidRPr="00B33288" w:rsidRDefault="00B33288" w:rsidP="00B33288">
            <w:pPr>
              <w:pStyle w:val="SingleTxtGR"/>
              <w:tabs>
                <w:tab w:val="clear" w:pos="3402"/>
                <w:tab w:val="clear" w:pos="3969"/>
                <w:tab w:val="left" w:pos="3111"/>
              </w:tabs>
              <w:ind w:left="3730" w:hanging="2596"/>
            </w:pPr>
            <w:r w:rsidRPr="00B33288">
              <w:rPr>
                <w:b/>
              </w:rPr>
              <w:t>Существо предложения</w:t>
            </w:r>
            <w:r w:rsidRPr="00B33288">
              <w:t>:</w:t>
            </w:r>
            <w:r>
              <w:tab/>
            </w:r>
            <w:r w:rsidRPr="00B33288">
              <w:t>Исправить ошибку в сноске b в письменных инструкциях (пункт 5.4.3.4).</w:t>
            </w:r>
          </w:p>
        </w:tc>
      </w:tr>
      <w:tr w:rsidR="00B33288" w:rsidRPr="00B3328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33288" w:rsidRPr="00B33288" w:rsidRDefault="00B33288" w:rsidP="00B33288">
            <w:pPr>
              <w:pStyle w:val="SingleTxtGR"/>
              <w:tabs>
                <w:tab w:val="clear" w:pos="3402"/>
                <w:tab w:val="left" w:pos="3111"/>
              </w:tabs>
              <w:ind w:left="3730" w:hanging="2596"/>
            </w:pPr>
            <w:r w:rsidRPr="00B33288">
              <w:rPr>
                <w:b/>
              </w:rPr>
              <w:t>Предлагаемое решение</w:t>
            </w:r>
            <w:r w:rsidRPr="00B33288">
              <w:t>:</w:t>
            </w:r>
            <w:r w:rsidRPr="00B33288">
              <w:tab/>
              <w:t>Внесение исправления в сноску b в письменных инструкциях.</w:t>
            </w:r>
          </w:p>
        </w:tc>
      </w:tr>
      <w:tr w:rsidR="00B33288" w:rsidRPr="00B3328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33288" w:rsidRPr="00B33288" w:rsidRDefault="00B33288" w:rsidP="00B33288">
            <w:pPr>
              <w:pStyle w:val="SingleTxtGR"/>
              <w:tabs>
                <w:tab w:val="clear" w:pos="3402"/>
                <w:tab w:val="left" w:pos="3111"/>
              </w:tabs>
              <w:ind w:left="3730" w:hanging="2596"/>
            </w:pPr>
            <w:r w:rsidRPr="00B33288">
              <w:rPr>
                <w:b/>
              </w:rPr>
              <w:t>Справочные документы</w:t>
            </w:r>
            <w:r w:rsidR="00574D8F">
              <w:t>:</w:t>
            </w:r>
            <w:r w:rsidR="00574D8F">
              <w:tab/>
              <w:t>Неофициальный документ INF.</w:t>
            </w:r>
            <w:r w:rsidRPr="00B33288">
              <w:t>22 104-й сессии WP. 15 (представлено правительством Германии) и ECE/TRANS/WP.15/242, пункт 38.</w:t>
            </w:r>
          </w:p>
          <w:p w:rsidR="00B33288" w:rsidRPr="00B33288" w:rsidRDefault="00B33288" w:rsidP="00B5429B">
            <w:pPr>
              <w:pStyle w:val="SingleTxtGR"/>
            </w:pPr>
          </w:p>
        </w:tc>
      </w:tr>
      <w:tr w:rsidR="00B33288" w:rsidRPr="00B33288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B33288" w:rsidRPr="00B33288" w:rsidRDefault="00B33288" w:rsidP="00850215">
            <w:pPr>
              <w:rPr>
                <w:rFonts w:cs="Times New Roman"/>
              </w:rPr>
            </w:pPr>
          </w:p>
        </w:tc>
      </w:tr>
    </w:tbl>
    <w:p w:rsidR="00B33288" w:rsidRPr="00B33288" w:rsidRDefault="00B33288" w:rsidP="00B33288">
      <w:pPr>
        <w:pStyle w:val="HChGR"/>
      </w:pPr>
      <w:r w:rsidRPr="00B33288">
        <w:tab/>
      </w:r>
      <w:r w:rsidRPr="00B33288">
        <w:tab/>
        <w:t>Введение</w:t>
      </w:r>
    </w:p>
    <w:p w:rsidR="00B33288" w:rsidRPr="00B33288" w:rsidRDefault="00B33288" w:rsidP="00B33288">
      <w:pPr>
        <w:pStyle w:val="SingleTxtGR"/>
      </w:pPr>
      <w:r w:rsidRPr="00B33288">
        <w:t>1.</w:t>
      </w:r>
      <w:r w:rsidRPr="00B33288">
        <w:tab/>
        <w:t>На 104</w:t>
      </w:r>
      <w:r w:rsidR="00574D8F">
        <w:t>-</w:t>
      </w:r>
      <w:r w:rsidRPr="00B33288">
        <w:t>й сессии Рабочей группы в мае 2018 го</w:t>
      </w:r>
      <w:r>
        <w:t>да Германия подняла вопрос (см. </w:t>
      </w:r>
      <w:r w:rsidRPr="00B33288">
        <w:t xml:space="preserve">неофициальный документ INF.22 104-й сессии), касающийся ошибки в содержащейся в пункте 5.4.3.4 сноске b в письменных инструкциях в ДОПОГ. </w:t>
      </w:r>
    </w:p>
    <w:p w:rsidR="00B33288" w:rsidRPr="00B33288" w:rsidRDefault="00B33288" w:rsidP="00B33288">
      <w:pPr>
        <w:pStyle w:val="SingleTxtGR"/>
      </w:pPr>
      <w:r w:rsidRPr="00B33288">
        <w:t>2.</w:t>
      </w:r>
      <w:r w:rsidRPr="00B33288">
        <w:tab/>
        <w:t>На сессии было решено следующее (выдержка из доклада):</w:t>
      </w:r>
    </w:p>
    <w:p w:rsidR="00B33288" w:rsidRPr="00B33288" w:rsidRDefault="00B33288" w:rsidP="00B33288">
      <w:pPr>
        <w:pStyle w:val="SingleTxtGR"/>
      </w:pPr>
      <w:r w:rsidRPr="00B33288">
        <w:lastRenderedPageBreak/>
        <w:t>«38.</w:t>
      </w:r>
      <w:r w:rsidRPr="00B33288">
        <w:tab/>
      </w:r>
      <w:r w:rsidRPr="00B33288">
        <w:rPr>
          <w:i/>
          <w:iCs/>
        </w:rPr>
        <w:t>Несколько делегаций поддержали предложение Германии.</w:t>
      </w:r>
      <w:r w:rsidRPr="00B33288">
        <w:t xml:space="preserve"> </w:t>
      </w:r>
      <w:r w:rsidRPr="00B33288">
        <w:rPr>
          <w:i/>
          <w:iCs/>
        </w:rPr>
        <w:t>Другие делегации, однако, напомнили о том, что нежелательно часто вносить изменения в письменные инструкции и что было бы целесообразно объединить это предложение по поправкам с другими предложениями, которые можно было бы обсудить в ходе двухгодичного периода для включения в издание ДОПОГ 2021 года.</w:t>
      </w:r>
      <w:r w:rsidRPr="00B33288">
        <w:t xml:space="preserve"> </w:t>
      </w:r>
      <w:r w:rsidRPr="00B33288">
        <w:rPr>
          <w:i/>
          <w:iCs/>
        </w:rPr>
        <w:t>Ряд делегаций задали вопрос о том, может ли оборудование, предписанное в сноске b, оказаться полезным в случае аварии, затрагивающей литиевые батареи.</w:t>
      </w:r>
      <w:r w:rsidRPr="00B33288">
        <w:t xml:space="preserve"> </w:t>
      </w:r>
      <w:r w:rsidRPr="00B33288">
        <w:rPr>
          <w:i/>
          <w:iCs/>
        </w:rPr>
        <w:t>После рассмотрения этого предложения Рабочая группа сочла, что это предложение в качестве неофициального документа было представлено с опозданием для вступления в силу 1 января 2019 года.</w:t>
      </w:r>
      <w:r w:rsidRPr="00B33288">
        <w:t xml:space="preserve"> </w:t>
      </w:r>
      <w:r w:rsidRPr="00B33288">
        <w:rPr>
          <w:i/>
          <w:iCs/>
        </w:rPr>
        <w:t>Представитель Германии проинформировала Рабочую группу о том, что она представит официальный документ на следующей сессии.</w:t>
      </w:r>
      <w:r w:rsidR="00574D8F" w:rsidRPr="00574D8F">
        <w:rPr>
          <w:iCs/>
        </w:rPr>
        <w:t>»</w:t>
      </w:r>
      <w:r w:rsidRPr="00B33288">
        <w:rPr>
          <w:iCs/>
        </w:rPr>
        <w:t>.</w:t>
      </w:r>
    </w:p>
    <w:p w:rsidR="00B33288" w:rsidRPr="00B33288" w:rsidRDefault="00B33288" w:rsidP="00B33288">
      <w:pPr>
        <w:pStyle w:val="SingleTxtGR"/>
      </w:pPr>
      <w:r w:rsidRPr="00B33288">
        <w:t>3.</w:t>
      </w:r>
      <w:r w:rsidRPr="00B33288">
        <w:tab/>
        <w:t>Некоторые государства выразили озабоченность в связи с тем, что дополнение письменных инструкций повлечет за собой значительные расходы. Этот аргумент был принят во внимание. Поэтому предлагается поправка для вступления в силу ДОПОГ 2021 года. Таким образом, в течение этого периода – т.</w:t>
      </w:r>
      <w:r>
        <w:rPr>
          <w:lang w:val="en-US"/>
        </w:rPr>
        <w:t> </w:t>
      </w:r>
      <w:r w:rsidRPr="00B33288">
        <w:t>е. двух двухгодичных периодов</w:t>
      </w:r>
      <w:r w:rsidR="00574D8F">
        <w:t> </w:t>
      </w:r>
      <w:r w:rsidRPr="00B33288">
        <w:t>– все равно можно будет собирать дополнительные предложения относительно необходимости внесения исправления или возможной корректировки.</w:t>
      </w:r>
    </w:p>
    <w:p w:rsidR="00B33288" w:rsidRPr="00B33288" w:rsidRDefault="00B33288" w:rsidP="00B33288">
      <w:pPr>
        <w:pStyle w:val="SingleTxtGR"/>
      </w:pPr>
      <w:r w:rsidRPr="00B33288">
        <w:t>4.</w:t>
      </w:r>
      <w:r w:rsidRPr="00B33288">
        <w:tab/>
        <w:t>Кроме того, будет добавлена новая переходная мера.</w:t>
      </w:r>
    </w:p>
    <w:p w:rsidR="00B33288" w:rsidRPr="00B33288" w:rsidRDefault="00B33288" w:rsidP="00B33288">
      <w:pPr>
        <w:pStyle w:val="SingleTxtGR"/>
      </w:pPr>
      <w:r w:rsidRPr="00B33288">
        <w:t>5.</w:t>
      </w:r>
      <w:r w:rsidRPr="00B33288">
        <w:tab/>
        <w:t xml:space="preserve">В нынешнем варианте ДОПОГ в сноске b к </w:t>
      </w:r>
      <w:r>
        <w:t>письменным инструкциям в пункте </w:t>
      </w:r>
      <w:r w:rsidRPr="00B33288">
        <w:t>5.4.3.4 упоминается только знак опасности № 9.</w:t>
      </w:r>
    </w:p>
    <w:p w:rsidR="00B33288" w:rsidRPr="00B33288" w:rsidRDefault="00B33288" w:rsidP="00B33288">
      <w:pPr>
        <w:pStyle w:val="SingleTxtGR"/>
      </w:pPr>
      <w:r w:rsidRPr="00B33288">
        <w:t>6.</w:t>
      </w:r>
      <w:r w:rsidRPr="00B33288">
        <w:tab/>
        <w:t>Обзор показал, что в сноске b письменных инструкций в пункте 5.4.3.4 следует сделать ссылку не только на знак опасности № 9, но также и на знак опасности №</w:t>
      </w:r>
      <w:r>
        <w:rPr>
          <w:lang w:val="en-US"/>
        </w:rPr>
        <w:t> </w:t>
      </w:r>
      <w:r w:rsidRPr="00B33288">
        <w:t>9А.</w:t>
      </w:r>
    </w:p>
    <w:p w:rsidR="00B33288" w:rsidRPr="00B33288" w:rsidRDefault="00B33288" w:rsidP="00B33288">
      <w:pPr>
        <w:pStyle w:val="SingleTxtGR"/>
      </w:pPr>
      <w:r w:rsidRPr="00B33288">
        <w:t>7.</w:t>
      </w:r>
      <w:r w:rsidRPr="00B33288">
        <w:tab/>
        <w:t>Таким образом, в новом варианте ДОПОГ 2021 года перечисление знаков опасности в сноске b к письменным инструкциям в пункте 5.4.3.4 следует изменить соответствующим образом.</w:t>
      </w:r>
    </w:p>
    <w:p w:rsidR="00B33288" w:rsidRPr="00B33288" w:rsidRDefault="00B33288" w:rsidP="00B33288">
      <w:pPr>
        <w:pStyle w:val="HChGR"/>
      </w:pPr>
      <w:r w:rsidRPr="00B33288">
        <w:tab/>
      </w:r>
      <w:r w:rsidRPr="00B33288">
        <w:tab/>
        <w:t>Предложение о поправках</w:t>
      </w:r>
    </w:p>
    <w:p w:rsidR="00B33288" w:rsidRPr="00B33288" w:rsidRDefault="00B33288" w:rsidP="00B33288">
      <w:pPr>
        <w:pStyle w:val="SingleTxtGR"/>
      </w:pPr>
      <w:r>
        <w:t>8.</w:t>
      </w:r>
      <w:r>
        <w:tab/>
        <w:t>Пункт 5.4.3.4, заменить «</w:t>
      </w:r>
      <w:r w:rsidRPr="00B33288">
        <w:t>8 или 9</w:t>
      </w:r>
      <w:r>
        <w:t>»</w:t>
      </w:r>
      <w:r w:rsidRPr="00B33288">
        <w:t xml:space="preserve"> в перечислении </w:t>
      </w:r>
      <w:r>
        <w:t>знаков опасности в сноске b на «</w:t>
      </w:r>
      <w:r w:rsidRPr="00B33288">
        <w:t>8, 9 или 9A</w:t>
      </w:r>
      <w:r>
        <w:t>»</w:t>
      </w:r>
      <w:r w:rsidRPr="00B33288">
        <w:t xml:space="preserve">. </w:t>
      </w:r>
    </w:p>
    <w:p w:rsidR="00B33288" w:rsidRPr="00B33288" w:rsidRDefault="00B33288" w:rsidP="00B33288">
      <w:pPr>
        <w:pStyle w:val="SingleTxtGR"/>
      </w:pPr>
      <w:r w:rsidRPr="00B33288">
        <w:t>9.</w:t>
      </w:r>
      <w:r w:rsidRPr="00B33288">
        <w:tab/>
        <w:t>Пункт 1.6.x.x, включить новую переходную меру следующего содержания:</w:t>
      </w:r>
    </w:p>
    <w:p w:rsidR="00B33288" w:rsidRPr="00B33288" w:rsidRDefault="00B33288" w:rsidP="00B33288">
      <w:pPr>
        <w:pStyle w:val="SingleTxtGR"/>
      </w:pPr>
      <w:r>
        <w:t>«</w:t>
      </w:r>
      <w:r w:rsidRPr="00B33288">
        <w:t>Письменные инструкции, соответствующие требованиям ДОПОГ, применявшимся до 31 декабря 2020 года, но не соответствующие, однако, требованиям раздела 5.4.3, применяемым с 1 января 2021 года, могут по-прежнему испол</w:t>
      </w:r>
      <w:r>
        <w:t>ьзоваться до 30 июня 2023 года.»</w:t>
      </w:r>
      <w:r w:rsidRPr="00B33288">
        <w:t>.</w:t>
      </w:r>
    </w:p>
    <w:p w:rsidR="00B33288" w:rsidRPr="00B33288" w:rsidRDefault="00B33288" w:rsidP="00B33288">
      <w:pPr>
        <w:pStyle w:val="HChGR"/>
      </w:pPr>
      <w:r w:rsidRPr="00B33288">
        <w:tab/>
      </w:r>
      <w:r w:rsidRPr="00B33288">
        <w:tab/>
        <w:t>Практическая осуществимость</w:t>
      </w:r>
    </w:p>
    <w:p w:rsidR="00B33288" w:rsidRDefault="00B33288" w:rsidP="00B33288">
      <w:pPr>
        <w:pStyle w:val="SingleTxtGR"/>
      </w:pPr>
      <w:r w:rsidRPr="00B33288">
        <w:t>10.</w:t>
      </w:r>
      <w:r w:rsidRPr="00B33288">
        <w:tab/>
        <w:t>Не предвидится никаких проблем.</w:t>
      </w:r>
    </w:p>
    <w:p w:rsidR="00B33288" w:rsidRPr="00B33288" w:rsidRDefault="00B33288" w:rsidP="00B3328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B332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6AE" w:rsidRPr="00A312BC" w:rsidRDefault="00E606AE" w:rsidP="00A312BC"/>
  </w:endnote>
  <w:endnote w:type="continuationSeparator" w:id="0">
    <w:p w:rsidR="00E606AE" w:rsidRPr="00A312BC" w:rsidRDefault="00E606A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88" w:rsidRPr="00B33288" w:rsidRDefault="00B33288">
    <w:pPr>
      <w:pStyle w:val="Footer"/>
    </w:pPr>
    <w:r w:rsidRPr="00B33288">
      <w:rPr>
        <w:b/>
        <w:sz w:val="18"/>
      </w:rPr>
      <w:fldChar w:fldCharType="begin"/>
    </w:r>
    <w:r w:rsidRPr="00B33288">
      <w:rPr>
        <w:b/>
        <w:sz w:val="18"/>
      </w:rPr>
      <w:instrText xml:space="preserve"> PAGE  \* MERGEFORMAT </w:instrText>
    </w:r>
    <w:r w:rsidRPr="00B33288">
      <w:rPr>
        <w:b/>
        <w:sz w:val="18"/>
      </w:rPr>
      <w:fldChar w:fldCharType="separate"/>
    </w:r>
    <w:r w:rsidR="00373D6A">
      <w:rPr>
        <w:b/>
        <w:noProof/>
        <w:sz w:val="18"/>
      </w:rPr>
      <w:t>2</w:t>
    </w:r>
    <w:r w:rsidRPr="00B33288">
      <w:rPr>
        <w:b/>
        <w:sz w:val="18"/>
      </w:rPr>
      <w:fldChar w:fldCharType="end"/>
    </w:r>
    <w:r>
      <w:rPr>
        <w:b/>
        <w:sz w:val="18"/>
      </w:rPr>
      <w:tab/>
    </w:r>
    <w:r>
      <w:t>GE.18-13660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88" w:rsidRPr="00B33288" w:rsidRDefault="00B33288" w:rsidP="00B3328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GE.18-13660</w:t>
    </w:r>
    <w:r>
      <w:tab/>
    </w:r>
    <w:r w:rsidRPr="00B33288">
      <w:rPr>
        <w:b/>
        <w:sz w:val="18"/>
      </w:rPr>
      <w:fldChar w:fldCharType="begin"/>
    </w:r>
    <w:r w:rsidRPr="00B33288">
      <w:rPr>
        <w:b/>
        <w:sz w:val="18"/>
      </w:rPr>
      <w:instrText xml:space="preserve"> PAGE  \* MERGEFORMAT </w:instrText>
    </w:r>
    <w:r w:rsidRPr="00B3328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332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33288" w:rsidRDefault="00B33288" w:rsidP="00B3328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18-13660  (R)</w:t>
    </w:r>
    <w:r>
      <w:rPr>
        <w:lang w:val="en-US"/>
      </w:rPr>
      <w:t xml:space="preserve">  120918  120918</w:t>
    </w:r>
    <w:r>
      <w:br/>
    </w:r>
    <w:r w:rsidRPr="00B33288">
      <w:rPr>
        <w:rFonts w:ascii="C39T30Lfz" w:hAnsi="C39T30Lfz"/>
        <w:kern w:val="14"/>
        <w:sz w:val="56"/>
      </w:rPr>
      <w:t></w:t>
    </w:r>
    <w:r w:rsidRPr="00B33288">
      <w:rPr>
        <w:rFonts w:ascii="C39T30Lfz" w:hAnsi="C39T30Lfz"/>
        <w:kern w:val="14"/>
        <w:sz w:val="56"/>
      </w:rPr>
      <w:t></w:t>
    </w:r>
    <w:r w:rsidRPr="00B33288">
      <w:rPr>
        <w:rFonts w:ascii="C39T30Lfz" w:hAnsi="C39T30Lfz"/>
        <w:kern w:val="14"/>
        <w:sz w:val="56"/>
      </w:rPr>
      <w:t></w:t>
    </w:r>
    <w:r w:rsidRPr="00B33288">
      <w:rPr>
        <w:rFonts w:ascii="C39T30Lfz" w:hAnsi="C39T30Lfz"/>
        <w:kern w:val="14"/>
        <w:sz w:val="56"/>
      </w:rPr>
      <w:t></w:t>
    </w:r>
    <w:r w:rsidRPr="00B33288">
      <w:rPr>
        <w:rFonts w:ascii="C39T30Lfz" w:hAnsi="C39T30Lfz"/>
        <w:kern w:val="14"/>
        <w:sz w:val="56"/>
      </w:rPr>
      <w:t></w:t>
    </w:r>
    <w:r w:rsidRPr="00B33288">
      <w:rPr>
        <w:rFonts w:ascii="C39T30Lfz" w:hAnsi="C39T30Lfz"/>
        <w:kern w:val="14"/>
        <w:sz w:val="56"/>
      </w:rPr>
      <w:t></w:t>
    </w:r>
    <w:r w:rsidRPr="00B33288">
      <w:rPr>
        <w:rFonts w:ascii="C39T30Lfz" w:hAnsi="C39T30Lfz"/>
        <w:kern w:val="14"/>
        <w:sz w:val="56"/>
      </w:rPr>
      <w:t></w:t>
    </w:r>
    <w:r w:rsidRPr="00B33288">
      <w:rPr>
        <w:rFonts w:ascii="C39T30Lfz" w:hAnsi="C39T30Lfz"/>
        <w:kern w:val="14"/>
        <w:sz w:val="56"/>
      </w:rPr>
      <w:t></w:t>
    </w:r>
    <w:r w:rsidRPr="00B3328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8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8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6AE" w:rsidRPr="001075E9" w:rsidRDefault="00E606A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06AE" w:rsidRDefault="00E606A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33288" w:rsidRPr="006C286C" w:rsidRDefault="00B33288" w:rsidP="00B33288">
      <w:pPr>
        <w:pStyle w:val="FootnoteText"/>
        <w:tabs>
          <w:tab w:val="clear" w:pos="1021"/>
        </w:tabs>
        <w:ind w:left="1418" w:right="1260" w:hanging="284"/>
        <w:jc w:val="both"/>
      </w:pPr>
      <w:r w:rsidRPr="00B33288">
        <w:rPr>
          <w:rStyle w:val="FootnoteReference"/>
          <w:sz w:val="20"/>
          <w:vertAlign w:val="baseline"/>
        </w:rPr>
        <w:sym w:font="Symbol" w:char="F02A"/>
      </w:r>
      <w:r>
        <w:tab/>
        <w:t xml:space="preserve">В соответствии с программой работы Комитета по внутреннему транспорту </w:t>
      </w:r>
      <w:r>
        <w:br/>
        <w:t>на 2018–2019 годы (ECE/TRANS/WP.15/237, приложение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88" w:rsidRPr="00B33288" w:rsidRDefault="0083401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73D6A">
      <w:t>ECE/TRANS/WP.15/2018/5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88" w:rsidRPr="00B33288" w:rsidRDefault="00834017" w:rsidP="00B3328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73D6A">
      <w:t>ECE/TRANS/WP.15/2018/5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A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3D6A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4D8F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017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036C5"/>
    <w:rsid w:val="00A14DA8"/>
    <w:rsid w:val="00A312BC"/>
    <w:rsid w:val="00A84021"/>
    <w:rsid w:val="00A84D35"/>
    <w:rsid w:val="00A917B3"/>
    <w:rsid w:val="00AB4B51"/>
    <w:rsid w:val="00B10CC7"/>
    <w:rsid w:val="00B33288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46B9D"/>
    <w:rsid w:val="00E606AE"/>
    <w:rsid w:val="00E73F76"/>
    <w:rsid w:val="00EA2C9F"/>
    <w:rsid w:val="00EA420E"/>
    <w:rsid w:val="00ED0037"/>
    <w:rsid w:val="00ED0BDA"/>
    <w:rsid w:val="00EE142A"/>
    <w:rsid w:val="00EF1360"/>
    <w:rsid w:val="00EF3220"/>
    <w:rsid w:val="00F2523A"/>
    <w:rsid w:val="00F43903"/>
    <w:rsid w:val="00F50F6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5A5F51-EFE1-48F2-83D2-BE4F9C50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tabs>
        <w:tab w:val="clear" w:pos="1701"/>
      </w:tabs>
      <w:spacing w:after="120"/>
      <w:ind w:left="1494" w:right="1134" w:hanging="36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B3328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ECE/TRANS/WP.15/2018/5</vt:lpstr>
      <vt:lpstr>ECE/TRANS/WP.15/2018/5</vt:lpstr>
      <vt:lpstr>A/</vt:lpstr>
    </vt:vector>
  </TitlesOfParts>
  <Company>DCM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ECE/TRANS/WP.15/2018/5</dc:title>
  <dc:subject/>
  <dc:creator>Elena IZOTOVA</dc:creator>
  <cp:keywords/>
  <cp:lastModifiedBy>Christine Barrio-Champeau</cp:lastModifiedBy>
  <cp:revision>2</cp:revision>
  <cp:lastPrinted>2018-09-12T08:27:00Z</cp:lastPrinted>
  <dcterms:created xsi:type="dcterms:W3CDTF">2018-09-20T08:29:00Z</dcterms:created>
  <dcterms:modified xsi:type="dcterms:W3CDTF">2018-09-20T08:29:00Z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