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6F4450" w:rsidTr="00C97039">
        <w:trPr>
          <w:trHeight w:hRule="exact" w:val="851"/>
        </w:trPr>
        <w:tc>
          <w:tcPr>
            <w:tcW w:w="1276" w:type="dxa"/>
            <w:tcBorders>
              <w:bottom w:val="single" w:sz="4" w:space="0" w:color="auto"/>
            </w:tcBorders>
          </w:tcPr>
          <w:p w:rsidR="00F35BAF" w:rsidRPr="00DB58B5" w:rsidRDefault="00F35BAF" w:rsidP="006F445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6F4450" w:rsidRDefault="006F4450" w:rsidP="006F4450">
            <w:pPr>
              <w:jc w:val="right"/>
              <w:rPr>
                <w:lang w:val="en-US"/>
              </w:rPr>
            </w:pPr>
            <w:r w:rsidRPr="006F4450">
              <w:rPr>
                <w:sz w:val="40"/>
                <w:lang w:val="en-US"/>
              </w:rPr>
              <w:t>ECE</w:t>
            </w:r>
            <w:r w:rsidRPr="006F4450">
              <w:rPr>
                <w:lang w:val="en-US"/>
              </w:rPr>
              <w:t>/TRANS/WP.15/AC.1/150/Add.1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F4450" w:rsidP="00C97039">
            <w:pPr>
              <w:spacing w:before="240"/>
            </w:pPr>
            <w:r>
              <w:t>Distr. générale</w:t>
            </w:r>
          </w:p>
          <w:p w:rsidR="006F4450" w:rsidRDefault="006F4450" w:rsidP="006F4450">
            <w:pPr>
              <w:spacing w:line="240" w:lineRule="exact"/>
            </w:pPr>
            <w:r>
              <w:t>10 avril 2018</w:t>
            </w:r>
          </w:p>
          <w:p w:rsidR="006F4450" w:rsidRDefault="006F4450" w:rsidP="006F4450">
            <w:pPr>
              <w:spacing w:line="240" w:lineRule="exact"/>
            </w:pPr>
            <w:r>
              <w:t>Français</w:t>
            </w:r>
          </w:p>
          <w:p w:rsidR="006F4450" w:rsidRPr="00DB58B5" w:rsidRDefault="006F4450" w:rsidP="006F4450">
            <w:pPr>
              <w:spacing w:line="240" w:lineRule="exact"/>
            </w:pPr>
            <w:r>
              <w:t>Original</w:t>
            </w:r>
            <w:r w:rsidR="00DA7133">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w:t>
      </w:r>
      <w:r w:rsidR="006B24CD">
        <w:rPr>
          <w:b/>
          <w:sz w:val="28"/>
          <w:szCs w:val="28"/>
        </w:rPr>
        <w:t>’</w:t>
      </w:r>
      <w:r w:rsidRPr="000312C0">
        <w:rPr>
          <w:b/>
          <w:sz w:val="28"/>
          <w:szCs w:val="28"/>
        </w:rPr>
        <w:t>Europe</w:t>
      </w:r>
    </w:p>
    <w:p w:rsidR="007F20FA" w:rsidRDefault="007F20FA" w:rsidP="00C85595">
      <w:pPr>
        <w:spacing w:before="120" w:after="120"/>
        <w:rPr>
          <w:sz w:val="28"/>
          <w:szCs w:val="28"/>
        </w:rPr>
      </w:pPr>
      <w:r w:rsidRPr="00685843">
        <w:rPr>
          <w:sz w:val="28"/>
          <w:szCs w:val="28"/>
        </w:rPr>
        <w:t>Comité des transports intérieurs</w:t>
      </w:r>
    </w:p>
    <w:p w:rsidR="00C85595" w:rsidRPr="00C47124" w:rsidRDefault="00C85595" w:rsidP="00C85595">
      <w:pPr>
        <w:spacing w:after="120"/>
        <w:rPr>
          <w:b/>
          <w:sz w:val="32"/>
          <w:szCs w:val="24"/>
        </w:rPr>
      </w:pPr>
      <w:r w:rsidRPr="00C47124">
        <w:rPr>
          <w:b/>
          <w:sz w:val="24"/>
          <w:lang w:val="fr-FR"/>
        </w:rPr>
        <w:t>G</w:t>
      </w:r>
      <w:r>
        <w:rPr>
          <w:b/>
          <w:sz w:val="24"/>
          <w:lang w:val="fr-FR"/>
        </w:rPr>
        <w:t xml:space="preserve">roupe de travail des transports </w:t>
      </w:r>
      <w:r w:rsidRPr="00C47124">
        <w:rPr>
          <w:b/>
          <w:sz w:val="24"/>
          <w:lang w:val="fr-FR"/>
        </w:rPr>
        <w:t>de marchandises dangereuses</w:t>
      </w:r>
    </w:p>
    <w:p w:rsidR="00C85595" w:rsidRPr="00C47124" w:rsidRDefault="00C85595" w:rsidP="00C85595">
      <w:pPr>
        <w:rPr>
          <w:b/>
        </w:rPr>
      </w:pPr>
      <w:r w:rsidRPr="00C47124">
        <w:rPr>
          <w:b/>
          <w:lang w:val="fr-FR"/>
        </w:rPr>
        <w:t>Réunion commune de la Commission d</w:t>
      </w:r>
      <w:r w:rsidR="006B24CD">
        <w:rPr>
          <w:b/>
          <w:lang w:val="fr-FR"/>
        </w:rPr>
        <w:t>’</w:t>
      </w:r>
      <w:r w:rsidRPr="00C47124">
        <w:rPr>
          <w:b/>
          <w:lang w:val="fr-FR"/>
        </w:rPr>
        <w:t xml:space="preserve">experts du RID et </w:t>
      </w:r>
      <w:r w:rsidR="0051188D">
        <w:rPr>
          <w:b/>
          <w:lang w:val="fr-FR"/>
        </w:rPr>
        <w:br/>
      </w:r>
      <w:r w:rsidRPr="00C47124">
        <w:rPr>
          <w:b/>
          <w:lang w:val="fr-FR"/>
        </w:rPr>
        <w:t>du Groupe de travail des transports de marchandises dangereuses</w:t>
      </w:r>
    </w:p>
    <w:p w:rsidR="00C85595" w:rsidRPr="00DE7FC1" w:rsidRDefault="00C85595" w:rsidP="00C85595">
      <w:pPr>
        <w:pStyle w:val="HChG"/>
      </w:pPr>
      <w:r>
        <w:rPr>
          <w:lang w:val="fr-FR"/>
        </w:rPr>
        <w:tab/>
      </w:r>
      <w:r>
        <w:rPr>
          <w:lang w:val="fr-FR"/>
        </w:rPr>
        <w:tab/>
        <w:t>Rapport de la Réunion commune de la Commission</w:t>
      </w:r>
      <w:r>
        <w:rPr>
          <w:lang w:val="fr-FR"/>
        </w:rPr>
        <w:br/>
        <w:t>d</w:t>
      </w:r>
      <w:r w:rsidR="006B24CD">
        <w:rPr>
          <w:lang w:val="fr-FR"/>
        </w:rPr>
        <w:t>’</w:t>
      </w:r>
      <w:r>
        <w:rPr>
          <w:lang w:val="fr-FR"/>
        </w:rPr>
        <w:t>experts du RID et du Groupe de travail des transports</w:t>
      </w:r>
      <w:r>
        <w:rPr>
          <w:lang w:val="fr-FR"/>
        </w:rPr>
        <w:br/>
        <w:t>de marchandises danger</w:t>
      </w:r>
      <w:r w:rsidR="00180C6D">
        <w:rPr>
          <w:lang w:val="fr-FR"/>
        </w:rPr>
        <w:t>euses sur sa session</w:t>
      </w:r>
      <w:r w:rsidR="00180C6D">
        <w:rPr>
          <w:lang w:val="fr-FR"/>
        </w:rPr>
        <w:br/>
        <w:t xml:space="preserve">de </w:t>
      </w:r>
      <w:r>
        <w:rPr>
          <w:lang w:val="fr-FR"/>
        </w:rPr>
        <w:t>printemps 2018</w:t>
      </w:r>
      <w:r w:rsidRPr="00C85595">
        <w:rPr>
          <w:rStyle w:val="FootnoteReference"/>
          <w:b w:val="0"/>
          <w:vertAlign w:val="baseline"/>
          <w:lang w:val="fr-FR"/>
        </w:rPr>
        <w:footnoteReference w:customMarkFollows="1" w:id="2"/>
        <w:t>*</w:t>
      </w:r>
    </w:p>
    <w:p w:rsidR="00C85595" w:rsidRPr="00DE7FC1" w:rsidRDefault="00C85595" w:rsidP="00C85595">
      <w:pPr>
        <w:pStyle w:val="H56G"/>
      </w:pPr>
      <w:r>
        <w:rPr>
          <w:lang w:val="fr-FR"/>
        </w:rPr>
        <w:tab/>
      </w:r>
      <w:r>
        <w:rPr>
          <w:lang w:val="fr-FR"/>
        </w:rPr>
        <w:tab/>
        <w:t>tenue à Berne du 12 au 16 mars 2018</w:t>
      </w:r>
    </w:p>
    <w:p w:rsidR="00C85595" w:rsidRPr="00DE7FC1" w:rsidRDefault="00C85595" w:rsidP="00C85595">
      <w:pPr>
        <w:pStyle w:val="H23G"/>
      </w:pPr>
      <w:r>
        <w:rPr>
          <w:lang w:val="fr-FR"/>
        </w:rPr>
        <w:tab/>
      </w:r>
      <w:r>
        <w:rPr>
          <w:lang w:val="fr-FR"/>
        </w:rPr>
        <w:tab/>
        <w:t>Additif</w:t>
      </w:r>
      <w:r w:rsidRPr="009D6F3B">
        <w:rPr>
          <w:rStyle w:val="FootnoteReference"/>
          <w:b w:val="0"/>
          <w:vertAlign w:val="baseline"/>
          <w:lang w:val="fr-FR"/>
        </w:rPr>
        <w:footnoteReference w:customMarkFollows="1" w:id="3"/>
        <w:t>**</w:t>
      </w:r>
    </w:p>
    <w:p w:rsidR="00C85595" w:rsidRPr="00DE7FC1" w:rsidRDefault="00C85595" w:rsidP="00C85595">
      <w:pPr>
        <w:pStyle w:val="H1G"/>
      </w:pPr>
      <w:r>
        <w:rPr>
          <w:lang w:val="fr-FR"/>
        </w:rPr>
        <w:tab/>
      </w:r>
      <w:r>
        <w:rPr>
          <w:lang w:val="fr-FR"/>
        </w:rPr>
        <w:tab/>
        <w:t>Annexe I</w:t>
      </w:r>
    </w:p>
    <w:p w:rsidR="00C85595" w:rsidRPr="00DE7FC1" w:rsidRDefault="00C85595" w:rsidP="00C85595">
      <w:pPr>
        <w:pStyle w:val="H1G"/>
      </w:pPr>
      <w:r>
        <w:rPr>
          <w:lang w:val="fr-FR"/>
        </w:rPr>
        <w:tab/>
      </w:r>
      <w:r>
        <w:rPr>
          <w:lang w:val="fr-FR"/>
        </w:rPr>
        <w:tab/>
        <w:t>Rapport du Groupe de travail des citernes</w:t>
      </w:r>
    </w:p>
    <w:p w:rsidR="00C85595" w:rsidRPr="00DE7FC1" w:rsidRDefault="00C85595" w:rsidP="00C85595">
      <w:pPr>
        <w:pStyle w:val="SingleTxtG"/>
      </w:pPr>
      <w:r>
        <w:rPr>
          <w:lang w:val="fr-FR"/>
        </w:rPr>
        <w:t>1.</w:t>
      </w:r>
      <w:r>
        <w:rPr>
          <w:lang w:val="fr-FR"/>
        </w:rPr>
        <w:tab/>
        <w:t>Le Groupe de travail des citernes s</w:t>
      </w:r>
      <w:r w:rsidR="006B24CD">
        <w:rPr>
          <w:lang w:val="fr-FR"/>
        </w:rPr>
        <w:t>’</w:t>
      </w:r>
      <w:r w:rsidR="008D4D2F">
        <w:rPr>
          <w:lang w:val="fr-FR"/>
        </w:rPr>
        <w:t>est réuni à Berne du 12 au 14 </w:t>
      </w:r>
      <w:r>
        <w:rPr>
          <w:lang w:val="fr-FR"/>
        </w:rPr>
        <w:t>mars 2018, dans le cadre du mandat que lui a confié la Réunion commune RID/ADR/ADN, sous la présidence de</w:t>
      </w:r>
      <w:r w:rsidR="008D4D2F">
        <w:rPr>
          <w:lang w:val="fr-FR"/>
        </w:rPr>
        <w:t xml:space="preserve"> M. Arne Bale (Royaume-Uni), M. </w:t>
      </w:r>
      <w:r>
        <w:rPr>
          <w:lang w:val="fr-FR"/>
        </w:rPr>
        <w:t>Kees de Putter (Pays-Bas) remplissant les fonctions de secrétaire. Les documents pertinents ont été soumis à la session plénière et transmis au Groupe de travail pour examen.</w:t>
      </w:r>
    </w:p>
    <w:p w:rsidR="00C85595" w:rsidRPr="00DE7FC1" w:rsidRDefault="00C85595" w:rsidP="00C85595">
      <w:pPr>
        <w:pStyle w:val="SingleTxtG"/>
      </w:pPr>
      <w:r>
        <w:rPr>
          <w:lang w:val="fr-FR"/>
        </w:rPr>
        <w:t>2.</w:t>
      </w:r>
      <w:r>
        <w:rPr>
          <w:lang w:val="fr-FR"/>
        </w:rPr>
        <w:tab/>
        <w:t>Le G</w:t>
      </w:r>
      <w:r w:rsidR="008D4D2F">
        <w:rPr>
          <w:lang w:val="fr-FR"/>
        </w:rPr>
        <w:t>roupe de travail, composé de 31 experts de 13 pays et de 6 </w:t>
      </w:r>
      <w:r>
        <w:rPr>
          <w:lang w:val="fr-FR"/>
        </w:rPr>
        <w:t>organisations non gouvernementales, a examiné les documents officiels et informels suivants</w:t>
      </w:r>
      <w:r w:rsidR="00DA7133">
        <w:rPr>
          <w:lang w:val="fr-FR"/>
        </w:rPr>
        <w:t> :</w:t>
      </w:r>
    </w:p>
    <w:p w:rsidR="00C85595" w:rsidRPr="000B436A" w:rsidRDefault="00C85595" w:rsidP="000B436A">
      <w:pPr>
        <w:pStyle w:val="SingleTxtG"/>
        <w:ind w:left="3402" w:hanging="2268"/>
        <w:jc w:val="left"/>
        <w:rPr>
          <w:lang w:val="fr-FR"/>
        </w:rPr>
      </w:pPr>
      <w:r w:rsidRPr="00DE7FC1">
        <w:br w:type="page"/>
      </w:r>
      <w:r>
        <w:rPr>
          <w:i/>
          <w:iCs/>
          <w:lang w:val="fr-FR"/>
        </w:rPr>
        <w:lastRenderedPageBreak/>
        <w:t>Documents</w:t>
      </w:r>
      <w:r w:rsidR="00DA7133">
        <w:rPr>
          <w:i/>
          <w:iCs/>
          <w:lang w:val="fr-FR"/>
        </w:rPr>
        <w:t> :</w:t>
      </w:r>
      <w:r w:rsidR="000B436A">
        <w:rPr>
          <w:lang w:val="fr-FR"/>
        </w:rPr>
        <w:tab/>
      </w:r>
      <w:r>
        <w:rPr>
          <w:lang w:val="fr-FR"/>
        </w:rPr>
        <w:t>ECE/TR</w:t>
      </w:r>
      <w:r w:rsidR="000B436A">
        <w:rPr>
          <w:lang w:val="fr-FR"/>
        </w:rPr>
        <w:t xml:space="preserve">ANS/WP.15/AC.1/2018/6 (Pologne) </w:t>
      </w:r>
      <w:r>
        <w:rPr>
          <w:lang w:val="fr-FR"/>
        </w:rPr>
        <w:t>ECE/TRANS/WP.15/AC.1/2018/8 (Royaume-Uni) ECE/TRANS/WP.15/AC.1/2018/9 (UIP)</w:t>
      </w:r>
      <w:r w:rsidR="000B436A">
        <w:rPr>
          <w:lang w:val="fr-FR"/>
        </w:rPr>
        <w:t xml:space="preserve"> </w:t>
      </w:r>
      <w:r>
        <w:rPr>
          <w:lang w:val="fr-FR"/>
        </w:rPr>
        <w:t>ECE/TRANS/WP.15/AC.1/2018/11 (France)</w:t>
      </w:r>
      <w:r w:rsidR="000B436A">
        <w:rPr>
          <w:lang w:val="fr-FR"/>
        </w:rPr>
        <w:t xml:space="preserve"> </w:t>
      </w:r>
      <w:r>
        <w:rPr>
          <w:lang w:val="fr-FR"/>
        </w:rPr>
        <w:t>ECE/TRANS/WP.15/AC.1/2018/12 (France)</w:t>
      </w:r>
      <w:r w:rsidR="000B436A">
        <w:rPr>
          <w:lang w:val="fr-FR"/>
        </w:rPr>
        <w:t xml:space="preserve"> </w:t>
      </w:r>
      <w:r>
        <w:rPr>
          <w:lang w:val="fr-FR"/>
        </w:rPr>
        <w:t>ECE/TRANS/WP.15/AC.1/2018/13 (France)</w:t>
      </w:r>
    </w:p>
    <w:p w:rsidR="007722B1" w:rsidRDefault="00C85595" w:rsidP="007722B1">
      <w:pPr>
        <w:pStyle w:val="SingleTxtG"/>
        <w:spacing w:after="0"/>
        <w:ind w:left="3402" w:hanging="2268"/>
        <w:jc w:val="left"/>
        <w:rPr>
          <w:lang w:val="fr-FR"/>
        </w:rPr>
      </w:pPr>
      <w:r>
        <w:rPr>
          <w:i/>
          <w:iCs/>
          <w:lang w:val="fr-FR"/>
        </w:rPr>
        <w:t>Documents informels</w:t>
      </w:r>
      <w:r w:rsidR="00DA7133">
        <w:rPr>
          <w:i/>
          <w:iCs/>
          <w:lang w:val="fr-FR"/>
        </w:rPr>
        <w:t> :</w:t>
      </w:r>
      <w:r w:rsidR="000B436A">
        <w:rPr>
          <w:lang w:val="fr-FR"/>
        </w:rPr>
        <w:tab/>
      </w:r>
      <w:r>
        <w:rPr>
          <w:lang w:val="fr-FR"/>
        </w:rPr>
        <w:t>INF.6 (Franc</w:t>
      </w:r>
      <w:r w:rsidR="007722B1">
        <w:rPr>
          <w:lang w:val="fr-FR"/>
        </w:rPr>
        <w:t xml:space="preserve">e) </w:t>
      </w:r>
      <w:r w:rsidR="007722B1">
        <w:rPr>
          <w:lang w:val="fr-FR"/>
        </w:rPr>
        <w:tab/>
      </w:r>
      <w:r w:rsidR="007722B1">
        <w:rPr>
          <w:lang w:val="fr-FR"/>
        </w:rPr>
        <w:tab/>
        <w:t>INF.24 (UIC)</w:t>
      </w:r>
    </w:p>
    <w:p w:rsidR="007722B1" w:rsidRDefault="007722B1" w:rsidP="007722B1">
      <w:pPr>
        <w:pStyle w:val="SingleTxtG"/>
        <w:spacing w:after="0"/>
        <w:ind w:left="3402" w:hanging="2268"/>
        <w:jc w:val="left"/>
        <w:rPr>
          <w:lang w:val="fr-FR"/>
        </w:rPr>
      </w:pPr>
      <w:r>
        <w:rPr>
          <w:lang w:val="fr-FR"/>
        </w:rPr>
        <w:tab/>
        <w:t>INF.9 </w:t>
      </w:r>
      <w:r w:rsidR="000B436A">
        <w:rPr>
          <w:lang w:val="fr-FR"/>
        </w:rPr>
        <w:t>(France)</w:t>
      </w:r>
      <w:r>
        <w:rPr>
          <w:lang w:val="fr-FR"/>
        </w:rPr>
        <w:tab/>
      </w:r>
      <w:r>
        <w:rPr>
          <w:lang w:val="fr-FR"/>
        </w:rPr>
        <w:tab/>
      </w:r>
      <w:r w:rsidR="00C85595">
        <w:rPr>
          <w:lang w:val="fr-FR"/>
        </w:rPr>
        <w:t>INF.32/Rev.1 (France)</w:t>
      </w:r>
      <w:r>
        <w:rPr>
          <w:lang w:val="fr-FR"/>
        </w:rPr>
        <w:t xml:space="preserve"> </w:t>
      </w:r>
    </w:p>
    <w:p w:rsidR="007722B1" w:rsidRDefault="007722B1" w:rsidP="007722B1">
      <w:pPr>
        <w:pStyle w:val="SingleTxtG"/>
        <w:spacing w:after="0"/>
        <w:ind w:left="3402" w:hanging="2268"/>
        <w:jc w:val="left"/>
        <w:rPr>
          <w:lang w:val="fr-FR"/>
        </w:rPr>
      </w:pPr>
      <w:r>
        <w:rPr>
          <w:lang w:val="fr-FR"/>
        </w:rPr>
        <w:tab/>
      </w:r>
      <w:r w:rsidR="000B436A">
        <w:rPr>
          <w:lang w:val="fr-FR"/>
        </w:rPr>
        <w:t xml:space="preserve">INF.10 </w:t>
      </w:r>
      <w:r>
        <w:rPr>
          <w:lang w:val="fr-FR"/>
        </w:rPr>
        <w:t>(Pays-Bas)</w:t>
      </w:r>
      <w:r>
        <w:rPr>
          <w:lang w:val="fr-FR"/>
        </w:rPr>
        <w:tab/>
      </w:r>
      <w:r>
        <w:rPr>
          <w:lang w:val="fr-FR"/>
        </w:rPr>
        <w:tab/>
      </w:r>
      <w:r w:rsidR="003017B8">
        <w:rPr>
          <w:lang w:val="fr-FR"/>
        </w:rPr>
        <w:t>INF.36 </w:t>
      </w:r>
      <w:r w:rsidR="00C85595">
        <w:rPr>
          <w:lang w:val="fr-FR"/>
        </w:rPr>
        <w:t>(Allemagne)</w:t>
      </w:r>
      <w:r w:rsidR="000B436A">
        <w:rPr>
          <w:lang w:val="fr-FR"/>
        </w:rPr>
        <w:t xml:space="preserve"> </w:t>
      </w:r>
    </w:p>
    <w:p w:rsidR="007722B1" w:rsidRDefault="007722B1" w:rsidP="007722B1">
      <w:pPr>
        <w:pStyle w:val="SingleTxtG"/>
        <w:spacing w:after="0"/>
        <w:ind w:left="3402" w:hanging="2268"/>
        <w:jc w:val="left"/>
        <w:rPr>
          <w:lang w:val="fr-FR"/>
        </w:rPr>
      </w:pPr>
      <w:r>
        <w:rPr>
          <w:lang w:val="fr-FR"/>
        </w:rPr>
        <w:tab/>
      </w:r>
      <w:r>
        <w:rPr>
          <w:lang w:val="fr-FR"/>
        </w:rPr>
        <w:tab/>
      </w:r>
      <w:r w:rsidR="000B436A">
        <w:rPr>
          <w:lang w:val="fr-FR"/>
        </w:rPr>
        <w:t>INF.11</w:t>
      </w:r>
      <w:r w:rsidR="003017B8">
        <w:rPr>
          <w:lang w:val="fr-FR"/>
        </w:rPr>
        <w:t xml:space="preserve"> (Royaume-Uni)</w:t>
      </w:r>
      <w:r>
        <w:rPr>
          <w:lang w:val="fr-FR"/>
        </w:rPr>
        <w:tab/>
      </w:r>
      <w:r w:rsidR="00C85595">
        <w:rPr>
          <w:lang w:val="fr-FR"/>
        </w:rPr>
        <w:t>INF.40</w:t>
      </w:r>
      <w:r w:rsidR="003017B8">
        <w:rPr>
          <w:lang w:val="fr-FR"/>
        </w:rPr>
        <w:t> </w:t>
      </w:r>
      <w:r w:rsidR="00C85595">
        <w:rPr>
          <w:lang w:val="fr-FR"/>
        </w:rPr>
        <w:t>(France)</w:t>
      </w:r>
    </w:p>
    <w:p w:rsidR="007722B1" w:rsidRDefault="007722B1" w:rsidP="007722B1">
      <w:pPr>
        <w:pStyle w:val="SingleTxtG"/>
        <w:spacing w:after="0"/>
        <w:ind w:left="3402" w:hanging="2268"/>
        <w:jc w:val="left"/>
        <w:rPr>
          <w:lang w:val="fr-FR"/>
        </w:rPr>
      </w:pPr>
      <w:r>
        <w:rPr>
          <w:lang w:val="fr-FR"/>
        </w:rPr>
        <w:tab/>
      </w:r>
      <w:r>
        <w:rPr>
          <w:lang w:val="fr-FR"/>
        </w:rPr>
        <w:tab/>
      </w:r>
      <w:r w:rsidR="003017B8">
        <w:rPr>
          <w:lang w:val="fr-FR"/>
        </w:rPr>
        <w:t>I</w:t>
      </w:r>
      <w:r>
        <w:rPr>
          <w:lang w:val="fr-FR"/>
        </w:rPr>
        <w:t>NF.17 (UIC)</w:t>
      </w:r>
      <w:r>
        <w:rPr>
          <w:lang w:val="fr-FR"/>
        </w:rPr>
        <w:tab/>
      </w:r>
      <w:r>
        <w:rPr>
          <w:lang w:val="fr-FR"/>
        </w:rPr>
        <w:tab/>
      </w:r>
      <w:r>
        <w:rPr>
          <w:lang w:val="fr-FR"/>
        </w:rPr>
        <w:tab/>
      </w:r>
      <w:r w:rsidR="003017B8">
        <w:rPr>
          <w:lang w:val="fr-FR"/>
        </w:rPr>
        <w:t>INF.41 (Royaume</w:t>
      </w:r>
      <w:r w:rsidR="003017B8">
        <w:rPr>
          <w:lang w:val="fr-FR"/>
        </w:rPr>
        <w:noBreakHyphen/>
      </w:r>
      <w:r w:rsidR="00C85595">
        <w:rPr>
          <w:lang w:val="fr-FR"/>
        </w:rPr>
        <w:t>Uni)</w:t>
      </w:r>
    </w:p>
    <w:p w:rsidR="00C85595" w:rsidRPr="000B436A" w:rsidRDefault="007722B1" w:rsidP="000B436A">
      <w:pPr>
        <w:pStyle w:val="SingleTxtG"/>
        <w:ind w:left="3402" w:hanging="2268"/>
        <w:jc w:val="left"/>
        <w:rPr>
          <w:lang w:val="fr-FR"/>
        </w:rPr>
      </w:pPr>
      <w:r>
        <w:rPr>
          <w:lang w:val="fr-FR"/>
        </w:rPr>
        <w:tab/>
      </w:r>
      <w:r w:rsidR="00DF4E11">
        <w:rPr>
          <w:lang w:val="fr-FR"/>
        </w:rPr>
        <w:t>INF.19</w:t>
      </w:r>
      <w:r w:rsidR="003017B8">
        <w:rPr>
          <w:lang w:val="fr-FR"/>
        </w:rPr>
        <w:t> </w:t>
      </w:r>
      <w:r w:rsidR="00C85595">
        <w:rPr>
          <w:lang w:val="fr-FR"/>
        </w:rPr>
        <w:t>(OTIF)</w:t>
      </w:r>
    </w:p>
    <w:p w:rsidR="00C85595" w:rsidRPr="00DE7FC1" w:rsidRDefault="00013849" w:rsidP="00013849">
      <w:pPr>
        <w:pStyle w:val="H23G"/>
        <w:kinsoku/>
        <w:overflowPunct/>
        <w:autoSpaceDE/>
        <w:autoSpaceDN/>
        <w:adjustRightInd/>
        <w:snapToGrid/>
      </w:pPr>
      <w:r>
        <w:rPr>
          <w:lang w:val="fr-FR"/>
        </w:rPr>
        <w:tab/>
        <w:t>Point 1</w:t>
      </w:r>
      <w:r>
        <w:rPr>
          <w:lang w:val="fr-FR"/>
        </w:rPr>
        <w:tab/>
      </w:r>
      <w:r w:rsidR="00C85595">
        <w:rPr>
          <w:lang w:val="fr-FR"/>
        </w:rPr>
        <w:t>ECE/TRAN</w:t>
      </w:r>
      <w:r w:rsidR="000B436A">
        <w:rPr>
          <w:lang w:val="fr-FR"/>
        </w:rPr>
        <w:t>S/WP.15/AC.1/2018/6 (Pologne) « </w:t>
      </w:r>
      <w:r w:rsidR="00C85595">
        <w:rPr>
          <w:lang w:val="fr-FR"/>
        </w:rPr>
        <w:t>Qualifica</w:t>
      </w:r>
      <w:r w:rsidR="00E1216D">
        <w:rPr>
          <w:lang w:val="fr-FR"/>
        </w:rPr>
        <w:t>tion des procédures</w:t>
      </w:r>
      <w:r w:rsidR="00E1216D">
        <w:rPr>
          <w:lang w:val="fr-FR"/>
        </w:rPr>
        <w:br/>
      </w:r>
      <w:r w:rsidR="000B436A">
        <w:rPr>
          <w:lang w:val="fr-FR"/>
        </w:rPr>
        <w:t>de soudage −</w:t>
      </w:r>
      <w:r w:rsidR="00C85595">
        <w:rPr>
          <w:lang w:val="fr-FR"/>
        </w:rPr>
        <w:t xml:space="preserve"> Soudage selon le paragraphe 6.8.2.1.23</w:t>
      </w:r>
      <w:r w:rsidR="000B436A">
        <w:rPr>
          <w:lang w:val="fr-FR"/>
        </w:rPr>
        <w:t> </w:t>
      </w:r>
      <w:r w:rsidR="00C85595">
        <w:rPr>
          <w:lang w:val="fr-FR"/>
        </w:rPr>
        <w:t>»</w:t>
      </w:r>
    </w:p>
    <w:p w:rsidR="00C85595" w:rsidRPr="00DE7FC1" w:rsidRDefault="00C85595" w:rsidP="000B436A">
      <w:pPr>
        <w:pStyle w:val="SingleTxtG"/>
      </w:pPr>
      <w:r>
        <w:rPr>
          <w:lang w:val="fr-FR"/>
        </w:rPr>
        <w:t>3.</w:t>
      </w:r>
      <w:r>
        <w:rPr>
          <w:lang w:val="fr-FR"/>
        </w:rPr>
        <w:tab/>
        <w:t xml:space="preserve">La norme </w:t>
      </w:r>
      <w:r w:rsidR="006C6F8E">
        <w:rPr>
          <w:lang w:val="fr-FR"/>
        </w:rPr>
        <w:t>EN </w:t>
      </w:r>
      <w:r>
        <w:rPr>
          <w:lang w:val="fr-FR"/>
        </w:rPr>
        <w:t>ISO 15614-1:2017 prévoit deux niveaux permettant de démontrer l</w:t>
      </w:r>
      <w:r w:rsidR="006B24CD">
        <w:rPr>
          <w:lang w:val="fr-FR"/>
        </w:rPr>
        <w:t>’</w:t>
      </w:r>
      <w:r>
        <w:rPr>
          <w:lang w:val="fr-FR"/>
        </w:rPr>
        <w:t>aptitude du constructeur à réaliser des travaux de soudage. Le niveau 1 est fondé sur les prescriptions de l</w:t>
      </w:r>
      <w:r w:rsidR="006B24CD">
        <w:rPr>
          <w:lang w:val="fr-FR"/>
        </w:rPr>
        <w:t>’</w:t>
      </w:r>
      <w:r>
        <w:rPr>
          <w:lang w:val="fr-FR"/>
        </w:rPr>
        <w:t>American Society of Mechanical Engineers (Société américaine des ingénieurs méc</w:t>
      </w:r>
      <w:r w:rsidR="008D4D2F">
        <w:rPr>
          <w:lang w:val="fr-FR"/>
        </w:rPr>
        <w:t>aniciens), tandis que le niveau </w:t>
      </w:r>
      <w:r>
        <w:rPr>
          <w:lang w:val="fr-FR"/>
        </w:rPr>
        <w:t>2 s</w:t>
      </w:r>
      <w:r w:rsidR="006B24CD">
        <w:rPr>
          <w:lang w:val="fr-FR"/>
        </w:rPr>
        <w:t>’</w:t>
      </w:r>
      <w:r>
        <w:rPr>
          <w:lang w:val="fr-FR"/>
        </w:rPr>
        <w:t>appuie sur le texte original figurant dans les versions pré</w:t>
      </w:r>
      <w:r w:rsidR="008D4D2F">
        <w:rPr>
          <w:lang w:val="fr-FR"/>
        </w:rPr>
        <w:t>cédentes de la norme. Le niveau </w:t>
      </w:r>
      <w:r>
        <w:rPr>
          <w:lang w:val="fr-FR"/>
        </w:rPr>
        <w:t>2 est le plus restrictif et doit être appliqué lorsqu</w:t>
      </w:r>
      <w:r w:rsidR="006B24CD">
        <w:rPr>
          <w:lang w:val="fr-FR"/>
        </w:rPr>
        <w:t>’</w:t>
      </w:r>
      <w:r>
        <w:rPr>
          <w:lang w:val="fr-FR"/>
        </w:rPr>
        <w:t>aucun niveau d</w:t>
      </w:r>
      <w:r w:rsidR="006B24CD">
        <w:rPr>
          <w:lang w:val="fr-FR"/>
        </w:rPr>
        <w:t>’</w:t>
      </w:r>
      <w:r>
        <w:rPr>
          <w:lang w:val="fr-FR"/>
        </w:rPr>
        <w:t>épreuve n</w:t>
      </w:r>
      <w:r w:rsidR="006B24CD">
        <w:rPr>
          <w:lang w:val="fr-FR"/>
        </w:rPr>
        <w:t>’</w:t>
      </w:r>
      <w:r>
        <w:rPr>
          <w:lang w:val="fr-FR"/>
        </w:rPr>
        <w:t>est spécifié</w:t>
      </w:r>
      <w:r w:rsidR="00DA7133">
        <w:rPr>
          <w:lang w:val="fr-FR"/>
        </w:rPr>
        <w:t xml:space="preserve"> </w:t>
      </w:r>
      <w:r>
        <w:rPr>
          <w:lang w:val="fr-FR"/>
        </w:rPr>
        <w:t xml:space="preserve">dans la législation ou le contrat. Les directives </w:t>
      </w:r>
      <w:r w:rsidRPr="00575B5E">
        <w:rPr>
          <w:lang w:val="fr-FR"/>
        </w:rPr>
        <w:t>de l</w:t>
      </w:r>
      <w:r w:rsidR="006B24CD">
        <w:rPr>
          <w:lang w:val="fr-FR"/>
        </w:rPr>
        <w:t>’</w:t>
      </w:r>
      <w:r w:rsidRPr="00575B5E">
        <w:rPr>
          <w:lang w:val="fr-FR"/>
        </w:rPr>
        <w:t xml:space="preserve">Union européenne </w:t>
      </w:r>
      <w:r>
        <w:rPr>
          <w:lang w:val="fr-FR"/>
        </w:rPr>
        <w:t>relatives aux équipements sous pression et aux récipients à pression simple</w:t>
      </w:r>
      <w:r w:rsidRPr="00D7084D">
        <w:rPr>
          <w:rStyle w:val="FootnoteReference"/>
        </w:rPr>
        <w:footnoteReference w:id="4"/>
      </w:r>
      <w:r>
        <w:rPr>
          <w:lang w:val="fr-FR"/>
        </w:rPr>
        <w:t xml:space="preserve"> indiquent que le niveau</w:t>
      </w:r>
      <w:r w:rsidR="008D4D2F">
        <w:rPr>
          <w:lang w:val="fr-FR"/>
        </w:rPr>
        <w:t> </w:t>
      </w:r>
      <w:r>
        <w:rPr>
          <w:lang w:val="fr-FR"/>
        </w:rPr>
        <w:t>2 doit obligatoirement être appliqué conformément aux annexes européennes à la norme. Dans son document, la Pologne a demandé que le niveau applicable aux citernes visées par le RID/ADR soit précisé.</w:t>
      </w:r>
    </w:p>
    <w:p w:rsidR="00C85595" w:rsidRPr="00DE7FC1" w:rsidRDefault="00C85595" w:rsidP="00C604A3">
      <w:pPr>
        <w:pStyle w:val="SingleTxtG"/>
      </w:pPr>
      <w:r>
        <w:rPr>
          <w:lang w:val="fr-FR"/>
        </w:rPr>
        <w:t>4.</w:t>
      </w:r>
      <w:r>
        <w:rPr>
          <w:lang w:val="fr-FR"/>
        </w:rPr>
        <w:tab/>
        <w:t>Il a été considéré que, bien que le niveau 1 contienne des dispositions visant à inclure les</w:t>
      </w:r>
      <w:r w:rsidR="00DA7133">
        <w:rPr>
          <w:lang w:val="fr-FR"/>
        </w:rPr>
        <w:t xml:space="preserve"> </w:t>
      </w:r>
      <w:r>
        <w:rPr>
          <w:lang w:val="fr-FR"/>
        </w:rPr>
        <w:t>métaux d</w:t>
      </w:r>
      <w:r w:rsidR="006B24CD">
        <w:rPr>
          <w:lang w:val="fr-FR"/>
        </w:rPr>
        <w:t>’</w:t>
      </w:r>
      <w:r>
        <w:rPr>
          <w:lang w:val="fr-FR"/>
        </w:rPr>
        <w:t>apport de soudage, le niveau 2 est plus exhaustif en ce qui concerne les épreuves de soudage réalisées sur des plaques d</w:t>
      </w:r>
      <w:r w:rsidR="006B24CD">
        <w:rPr>
          <w:lang w:val="fr-FR"/>
        </w:rPr>
        <w:t>’</w:t>
      </w:r>
      <w:r>
        <w:rPr>
          <w:lang w:val="fr-FR"/>
        </w:rPr>
        <w:t xml:space="preserve">essai et, par conséquent, plus onéreux. Toutefois, les deux niveaux permettent de démontrer que les modes opératoires de soudage sont appropriés. Si la norme </w:t>
      </w:r>
      <w:r w:rsidR="006C6F8E">
        <w:rPr>
          <w:lang w:val="fr-FR"/>
        </w:rPr>
        <w:t>EN </w:t>
      </w:r>
      <w:r>
        <w:rPr>
          <w:lang w:val="fr-FR"/>
        </w:rPr>
        <w:t>12972:2018 prévoit le recours au niveau 1 pour les citernes mobiles, plusieurs experts</w:t>
      </w:r>
      <w:r w:rsidR="00DA7133">
        <w:rPr>
          <w:lang w:val="fr-FR"/>
        </w:rPr>
        <w:t xml:space="preserve"> </w:t>
      </w:r>
      <w:r>
        <w:rPr>
          <w:lang w:val="fr-FR"/>
        </w:rPr>
        <w:t>se montraient toutefois encore réticents à ce stade et préconisaient l</w:t>
      </w:r>
      <w:r w:rsidR="006B24CD">
        <w:rPr>
          <w:lang w:val="fr-FR"/>
        </w:rPr>
        <w:t>’</w:t>
      </w:r>
      <w:r>
        <w:rPr>
          <w:lang w:val="fr-FR"/>
        </w:rPr>
        <w:t>application du niveau 2.</w:t>
      </w:r>
    </w:p>
    <w:p w:rsidR="00C85595" w:rsidRPr="00DE7FC1" w:rsidRDefault="00C85595" w:rsidP="00C604A3">
      <w:pPr>
        <w:pStyle w:val="SingleTxtG"/>
      </w:pPr>
      <w:r>
        <w:rPr>
          <w:lang w:val="fr-FR"/>
        </w:rPr>
        <w:t>5.</w:t>
      </w:r>
      <w:r>
        <w:rPr>
          <w:lang w:val="fr-FR"/>
        </w:rPr>
        <w:tab/>
        <w:t>Compte tenu du fait que les fabricants et les ateliers de réparation devaient déjà se conformer à la précédente version de la norme dans laqu</w:t>
      </w:r>
      <w:r w:rsidR="008D4D2F">
        <w:rPr>
          <w:lang w:val="fr-FR"/>
        </w:rPr>
        <w:t>elle des dispositions du niveau </w:t>
      </w:r>
      <w:r>
        <w:rPr>
          <w:lang w:val="fr-FR"/>
        </w:rPr>
        <w:t>2 s</w:t>
      </w:r>
      <w:r w:rsidR="006B24CD">
        <w:rPr>
          <w:lang w:val="fr-FR"/>
        </w:rPr>
        <w:t>’</w:t>
      </w:r>
      <w:r>
        <w:rPr>
          <w:lang w:val="fr-FR"/>
        </w:rPr>
        <w:t>appliquent, aucun problème n</w:t>
      </w:r>
      <w:r w:rsidR="006B24CD">
        <w:rPr>
          <w:lang w:val="fr-FR"/>
        </w:rPr>
        <w:t>’</w:t>
      </w:r>
      <w:r>
        <w:rPr>
          <w:lang w:val="fr-FR"/>
        </w:rPr>
        <w:t>est à prévoir si une décision ne peut être prise immédiatement. Il a donc été décidé d</w:t>
      </w:r>
      <w:r w:rsidR="006B24CD">
        <w:rPr>
          <w:lang w:val="fr-FR"/>
        </w:rPr>
        <w:t>’</w:t>
      </w:r>
      <w:r>
        <w:rPr>
          <w:lang w:val="fr-FR"/>
        </w:rPr>
        <w:t xml:space="preserve">attendre le document de comparaison qui sera établi par la France pour examen à une prochaine session. </w:t>
      </w:r>
    </w:p>
    <w:p w:rsidR="00C85595" w:rsidRPr="00DE7FC1" w:rsidRDefault="00C85595" w:rsidP="00C604A3">
      <w:pPr>
        <w:pStyle w:val="H23G"/>
      </w:pPr>
      <w:r>
        <w:rPr>
          <w:lang w:val="fr-FR"/>
        </w:rPr>
        <w:tab/>
        <w:t>Point 2</w:t>
      </w:r>
      <w:r>
        <w:rPr>
          <w:lang w:val="fr-FR"/>
        </w:rPr>
        <w:tab/>
        <w:t>ECE/TRANS/WP.15/AC.1/2018/8 (Royaume-Uni) «</w:t>
      </w:r>
      <w:r w:rsidR="008C7AF7">
        <w:rPr>
          <w:lang w:val="fr-FR"/>
        </w:rPr>
        <w:t> Modèles de plaques de citernes</w:t>
      </w:r>
      <w:r w:rsidR="008C7AF7">
        <w:rPr>
          <w:lang w:val="fr-FR"/>
        </w:rPr>
        <w:br/>
        <w:t>du chapitre 6.8 </w:t>
      </w:r>
      <w:r>
        <w:rPr>
          <w:lang w:val="fr-FR"/>
        </w:rPr>
        <w:t>»</w:t>
      </w:r>
    </w:p>
    <w:p w:rsidR="00C85595" w:rsidRPr="00DE7FC1" w:rsidRDefault="00C85595" w:rsidP="00C604A3">
      <w:pPr>
        <w:pStyle w:val="SingleTxtG"/>
      </w:pPr>
      <w:r>
        <w:rPr>
          <w:lang w:val="fr-FR"/>
        </w:rPr>
        <w:t>6.</w:t>
      </w:r>
      <w:r>
        <w:rPr>
          <w:lang w:val="fr-FR"/>
        </w:rPr>
        <w:tab/>
        <w:t xml:space="preserve">La proposition du Royaume-Uni, établie au nom du groupe, visait à réexaminer les informations fournies concernant les plaques de citernes et comprenait des exemples tirés du chapitre 6.8 du RID/ADR. </w:t>
      </w:r>
    </w:p>
    <w:p w:rsidR="00C85595" w:rsidRPr="00DE7FC1" w:rsidRDefault="00C85595" w:rsidP="00C604A3">
      <w:pPr>
        <w:pStyle w:val="SingleTxtG"/>
      </w:pPr>
      <w:r>
        <w:rPr>
          <w:lang w:val="fr-FR"/>
        </w:rPr>
        <w:t>7.</w:t>
      </w:r>
      <w:r>
        <w:rPr>
          <w:lang w:val="fr-FR"/>
        </w:rPr>
        <w:tab/>
        <w:t>Certains experts ont toutefois mis en doute l</w:t>
      </w:r>
      <w:r w:rsidR="006B24CD">
        <w:rPr>
          <w:lang w:val="fr-FR"/>
        </w:rPr>
        <w:t>’</w:t>
      </w:r>
      <w:r>
        <w:rPr>
          <w:lang w:val="fr-FR"/>
        </w:rPr>
        <w:t>utilité de cette proposition, étant donné que les plaques de citernes actuelles ne semblaient pas poser problème. Le peu d</w:t>
      </w:r>
      <w:r w:rsidR="006B24CD">
        <w:rPr>
          <w:lang w:val="fr-FR"/>
        </w:rPr>
        <w:t>’</w:t>
      </w:r>
      <w:r>
        <w:rPr>
          <w:lang w:val="fr-FR"/>
        </w:rPr>
        <w:t>espace disponible sur les véhicules-citernes routiers a été évoqué, de même que les différents types d</w:t>
      </w:r>
      <w:r w:rsidR="006B24CD">
        <w:rPr>
          <w:lang w:val="fr-FR"/>
        </w:rPr>
        <w:t>’</w:t>
      </w:r>
      <w:r>
        <w:rPr>
          <w:lang w:val="fr-FR"/>
        </w:rPr>
        <w:t>informations requises pour les véhicules-citernes, les wa</w:t>
      </w:r>
      <w:r w:rsidR="00E0161F">
        <w:rPr>
          <w:lang w:val="fr-FR"/>
        </w:rPr>
        <w:t>gons-citernes et les conteneurs</w:t>
      </w:r>
      <w:r w:rsidR="00E0161F">
        <w:rPr>
          <w:lang w:val="fr-FR"/>
        </w:rPr>
        <w:noBreakHyphen/>
      </w:r>
      <w:r>
        <w:rPr>
          <w:lang w:val="fr-FR"/>
        </w:rPr>
        <w:t>citernes, ainsi que les coûts d</w:t>
      </w:r>
      <w:r w:rsidR="006B24CD">
        <w:rPr>
          <w:lang w:val="fr-FR"/>
        </w:rPr>
        <w:t>’</w:t>
      </w:r>
      <w:r>
        <w:rPr>
          <w:lang w:val="fr-FR"/>
        </w:rPr>
        <w:t>adaptation pour l</w:t>
      </w:r>
      <w:r w:rsidR="006B24CD">
        <w:rPr>
          <w:lang w:val="fr-FR"/>
        </w:rPr>
        <w:t>’</w:t>
      </w:r>
      <w:r>
        <w:rPr>
          <w:lang w:val="fr-FR"/>
        </w:rPr>
        <w:t>industrie. Bien qu</w:t>
      </w:r>
      <w:r w:rsidR="006B24CD">
        <w:rPr>
          <w:lang w:val="fr-FR"/>
        </w:rPr>
        <w:t>’</w:t>
      </w:r>
      <w:r>
        <w:rPr>
          <w:lang w:val="fr-FR"/>
        </w:rPr>
        <w:t xml:space="preserve">elle ne soit pas mentionnée dans le RID, la norme </w:t>
      </w:r>
      <w:r w:rsidR="006C6F8E">
        <w:rPr>
          <w:lang w:val="fr-FR"/>
        </w:rPr>
        <w:t>EN </w:t>
      </w:r>
      <w:r>
        <w:rPr>
          <w:lang w:val="fr-FR"/>
        </w:rPr>
        <w:t xml:space="preserve">12561-1 semblait être généralement appliquée pour les plaques de wagons-citernes. La norme </w:t>
      </w:r>
      <w:r w:rsidR="006C6F8E">
        <w:rPr>
          <w:lang w:val="fr-FR"/>
        </w:rPr>
        <w:t>EN </w:t>
      </w:r>
      <w:r>
        <w:rPr>
          <w:lang w:val="fr-FR"/>
        </w:rPr>
        <w:t>12972, qui contient des exemples de plaques de citerne, a aussi été citée. Il a également été indiqué que le document ECE/TRANS/</w:t>
      </w:r>
      <w:r w:rsidR="008C7AF7">
        <w:rPr>
          <w:lang w:val="fr-FR"/>
        </w:rPr>
        <w:t xml:space="preserve"> </w:t>
      </w:r>
      <w:r>
        <w:rPr>
          <w:lang w:val="fr-FR"/>
        </w:rPr>
        <w:t xml:space="preserve">WP.15/AC.1/2018/8 contenait des exemples visant à permettre que </w:t>
      </w:r>
      <w:r>
        <w:rPr>
          <w:lang w:val="fr-FR"/>
        </w:rPr>
        <w:lastRenderedPageBreak/>
        <w:t xml:space="preserve">différents modèles de plaques de citernes puissent être utilisés dans la pratique, même si ces plaques ne seraient pas différentes de celles mentionnées au chapitre 6.7. </w:t>
      </w:r>
    </w:p>
    <w:p w:rsidR="00C85595" w:rsidRPr="00DE7FC1" w:rsidRDefault="00C85595" w:rsidP="00C604A3">
      <w:pPr>
        <w:pStyle w:val="SingleTxtG"/>
      </w:pPr>
      <w:r>
        <w:rPr>
          <w:lang w:val="fr-FR"/>
        </w:rPr>
        <w:t>8.</w:t>
      </w:r>
      <w:r>
        <w:rPr>
          <w:lang w:val="fr-FR"/>
        </w:rPr>
        <w:tab/>
        <w:t>Plusieurs experts ont considéré que la question devait être réexaminée. Il a également été estimé qu</w:t>
      </w:r>
      <w:r w:rsidR="006B24CD">
        <w:rPr>
          <w:lang w:val="fr-FR"/>
        </w:rPr>
        <w:t>’</w:t>
      </w:r>
      <w:r>
        <w:rPr>
          <w:lang w:val="fr-FR"/>
        </w:rPr>
        <w:t xml:space="preserve">une norme, telle que la norme </w:t>
      </w:r>
      <w:r w:rsidR="006C6F8E">
        <w:rPr>
          <w:lang w:val="fr-FR"/>
        </w:rPr>
        <w:t>EN </w:t>
      </w:r>
      <w:r w:rsidR="008D4D2F">
        <w:rPr>
          <w:lang w:val="fr-FR"/>
        </w:rPr>
        <w:t>12561-1 relative aux wagons</w:t>
      </w:r>
      <w:r w:rsidR="008D4D2F">
        <w:rPr>
          <w:lang w:val="fr-FR"/>
        </w:rPr>
        <w:noBreakHyphen/>
      </w:r>
      <w:r>
        <w:rPr>
          <w:lang w:val="fr-FR"/>
        </w:rPr>
        <w:t xml:space="preserve">citernes, constituait une bonne base. Par conséquent, dans la mesure où la norme </w:t>
      </w:r>
      <w:r w:rsidR="006C6F8E">
        <w:rPr>
          <w:lang w:val="fr-FR"/>
        </w:rPr>
        <w:t>EN </w:t>
      </w:r>
      <w:r>
        <w:rPr>
          <w:lang w:val="fr-FR"/>
        </w:rPr>
        <w:t>12561-1 ne s</w:t>
      </w:r>
      <w:r w:rsidR="006B24CD">
        <w:rPr>
          <w:lang w:val="fr-FR"/>
        </w:rPr>
        <w:t>’</w:t>
      </w:r>
      <w:r>
        <w:rPr>
          <w:lang w:val="fr-FR"/>
        </w:rPr>
        <w:t>applique qu</w:t>
      </w:r>
      <w:r w:rsidR="006B24CD">
        <w:rPr>
          <w:lang w:val="fr-FR"/>
        </w:rPr>
        <w:t>’</w:t>
      </w:r>
      <w:r>
        <w:rPr>
          <w:lang w:val="fr-FR"/>
        </w:rPr>
        <w:t xml:space="preserve">aux wagons-citernes, il a été suggéré que le CEN/TC 296 élabore une norme unique relative aux plaques de citernes. </w:t>
      </w:r>
    </w:p>
    <w:p w:rsidR="00C85595" w:rsidRPr="00DE7FC1" w:rsidRDefault="00C85595" w:rsidP="00C604A3">
      <w:pPr>
        <w:pStyle w:val="H23G"/>
      </w:pPr>
      <w:r>
        <w:rPr>
          <w:lang w:val="fr-FR"/>
        </w:rPr>
        <w:tab/>
        <w:t>Point 3</w:t>
      </w:r>
      <w:r w:rsidR="00C604A3">
        <w:rPr>
          <w:lang w:val="fr-FR"/>
        </w:rPr>
        <w:tab/>
      </w:r>
      <w:r>
        <w:rPr>
          <w:lang w:val="fr-FR"/>
        </w:rPr>
        <w:t xml:space="preserve">ECE/TRANS/WP.15/AC.1/2018/9 </w:t>
      </w:r>
      <w:r w:rsidR="008C7AF7">
        <w:rPr>
          <w:lang w:val="fr-FR"/>
        </w:rPr>
        <w:t>(UIP) « </w:t>
      </w:r>
      <w:r w:rsidR="00C604A3">
        <w:rPr>
          <w:lang w:val="fr-FR"/>
        </w:rPr>
        <w:t>Paragraphe 6.8.2.1.23</w:t>
      </w:r>
      <w:r w:rsidR="00DA7133">
        <w:rPr>
          <w:lang w:val="fr-FR"/>
        </w:rPr>
        <w:t> :</w:t>
      </w:r>
      <w:r w:rsidR="008C7AF7">
        <w:rPr>
          <w:lang w:val="fr-FR"/>
        </w:rPr>
        <w:t xml:space="preserve"> Soudage</w:t>
      </w:r>
      <w:r w:rsidR="008C7AF7">
        <w:rPr>
          <w:lang w:val="fr-FR"/>
        </w:rPr>
        <w:br/>
        <w:t>sur les citernes </w:t>
      </w:r>
      <w:r>
        <w:rPr>
          <w:lang w:val="fr-FR"/>
        </w:rPr>
        <w:t>»</w:t>
      </w:r>
    </w:p>
    <w:p w:rsidR="00C85595" w:rsidRPr="00DE7FC1" w:rsidRDefault="00C85595" w:rsidP="00C604A3">
      <w:pPr>
        <w:pStyle w:val="SingleTxtG"/>
      </w:pPr>
      <w:r>
        <w:rPr>
          <w:lang w:val="fr-FR"/>
        </w:rPr>
        <w:t>9.</w:t>
      </w:r>
      <w:r>
        <w:rPr>
          <w:lang w:val="fr-FR"/>
        </w:rPr>
        <w:tab/>
        <w:t>L</w:t>
      </w:r>
      <w:r w:rsidR="006B24CD">
        <w:rPr>
          <w:lang w:val="fr-FR"/>
        </w:rPr>
        <w:t>’</w:t>
      </w:r>
      <w:r>
        <w:rPr>
          <w:lang w:val="fr-FR"/>
        </w:rPr>
        <w:t>UIP a proposé de modifier le paragraphe 6.8.2.1.23 afin d</w:t>
      </w:r>
      <w:r w:rsidR="006B24CD">
        <w:rPr>
          <w:lang w:val="fr-FR"/>
        </w:rPr>
        <w:t>’</w:t>
      </w:r>
      <w:r>
        <w:rPr>
          <w:lang w:val="fr-FR"/>
        </w:rPr>
        <w:t>indiquer clairement que, si l</w:t>
      </w:r>
      <w:r w:rsidR="006B24CD">
        <w:rPr>
          <w:lang w:val="fr-FR"/>
        </w:rPr>
        <w:t>’</w:t>
      </w:r>
      <w:r>
        <w:rPr>
          <w:lang w:val="fr-FR"/>
        </w:rPr>
        <w:t>homologation des procédures de soudage pour les citernes neuves relevait de l</w:t>
      </w:r>
      <w:r w:rsidR="006B24CD">
        <w:rPr>
          <w:lang w:val="fr-FR"/>
        </w:rPr>
        <w:t>’</w:t>
      </w:r>
      <w:r>
        <w:rPr>
          <w:lang w:val="fr-FR"/>
        </w:rPr>
        <w:t xml:space="preserve">autorité compétente, les travaux de modification ou de réparation devaient pour leur part être vérifiés par un organisme de contrôle. </w:t>
      </w:r>
    </w:p>
    <w:p w:rsidR="00C85595" w:rsidRPr="00DE7FC1" w:rsidRDefault="00C85595" w:rsidP="00C604A3">
      <w:pPr>
        <w:pStyle w:val="SingleTxtG"/>
      </w:pPr>
      <w:r>
        <w:rPr>
          <w:lang w:val="fr-FR"/>
        </w:rPr>
        <w:t>10.</w:t>
      </w:r>
      <w:r>
        <w:rPr>
          <w:lang w:val="fr-FR"/>
        </w:rPr>
        <w:tab/>
        <w:t>Il a été estimé que le libellé proposé au paragraphe 7 du document ne décrivait pas clairement les différentes parties impliquées dans l</w:t>
      </w:r>
      <w:r w:rsidR="006B24CD">
        <w:rPr>
          <w:lang w:val="fr-FR"/>
        </w:rPr>
        <w:t>’</w:t>
      </w:r>
      <w:r>
        <w:rPr>
          <w:lang w:val="fr-FR"/>
        </w:rPr>
        <w:t>homologation de nouvelles citernes et dans la réparation ou la modification des citernes existantes. Il a été décidé de faire figurer deux phrases distinctes, l</w:t>
      </w:r>
      <w:r w:rsidR="006B24CD">
        <w:rPr>
          <w:lang w:val="fr-FR"/>
        </w:rPr>
        <w:t>’</w:t>
      </w:r>
      <w:r>
        <w:rPr>
          <w:lang w:val="fr-FR"/>
        </w:rPr>
        <w:t>une concernant le fabricant et l</w:t>
      </w:r>
      <w:r w:rsidR="006B24CD">
        <w:rPr>
          <w:lang w:val="fr-FR"/>
        </w:rPr>
        <w:t>’</w:t>
      </w:r>
      <w:r>
        <w:rPr>
          <w:lang w:val="fr-FR"/>
        </w:rPr>
        <w:t>autre l</w:t>
      </w:r>
      <w:r w:rsidR="006B24CD">
        <w:rPr>
          <w:lang w:val="fr-FR"/>
        </w:rPr>
        <w:t>’</w:t>
      </w:r>
      <w:r>
        <w:rPr>
          <w:lang w:val="fr-FR"/>
        </w:rPr>
        <w:t>atelier d</w:t>
      </w:r>
      <w:r w:rsidR="006B24CD">
        <w:rPr>
          <w:lang w:val="fr-FR"/>
        </w:rPr>
        <w:t>’</w:t>
      </w:r>
      <w:r>
        <w:rPr>
          <w:lang w:val="fr-FR"/>
        </w:rPr>
        <w:t xml:space="preserve">entretien ou de réparation. </w:t>
      </w:r>
    </w:p>
    <w:p w:rsidR="00C85595" w:rsidRPr="00DE7FC1" w:rsidRDefault="00C604A3" w:rsidP="00C604A3">
      <w:pPr>
        <w:pStyle w:val="H1G"/>
        <w:rPr>
          <w:sz w:val="22"/>
          <w:szCs w:val="22"/>
        </w:rPr>
      </w:pPr>
      <w:r>
        <w:rPr>
          <w:lang w:val="fr-FR"/>
        </w:rPr>
        <w:tab/>
      </w:r>
      <w:r>
        <w:rPr>
          <w:lang w:val="fr-FR"/>
        </w:rPr>
        <w:tab/>
      </w:r>
      <w:r w:rsidR="00C85595">
        <w:rPr>
          <w:lang w:val="fr-FR"/>
        </w:rPr>
        <w:t>Proposition 1</w:t>
      </w:r>
    </w:p>
    <w:p w:rsidR="00C85595" w:rsidRPr="00DE7FC1" w:rsidRDefault="00C85595" w:rsidP="00C604A3">
      <w:pPr>
        <w:pStyle w:val="SingleTxtG"/>
      </w:pPr>
      <w:r>
        <w:rPr>
          <w:lang w:val="fr-FR"/>
        </w:rPr>
        <w:t>6.8.2.1.23</w:t>
      </w:r>
      <w:r>
        <w:rPr>
          <w:lang w:val="fr-FR"/>
        </w:rPr>
        <w:tab/>
        <w:t>Remplacer la première phrase du paragraphe 6.8.2.1.23 par le texte suivant</w:t>
      </w:r>
      <w:r w:rsidR="00DA7133">
        <w:rPr>
          <w:lang w:val="fr-FR"/>
        </w:rPr>
        <w:t> :</w:t>
      </w:r>
    </w:p>
    <w:p w:rsidR="00C85595" w:rsidRPr="00DE7FC1" w:rsidRDefault="00C85595" w:rsidP="00C604A3">
      <w:pPr>
        <w:pStyle w:val="SingleTxtG"/>
      </w:pPr>
      <w:r>
        <w:rPr>
          <w:lang w:val="fr-FR"/>
        </w:rPr>
        <w:t>«</w:t>
      </w:r>
      <w:r w:rsidR="008D4D2F">
        <w:rPr>
          <w:lang w:val="fr-FR"/>
        </w:rPr>
        <w:t> </w:t>
      </w:r>
      <w:r w:rsidRPr="00C604A3">
        <w:rPr>
          <w:i/>
          <w:lang w:val="fr-FR"/>
        </w:rPr>
        <w:t>L</w:t>
      </w:r>
      <w:r w:rsidR="006B24CD">
        <w:rPr>
          <w:i/>
          <w:lang w:val="fr-FR"/>
        </w:rPr>
        <w:t>’</w:t>
      </w:r>
      <w:r w:rsidRPr="00C604A3">
        <w:rPr>
          <w:i/>
          <w:lang w:val="fr-FR"/>
        </w:rPr>
        <w:t>aptitude du constructeur à réaliser des travaux de soudure doit être vérifiée et confirmée par l</w:t>
      </w:r>
      <w:r w:rsidR="006B24CD">
        <w:rPr>
          <w:i/>
          <w:lang w:val="fr-FR"/>
        </w:rPr>
        <w:t>’</w:t>
      </w:r>
      <w:r w:rsidRPr="00C604A3">
        <w:rPr>
          <w:i/>
          <w:lang w:val="fr-FR"/>
        </w:rPr>
        <w:t>autorité compétente ou par l</w:t>
      </w:r>
      <w:r w:rsidR="006B24CD">
        <w:rPr>
          <w:i/>
          <w:lang w:val="fr-FR"/>
        </w:rPr>
        <w:t>’</w:t>
      </w:r>
      <w:r w:rsidRPr="00C604A3">
        <w:rPr>
          <w:i/>
          <w:lang w:val="fr-FR"/>
        </w:rPr>
        <w:t>organisme désigné par elle. L</w:t>
      </w:r>
      <w:r w:rsidR="006B24CD">
        <w:rPr>
          <w:i/>
          <w:lang w:val="fr-FR"/>
        </w:rPr>
        <w:t>’</w:t>
      </w:r>
      <w:r w:rsidRPr="00C604A3">
        <w:rPr>
          <w:i/>
          <w:lang w:val="fr-FR"/>
        </w:rPr>
        <w:t>aptitude de l</w:t>
      </w:r>
      <w:r w:rsidR="006B24CD">
        <w:rPr>
          <w:i/>
          <w:lang w:val="fr-FR"/>
        </w:rPr>
        <w:t>’</w:t>
      </w:r>
      <w:r w:rsidRPr="00C604A3">
        <w:rPr>
          <w:i/>
          <w:lang w:val="fr-FR"/>
        </w:rPr>
        <w:t>atelier d</w:t>
      </w:r>
      <w:r w:rsidR="006B24CD">
        <w:rPr>
          <w:i/>
          <w:lang w:val="fr-FR"/>
        </w:rPr>
        <w:t>’</w:t>
      </w:r>
      <w:r w:rsidRPr="00C604A3">
        <w:rPr>
          <w:i/>
          <w:lang w:val="fr-FR"/>
        </w:rPr>
        <w:t>entretien ou de réparation à réaliser des travaux de soudure doit être vérifiée et confirmée par l</w:t>
      </w:r>
      <w:r w:rsidR="006B24CD">
        <w:rPr>
          <w:i/>
          <w:lang w:val="fr-FR"/>
        </w:rPr>
        <w:t>’</w:t>
      </w:r>
      <w:r w:rsidRPr="00C604A3">
        <w:rPr>
          <w:i/>
          <w:lang w:val="fr-FR"/>
        </w:rPr>
        <w:t>organisme de contrôle conformément au paragraphe 6.8.2.4.5.</w:t>
      </w:r>
      <w:r w:rsidR="008D4D2F">
        <w:rPr>
          <w:lang w:val="fr-FR"/>
        </w:rPr>
        <w:t> </w:t>
      </w:r>
      <w:r>
        <w:rPr>
          <w:lang w:val="fr-FR"/>
        </w:rPr>
        <w:t>»</w:t>
      </w:r>
    </w:p>
    <w:p w:rsidR="00C85595" w:rsidRPr="00DE7FC1" w:rsidRDefault="00C85595" w:rsidP="00C604A3">
      <w:pPr>
        <w:pStyle w:val="H23G"/>
      </w:pPr>
      <w:r>
        <w:rPr>
          <w:lang w:val="fr-FR"/>
        </w:rPr>
        <w:tab/>
        <w:t>Point 4</w:t>
      </w:r>
      <w:r w:rsidR="00C604A3">
        <w:rPr>
          <w:lang w:val="fr-FR"/>
        </w:rPr>
        <w:tab/>
      </w:r>
      <w:r>
        <w:rPr>
          <w:lang w:val="fr-FR"/>
        </w:rPr>
        <w:t>ECE/TRANS/WP.15/AC.1/2018/11 (France) «</w:t>
      </w:r>
      <w:r w:rsidR="00C604A3">
        <w:rPr>
          <w:lang w:val="fr-FR"/>
        </w:rPr>
        <w:t> </w:t>
      </w:r>
      <w:r>
        <w:rPr>
          <w:lang w:val="fr-FR"/>
        </w:rPr>
        <w:t>Utilisation des aciers inoxydables austéno-ferritiques po</w:t>
      </w:r>
      <w:r w:rsidR="00C604A3">
        <w:rPr>
          <w:lang w:val="fr-FR"/>
        </w:rPr>
        <w:t xml:space="preserve">ur la construction de citernes </w:t>
      </w:r>
      <w:r>
        <w:rPr>
          <w:lang w:val="fr-FR"/>
        </w:rPr>
        <w:t>conformément à la section 6.8</w:t>
      </w:r>
      <w:r w:rsidR="00C604A3">
        <w:rPr>
          <w:lang w:val="fr-FR"/>
        </w:rPr>
        <w:t>.5 du RID/ADR </w:t>
      </w:r>
      <w:r>
        <w:rPr>
          <w:lang w:val="fr-FR"/>
        </w:rPr>
        <w:t xml:space="preserve">» </w:t>
      </w:r>
    </w:p>
    <w:p w:rsidR="00C85595" w:rsidRPr="00DE7FC1" w:rsidRDefault="00C85595" w:rsidP="00C604A3">
      <w:pPr>
        <w:pStyle w:val="SingleTxtG"/>
      </w:pPr>
      <w:r>
        <w:rPr>
          <w:lang w:val="fr-FR"/>
        </w:rPr>
        <w:t>11.</w:t>
      </w:r>
      <w:r>
        <w:rPr>
          <w:lang w:val="fr-FR"/>
        </w:rPr>
        <w:tab/>
        <w:t>Sur la base du document INF.13 de la session d</w:t>
      </w:r>
      <w:r w:rsidR="006B24CD">
        <w:rPr>
          <w:lang w:val="fr-FR"/>
        </w:rPr>
        <w:t>’</w:t>
      </w:r>
      <w:r>
        <w:rPr>
          <w:lang w:val="fr-FR"/>
        </w:rPr>
        <w:t>automne 2017 de la Réunion commune, l</w:t>
      </w:r>
      <w:r w:rsidR="006B24CD">
        <w:rPr>
          <w:lang w:val="fr-FR"/>
        </w:rPr>
        <w:t>’</w:t>
      </w:r>
      <w:r>
        <w:rPr>
          <w:lang w:val="fr-FR"/>
        </w:rPr>
        <w:t>acier inoxydable austéno-ferritique a été ajouté au paragraphe 6.8.5.1.2 a) du RID/ADR 2019. Toutefois, la limite inférieure de température proposée, fixée à -40 °C, avait été mise entre crochets car il convenait d</w:t>
      </w:r>
      <w:r w:rsidR="006B24CD">
        <w:rPr>
          <w:lang w:val="fr-FR"/>
        </w:rPr>
        <w:t>’</w:t>
      </w:r>
      <w:r>
        <w:rPr>
          <w:lang w:val="fr-FR"/>
        </w:rPr>
        <w:t xml:space="preserve">examiner plus avant si cette valeur était suffisante pour le dioxyde de carbone liquéfié réfrigéré. Dans le document ECE/TRANS/WP.15/AC.1/2018/11, la France a proposé de faire passer la limite de température inférieure à -60 °C. </w:t>
      </w:r>
    </w:p>
    <w:p w:rsidR="00C85595" w:rsidRPr="00DE7FC1" w:rsidRDefault="00C85595" w:rsidP="00C604A3">
      <w:pPr>
        <w:pStyle w:val="SingleTxtG"/>
      </w:pPr>
      <w:r>
        <w:rPr>
          <w:lang w:val="fr-FR"/>
        </w:rPr>
        <w:t>12.</w:t>
      </w:r>
      <w:r>
        <w:rPr>
          <w:lang w:val="fr-FR"/>
        </w:rPr>
        <w:tab/>
        <w:t>Il a été estimé qu</w:t>
      </w:r>
      <w:r w:rsidR="006B24CD">
        <w:rPr>
          <w:lang w:val="fr-FR"/>
        </w:rPr>
        <w:t>’</w:t>
      </w:r>
      <w:r>
        <w:rPr>
          <w:lang w:val="fr-FR"/>
        </w:rPr>
        <w:t>en cas de chute de la pression dans la citerne due à une fuite importante, la température pouvait descendre jusqu</w:t>
      </w:r>
      <w:r w:rsidR="006B24CD">
        <w:rPr>
          <w:lang w:val="fr-FR"/>
        </w:rPr>
        <w:t>’</w:t>
      </w:r>
      <w:r>
        <w:rPr>
          <w:lang w:val="fr-FR"/>
        </w:rPr>
        <w:t>à -60</w:t>
      </w:r>
      <w:r w:rsidR="008D4D2F">
        <w:rPr>
          <w:lang w:val="fr-FR"/>
        </w:rPr>
        <w:t> </w:t>
      </w:r>
      <w:r>
        <w:rPr>
          <w:lang w:val="fr-FR"/>
        </w:rPr>
        <w:t>°C et que cette valeur était donc justifiée. Plusieurs experts se sont dits préoccupés par le fait que tous les aciers inoxydables austéno-ferritiques ne pouvaient pas être utilisés jusqu</w:t>
      </w:r>
      <w:r w:rsidR="006B24CD">
        <w:rPr>
          <w:lang w:val="fr-FR"/>
        </w:rPr>
        <w:t>’</w:t>
      </w:r>
      <w:r>
        <w:rPr>
          <w:lang w:val="fr-FR"/>
        </w:rPr>
        <w:t>à une telle température. De plus, même s</w:t>
      </w:r>
      <w:r w:rsidR="006B24CD">
        <w:rPr>
          <w:lang w:val="fr-FR"/>
        </w:rPr>
        <w:t>’</w:t>
      </w:r>
      <w:r>
        <w:rPr>
          <w:lang w:val="fr-FR"/>
        </w:rPr>
        <w:t>il était possible d</w:t>
      </w:r>
      <w:r w:rsidR="006B24CD">
        <w:rPr>
          <w:lang w:val="fr-FR"/>
        </w:rPr>
        <w:t>’</w:t>
      </w:r>
      <w:r>
        <w:rPr>
          <w:lang w:val="fr-FR"/>
        </w:rPr>
        <w:t>utiliser un matériau jusqu</w:t>
      </w:r>
      <w:r w:rsidR="006B24CD">
        <w:rPr>
          <w:lang w:val="fr-FR"/>
        </w:rPr>
        <w:t>’</w:t>
      </w:r>
      <w:r>
        <w:rPr>
          <w:lang w:val="fr-FR"/>
        </w:rPr>
        <w:t>à -60</w:t>
      </w:r>
      <w:r w:rsidR="008D4D2F">
        <w:rPr>
          <w:lang w:val="fr-FR"/>
        </w:rPr>
        <w:t> </w:t>
      </w:r>
      <w:r>
        <w:rPr>
          <w:lang w:val="fr-FR"/>
        </w:rPr>
        <w:t>°C, cela devrait toujours être vérifié par un essai au titre du paragraphe 6.8.5, afin d</w:t>
      </w:r>
      <w:r w:rsidR="006B24CD">
        <w:rPr>
          <w:lang w:val="fr-FR"/>
        </w:rPr>
        <w:t>’</w:t>
      </w:r>
      <w:r>
        <w:rPr>
          <w:lang w:val="fr-FR"/>
        </w:rPr>
        <w:t xml:space="preserve">éviter tout problème. La question a été posée de savoir si la norme </w:t>
      </w:r>
      <w:r w:rsidR="006C6F8E">
        <w:rPr>
          <w:lang w:val="fr-FR"/>
        </w:rPr>
        <w:t>EN </w:t>
      </w:r>
      <w:r>
        <w:rPr>
          <w:lang w:val="fr-FR"/>
        </w:rPr>
        <w:t>10028-7 pouvait être appliquée, dans la mesure où elle n</w:t>
      </w:r>
      <w:r w:rsidR="006B24CD">
        <w:rPr>
          <w:lang w:val="fr-FR"/>
        </w:rPr>
        <w:t>’</w:t>
      </w:r>
      <w:r>
        <w:rPr>
          <w:lang w:val="fr-FR"/>
        </w:rPr>
        <w:t>est prévue que pour une température allant jusqu</w:t>
      </w:r>
      <w:r w:rsidR="006B24CD">
        <w:rPr>
          <w:lang w:val="fr-FR"/>
        </w:rPr>
        <w:t>’</w:t>
      </w:r>
      <w:r>
        <w:rPr>
          <w:lang w:val="fr-FR"/>
        </w:rPr>
        <w:t>à -40</w:t>
      </w:r>
      <w:r w:rsidR="008D4D2F">
        <w:rPr>
          <w:lang w:val="fr-FR"/>
        </w:rPr>
        <w:t> </w:t>
      </w:r>
      <w:r>
        <w:rPr>
          <w:lang w:val="fr-FR"/>
        </w:rPr>
        <w:t>°C. Il a été convenu que, même si un rapport supplémentaire sur les matériaux pour la température plus basse était requis, la plaque de citerne indiquant le matériau dont est constitué le réservoir pouvait simplement comporter l</w:t>
      </w:r>
      <w:r w:rsidR="006B24CD">
        <w:rPr>
          <w:lang w:val="fr-FR"/>
        </w:rPr>
        <w:t>’</w:t>
      </w:r>
      <w:r>
        <w:rPr>
          <w:lang w:val="fr-FR"/>
        </w:rPr>
        <w:t xml:space="preserve">inscription </w:t>
      </w:r>
      <w:r w:rsidR="006C6F8E">
        <w:rPr>
          <w:lang w:val="fr-FR"/>
        </w:rPr>
        <w:t>EN </w:t>
      </w:r>
      <w:r>
        <w:rPr>
          <w:lang w:val="fr-FR"/>
        </w:rPr>
        <w:t xml:space="preserve">10028-7. </w:t>
      </w:r>
    </w:p>
    <w:p w:rsidR="00C85595" w:rsidRPr="00DE7FC1" w:rsidRDefault="00C604A3" w:rsidP="00C604A3">
      <w:pPr>
        <w:pStyle w:val="H1G"/>
      </w:pPr>
      <w:r>
        <w:rPr>
          <w:lang w:val="fr-FR"/>
        </w:rPr>
        <w:tab/>
      </w:r>
      <w:r>
        <w:rPr>
          <w:lang w:val="fr-FR"/>
        </w:rPr>
        <w:tab/>
      </w:r>
      <w:r w:rsidR="00C85595">
        <w:rPr>
          <w:lang w:val="fr-FR"/>
        </w:rPr>
        <w:t>Proposition 2</w:t>
      </w:r>
    </w:p>
    <w:p w:rsidR="00C85595" w:rsidRPr="00DE7FC1" w:rsidRDefault="00C85595" w:rsidP="00C604A3">
      <w:pPr>
        <w:pStyle w:val="SingleTxtG"/>
        <w:rPr>
          <w:i/>
        </w:rPr>
      </w:pPr>
      <w:r>
        <w:rPr>
          <w:lang w:val="fr-FR"/>
        </w:rPr>
        <w:t xml:space="preserve">6.8.5.1.2 a) </w:t>
      </w:r>
      <w:r>
        <w:rPr>
          <w:lang w:val="fr-FR"/>
        </w:rPr>
        <w:tab/>
        <w:t>Modifier le texte se rapportant aux aciers inoxydables austéno-ferritiques</w:t>
      </w:r>
      <w:r w:rsidR="00DA7133">
        <w:rPr>
          <w:lang w:val="fr-FR"/>
        </w:rPr>
        <w:t xml:space="preserve"> </w:t>
      </w:r>
      <w:r>
        <w:rPr>
          <w:lang w:val="fr-FR"/>
        </w:rPr>
        <w:t>au paragraphe 6.8.5.1.2 a) du RID/ADR 2019</w:t>
      </w:r>
      <w:r w:rsidR="00DA7133">
        <w:rPr>
          <w:lang w:val="fr-FR"/>
        </w:rPr>
        <w:t xml:space="preserve"> </w:t>
      </w:r>
      <w:r>
        <w:rPr>
          <w:lang w:val="fr-FR"/>
        </w:rPr>
        <w:t>comme suit</w:t>
      </w:r>
      <w:r w:rsidR="00DA7133">
        <w:rPr>
          <w:lang w:val="fr-FR"/>
        </w:rPr>
        <w:t> :</w:t>
      </w:r>
      <w:r w:rsidR="00C604A3">
        <w:rPr>
          <w:i/>
          <w:iCs/>
          <w:lang w:val="fr-FR"/>
        </w:rPr>
        <w:t xml:space="preserve"> </w:t>
      </w:r>
      <w:r w:rsidR="00C604A3" w:rsidRPr="00C604A3">
        <w:rPr>
          <w:iCs/>
          <w:lang w:val="fr-FR"/>
        </w:rPr>
        <w:t>«</w:t>
      </w:r>
      <w:r w:rsidR="008D4D2F">
        <w:rPr>
          <w:i/>
          <w:iCs/>
          <w:lang w:val="fr-FR"/>
        </w:rPr>
        <w:t> </w:t>
      </w:r>
      <w:r w:rsidR="00C604A3">
        <w:rPr>
          <w:i/>
          <w:iCs/>
          <w:lang w:val="fr-FR"/>
        </w:rPr>
        <w:t>−</w:t>
      </w:r>
      <w:r w:rsidR="008D4D2F">
        <w:rPr>
          <w:i/>
          <w:iCs/>
          <w:lang w:val="fr-FR"/>
        </w:rPr>
        <w:t> </w:t>
      </w:r>
      <w:r>
        <w:rPr>
          <w:i/>
          <w:iCs/>
          <w:lang w:val="fr-FR"/>
        </w:rPr>
        <w:t>les aciers inoxydables austéno-ferritiques, jusqu</w:t>
      </w:r>
      <w:r w:rsidR="006B24CD">
        <w:rPr>
          <w:i/>
          <w:iCs/>
          <w:lang w:val="fr-FR"/>
        </w:rPr>
        <w:t>’</w:t>
      </w:r>
      <w:r>
        <w:rPr>
          <w:i/>
          <w:iCs/>
          <w:lang w:val="fr-FR"/>
        </w:rPr>
        <w:t>à une température de -60 °C</w:t>
      </w:r>
      <w:r w:rsidR="008D4D2F">
        <w:rPr>
          <w:i/>
          <w:iCs/>
          <w:lang w:val="fr-FR"/>
        </w:rPr>
        <w:t> </w:t>
      </w:r>
      <w:r w:rsidRPr="00C604A3">
        <w:rPr>
          <w:iCs/>
          <w:lang w:val="fr-FR"/>
        </w:rPr>
        <w:t>».</w:t>
      </w:r>
    </w:p>
    <w:p w:rsidR="00C85595" w:rsidRPr="00DE7FC1" w:rsidRDefault="00C85595" w:rsidP="00C604A3">
      <w:pPr>
        <w:pStyle w:val="H23G"/>
      </w:pPr>
      <w:r>
        <w:rPr>
          <w:lang w:val="fr-FR"/>
        </w:rPr>
        <w:lastRenderedPageBreak/>
        <w:tab/>
        <w:t>Point 5</w:t>
      </w:r>
      <w:r w:rsidR="00C604A3">
        <w:rPr>
          <w:lang w:val="fr-FR"/>
        </w:rPr>
        <w:tab/>
      </w:r>
      <w:r>
        <w:rPr>
          <w:lang w:val="fr-FR"/>
        </w:rPr>
        <w:t>ECE/TRANS/WP.15/AC.1/2018/12 (Fran</w:t>
      </w:r>
      <w:r w:rsidR="00C604A3">
        <w:rPr>
          <w:lang w:val="fr-FR"/>
        </w:rPr>
        <w:t>ce) « </w:t>
      </w:r>
      <w:r>
        <w:rPr>
          <w:lang w:val="fr-FR"/>
        </w:rPr>
        <w:t xml:space="preserve">Application de la norme </w:t>
      </w:r>
      <w:r w:rsidR="006C6F8E">
        <w:rPr>
          <w:lang w:val="fr-FR"/>
        </w:rPr>
        <w:t>EN </w:t>
      </w:r>
      <w:r>
        <w:rPr>
          <w:lang w:val="fr-FR"/>
        </w:rPr>
        <w:t>13094:2015 aux</w:t>
      </w:r>
      <w:r w:rsidR="00C604A3">
        <w:rPr>
          <w:lang w:val="fr-FR"/>
        </w:rPr>
        <w:t xml:space="preserve"> citernes à vidange par gravité </w:t>
      </w:r>
      <w:r>
        <w:rPr>
          <w:lang w:val="fr-FR"/>
        </w:rPr>
        <w:t>»</w:t>
      </w:r>
    </w:p>
    <w:p w:rsidR="00C85595" w:rsidRPr="00DE7FC1" w:rsidRDefault="00C85595" w:rsidP="00C604A3">
      <w:pPr>
        <w:pStyle w:val="SingleTxtG"/>
      </w:pPr>
      <w:r>
        <w:rPr>
          <w:lang w:val="fr-FR"/>
        </w:rPr>
        <w:t>13.</w:t>
      </w:r>
      <w:r>
        <w:rPr>
          <w:lang w:val="fr-FR"/>
        </w:rPr>
        <w:tab/>
        <w:t>Pour l</w:t>
      </w:r>
      <w:r w:rsidR="006B24CD">
        <w:rPr>
          <w:lang w:val="fr-FR"/>
        </w:rPr>
        <w:t>’</w:t>
      </w:r>
      <w:r>
        <w:rPr>
          <w:lang w:val="fr-FR"/>
        </w:rPr>
        <w:t>édition 2017 du RID/ADR, il a été décidé, afin d</w:t>
      </w:r>
      <w:r w:rsidR="006B24CD">
        <w:rPr>
          <w:lang w:val="fr-FR"/>
        </w:rPr>
        <w:t>’</w:t>
      </w:r>
      <w:r>
        <w:rPr>
          <w:lang w:val="fr-FR"/>
        </w:rPr>
        <w:t>éviter toute erreur de calcul de la pression d</w:t>
      </w:r>
      <w:r w:rsidR="006B24CD">
        <w:rPr>
          <w:lang w:val="fr-FR"/>
        </w:rPr>
        <w:t>’</w:t>
      </w:r>
      <w:r>
        <w:rPr>
          <w:lang w:val="fr-FR"/>
        </w:rPr>
        <w:t>épreuve du réservoir et de ses compartiments, que la pression maximale de service n</w:t>
      </w:r>
      <w:r w:rsidR="006B24CD">
        <w:rPr>
          <w:lang w:val="fr-FR"/>
        </w:rPr>
        <w:t>’</w:t>
      </w:r>
      <w:r>
        <w:rPr>
          <w:lang w:val="fr-FR"/>
        </w:rPr>
        <w:t>était pas applicable aux citernes à vidange par gravi</w:t>
      </w:r>
      <w:r w:rsidR="00CA5BB0">
        <w:rPr>
          <w:lang w:val="fr-FR"/>
        </w:rPr>
        <w:t>té selon le paragraphe </w:t>
      </w:r>
      <w:r w:rsidR="00C604A3">
        <w:rPr>
          <w:lang w:val="fr-FR"/>
        </w:rPr>
        <w:t>6.8.1.14 </w:t>
      </w:r>
      <w:r>
        <w:rPr>
          <w:lang w:val="fr-FR"/>
        </w:rPr>
        <w:t>a). Toutefois, en raison de certaines circonstances,</w:t>
      </w:r>
      <w:r w:rsidR="00C604A3">
        <w:rPr>
          <w:lang w:val="fr-FR"/>
        </w:rPr>
        <w:t xml:space="preserve"> la version révisée </w:t>
      </w:r>
      <w:r w:rsidR="0005550F">
        <w:rPr>
          <w:lang w:val="fr-FR"/>
        </w:rPr>
        <w:t xml:space="preserve">de </w:t>
      </w:r>
      <w:r w:rsidR="00C604A3">
        <w:rPr>
          <w:lang w:val="fr-FR"/>
        </w:rPr>
        <w:t xml:space="preserve">la norme </w:t>
      </w:r>
      <w:r w:rsidR="006C6F8E">
        <w:rPr>
          <w:lang w:val="fr-FR"/>
        </w:rPr>
        <w:t>EN </w:t>
      </w:r>
      <w:r>
        <w:rPr>
          <w:lang w:val="fr-FR"/>
        </w:rPr>
        <w:t>13094 n</w:t>
      </w:r>
      <w:r w:rsidR="006B24CD">
        <w:rPr>
          <w:lang w:val="fr-FR"/>
        </w:rPr>
        <w:t>’</w:t>
      </w:r>
      <w:r>
        <w:rPr>
          <w:lang w:val="fr-FR"/>
        </w:rPr>
        <w:t>a pas pu être publiée à temps pour que cette modification soit intégrée dans le RID/ADR 2019.</w:t>
      </w:r>
    </w:p>
    <w:p w:rsidR="00C85595" w:rsidRPr="00DE7FC1" w:rsidRDefault="00C85595" w:rsidP="00C604A3">
      <w:pPr>
        <w:pStyle w:val="SingleTxtG"/>
      </w:pPr>
      <w:r>
        <w:rPr>
          <w:lang w:val="fr-FR"/>
        </w:rPr>
        <w:t>14.</w:t>
      </w:r>
      <w:r>
        <w:rPr>
          <w:lang w:val="fr-FR"/>
        </w:rPr>
        <w:tab/>
        <w:t>Dans la mesure où des différences apparaissent alors entre la norme et les prescriptions réglementaires, il a été proposé d</w:t>
      </w:r>
      <w:r w:rsidR="006B24CD">
        <w:rPr>
          <w:lang w:val="fr-FR"/>
        </w:rPr>
        <w:t>’</w:t>
      </w:r>
      <w:r>
        <w:rPr>
          <w:lang w:val="fr-FR"/>
        </w:rPr>
        <w:t>établir des lignes directrices pour l</w:t>
      </w:r>
      <w:r w:rsidR="006B24CD">
        <w:rPr>
          <w:lang w:val="fr-FR"/>
        </w:rPr>
        <w:t>’</w:t>
      </w:r>
      <w:r>
        <w:rPr>
          <w:lang w:val="fr-FR"/>
        </w:rPr>
        <w:t xml:space="preserve">application de la norme </w:t>
      </w:r>
      <w:r w:rsidR="006C6F8E">
        <w:rPr>
          <w:lang w:val="fr-FR"/>
        </w:rPr>
        <w:t>EN </w:t>
      </w:r>
      <w:r>
        <w:rPr>
          <w:lang w:val="fr-FR"/>
        </w:rPr>
        <w:t>13094:2015 en lien avec le RID/ADR 2017 et 2019. Cette proposition a reçu l</w:t>
      </w:r>
      <w:r w:rsidR="006B24CD">
        <w:rPr>
          <w:lang w:val="fr-FR"/>
        </w:rPr>
        <w:t>’</w:t>
      </w:r>
      <w:r>
        <w:rPr>
          <w:lang w:val="fr-FR"/>
        </w:rPr>
        <w:t>approbation générale des experts. Il est apparu nécessaire d</w:t>
      </w:r>
      <w:r w:rsidR="006B24CD">
        <w:rPr>
          <w:lang w:val="fr-FR"/>
        </w:rPr>
        <w:t>’</w:t>
      </w:r>
      <w:r>
        <w:rPr>
          <w:lang w:val="fr-FR"/>
        </w:rPr>
        <w:t>insérer un nota dans la colonne 2 du tableau</w:t>
      </w:r>
      <w:r w:rsidR="00DA7133">
        <w:rPr>
          <w:lang w:val="fr-FR"/>
        </w:rPr>
        <w:t xml:space="preserve"> </w:t>
      </w:r>
      <w:r>
        <w:rPr>
          <w:lang w:val="fr-FR"/>
        </w:rPr>
        <w:t>du paragraphe 6.8.2.6.1 afin d</w:t>
      </w:r>
      <w:r w:rsidR="006B24CD">
        <w:rPr>
          <w:lang w:val="fr-FR"/>
        </w:rPr>
        <w:t>’</w:t>
      </w:r>
      <w:r>
        <w:rPr>
          <w:lang w:val="fr-FR"/>
        </w:rPr>
        <w:t xml:space="preserve">associer les lignes directrices aux prescriptions. </w:t>
      </w:r>
    </w:p>
    <w:p w:rsidR="00C85595" w:rsidRPr="00DE7FC1" w:rsidRDefault="00C604A3" w:rsidP="00C604A3">
      <w:pPr>
        <w:pStyle w:val="H1G"/>
        <w:rPr>
          <w:sz w:val="22"/>
          <w:szCs w:val="22"/>
        </w:rPr>
      </w:pPr>
      <w:r>
        <w:rPr>
          <w:lang w:val="fr-FR"/>
        </w:rPr>
        <w:tab/>
      </w:r>
      <w:r>
        <w:rPr>
          <w:lang w:val="fr-FR"/>
        </w:rPr>
        <w:tab/>
      </w:r>
      <w:r w:rsidR="00C85595">
        <w:rPr>
          <w:lang w:val="fr-FR"/>
        </w:rPr>
        <w:t>Proposition 3</w:t>
      </w:r>
    </w:p>
    <w:p w:rsidR="00C85595" w:rsidRPr="00DE7FC1" w:rsidRDefault="00C85595" w:rsidP="00C604A3">
      <w:pPr>
        <w:pStyle w:val="SingleTxtG"/>
        <w:rPr>
          <w:i/>
        </w:rPr>
      </w:pPr>
      <w:r>
        <w:rPr>
          <w:lang w:val="fr-FR"/>
        </w:rPr>
        <w:t>6.8.2.6.1</w:t>
      </w:r>
      <w:r>
        <w:rPr>
          <w:lang w:val="fr-FR"/>
        </w:rPr>
        <w:tab/>
        <w:t xml:space="preserve">Ajouter un nota dans la colonne 2 du tableau figurant au paragraphe 6.8.2.6.1 du RID/ADR 2019 concernant la norme </w:t>
      </w:r>
      <w:r w:rsidR="006C6F8E">
        <w:rPr>
          <w:lang w:val="fr-FR"/>
        </w:rPr>
        <w:t>EN </w:t>
      </w:r>
      <w:r>
        <w:rPr>
          <w:lang w:val="fr-FR"/>
        </w:rPr>
        <w:t>13094</w:t>
      </w:r>
      <w:r w:rsidR="000B1776">
        <w:rPr>
          <w:lang w:val="fr-FR"/>
        </w:rPr>
        <w:t>:</w:t>
      </w:r>
      <w:r w:rsidR="005867E7">
        <w:rPr>
          <w:lang w:val="fr-FR"/>
        </w:rPr>
        <w:t>2015</w:t>
      </w:r>
      <w:r>
        <w:rPr>
          <w:lang w:val="fr-FR"/>
        </w:rPr>
        <w:t xml:space="preserve"> pour lire</w:t>
      </w:r>
      <w:r w:rsidR="00DA7133">
        <w:rPr>
          <w:lang w:val="fr-FR"/>
        </w:rPr>
        <w:t> :</w:t>
      </w:r>
      <w:r>
        <w:rPr>
          <w:lang w:val="fr-FR"/>
        </w:rPr>
        <w:t xml:space="preserve"> </w:t>
      </w:r>
      <w:r w:rsidRPr="00C604A3">
        <w:rPr>
          <w:iCs/>
          <w:lang w:val="fr-FR"/>
        </w:rPr>
        <w:t>«</w:t>
      </w:r>
      <w:r w:rsidR="008D4D2F">
        <w:rPr>
          <w:iCs/>
          <w:lang w:val="fr-FR"/>
        </w:rPr>
        <w:t> </w:t>
      </w:r>
      <w:r>
        <w:rPr>
          <w:b/>
          <w:bCs/>
          <w:i/>
          <w:iCs/>
          <w:lang w:val="fr-FR"/>
        </w:rPr>
        <w:t>NOTA</w:t>
      </w:r>
      <w:r w:rsidRPr="005D617D">
        <w:rPr>
          <w:bCs/>
          <w:i/>
          <w:iCs/>
          <w:lang w:val="fr-FR"/>
        </w:rPr>
        <w:t>:</w:t>
      </w:r>
      <w:r>
        <w:rPr>
          <w:b/>
          <w:bCs/>
          <w:i/>
          <w:iCs/>
          <w:lang w:val="fr-FR"/>
        </w:rPr>
        <w:t xml:space="preserve"> </w:t>
      </w:r>
      <w:r>
        <w:rPr>
          <w:i/>
          <w:iCs/>
          <w:lang w:val="fr-FR"/>
        </w:rPr>
        <w:t>voir également les lignes directrices sur le site Web de la CEE.</w:t>
      </w:r>
      <w:r w:rsidR="008D4D2F">
        <w:rPr>
          <w:i/>
          <w:iCs/>
          <w:lang w:val="fr-FR"/>
        </w:rPr>
        <w:t> </w:t>
      </w:r>
      <w:r w:rsidRPr="00C604A3">
        <w:rPr>
          <w:iCs/>
          <w:lang w:val="fr-FR"/>
        </w:rPr>
        <w:t>»</w:t>
      </w:r>
      <w:r>
        <w:rPr>
          <w:i/>
          <w:iCs/>
          <w:lang w:val="fr-FR"/>
        </w:rPr>
        <w:t>.</w:t>
      </w:r>
    </w:p>
    <w:p w:rsidR="00C85595" w:rsidRPr="00DE7FC1" w:rsidRDefault="00C604A3" w:rsidP="00C604A3">
      <w:pPr>
        <w:pStyle w:val="H1G"/>
        <w:rPr>
          <w:sz w:val="22"/>
          <w:szCs w:val="22"/>
        </w:rPr>
      </w:pPr>
      <w:r>
        <w:rPr>
          <w:lang w:val="fr-FR"/>
        </w:rPr>
        <w:tab/>
      </w:r>
      <w:r>
        <w:rPr>
          <w:lang w:val="fr-FR"/>
        </w:rPr>
        <w:tab/>
      </w:r>
      <w:r w:rsidR="00C85595">
        <w:rPr>
          <w:lang w:val="fr-FR"/>
        </w:rPr>
        <w:t>Proposition 4</w:t>
      </w:r>
    </w:p>
    <w:p w:rsidR="00C85595" w:rsidRPr="00C604A3" w:rsidRDefault="00C85595" w:rsidP="00C604A3">
      <w:pPr>
        <w:pStyle w:val="SingleTxtG"/>
        <w:ind w:firstLine="567"/>
        <w:rPr>
          <w:lang w:val="fr-FR"/>
        </w:rPr>
      </w:pPr>
      <w:r>
        <w:rPr>
          <w:lang w:val="fr-FR"/>
        </w:rPr>
        <w:t>Ajouter de nouvelles lignes directrices sur le</w:t>
      </w:r>
      <w:r w:rsidR="00947C90">
        <w:rPr>
          <w:lang w:val="fr-FR"/>
        </w:rPr>
        <w:t xml:space="preserve"> site web de la CEE-ONU, sous « </w:t>
      </w:r>
      <w:r>
        <w:rPr>
          <w:lang w:val="fr-FR"/>
        </w:rPr>
        <w:t>UNECE &gt; Transport &gt; Areas of work &gt; Dangerous Goods &gt; Legal Instruments and Recommendations &gt; ADR &gt; Guidelines</w:t>
      </w:r>
      <w:r w:rsidR="00947C90">
        <w:rPr>
          <w:lang w:val="fr-FR"/>
        </w:rPr>
        <w:t> </w:t>
      </w:r>
      <w:r>
        <w:rPr>
          <w:lang w:val="fr-FR"/>
        </w:rPr>
        <w:t>»,</w:t>
      </w:r>
      <w:r w:rsidR="00DA7133">
        <w:rPr>
          <w:lang w:val="fr-FR"/>
        </w:rPr>
        <w:t xml:space="preserve"> </w:t>
      </w:r>
      <w:r>
        <w:rPr>
          <w:lang w:val="fr-FR"/>
        </w:rPr>
        <w:t>comme suit</w:t>
      </w:r>
      <w:r w:rsidR="00DA7133">
        <w:rPr>
          <w:lang w:val="fr-FR"/>
        </w:rPr>
        <w:t> :</w:t>
      </w:r>
    </w:p>
    <w:p w:rsidR="00C604A3" w:rsidRDefault="00C604A3" w:rsidP="00C604A3">
      <w:pPr>
        <w:pStyle w:val="SingleTxtG"/>
        <w:ind w:left="1701"/>
        <w:rPr>
          <w:lang w:val="fr-FR"/>
        </w:rPr>
      </w:pPr>
      <w:r>
        <w:rPr>
          <w:lang w:val="fr-FR"/>
        </w:rPr>
        <w:t>« </w:t>
      </w:r>
      <w:r w:rsidRPr="00C604A3">
        <w:rPr>
          <w:b/>
          <w:lang w:val="fr-FR"/>
        </w:rPr>
        <w:t>Application de la norme “</w:t>
      </w:r>
      <w:r w:rsidR="006C6F8E">
        <w:rPr>
          <w:b/>
          <w:lang w:val="fr-FR"/>
        </w:rPr>
        <w:t>EN </w:t>
      </w:r>
      <w:r w:rsidR="00C85595" w:rsidRPr="00C604A3">
        <w:rPr>
          <w:b/>
          <w:lang w:val="fr-FR"/>
        </w:rPr>
        <w:t>13094:2015</w:t>
      </w:r>
      <w:r w:rsidRPr="00C604A3">
        <w:rPr>
          <w:b/>
          <w:lang w:val="fr-FR"/>
        </w:rPr>
        <w:t>”</w:t>
      </w:r>
      <w:r w:rsidR="00C85595" w:rsidRPr="00C604A3">
        <w:rPr>
          <w:b/>
          <w:lang w:val="fr-FR"/>
        </w:rPr>
        <w:t xml:space="preserve"> afin de respecter les prescriptions de l</w:t>
      </w:r>
      <w:r w:rsidR="006B24CD">
        <w:rPr>
          <w:b/>
          <w:lang w:val="fr-FR"/>
        </w:rPr>
        <w:t>’</w:t>
      </w:r>
      <w:r w:rsidR="00C85595" w:rsidRPr="00C604A3">
        <w:rPr>
          <w:b/>
          <w:lang w:val="fr-FR"/>
        </w:rPr>
        <w:t>ADR 2017 et 2019</w:t>
      </w:r>
    </w:p>
    <w:p w:rsidR="00C604A3" w:rsidRDefault="00C85595" w:rsidP="00C604A3">
      <w:pPr>
        <w:pStyle w:val="SingleTxtG"/>
        <w:ind w:left="1701"/>
        <w:rPr>
          <w:lang w:val="fr-FR"/>
        </w:rPr>
      </w:pPr>
      <w:r>
        <w:rPr>
          <w:lang w:val="fr-FR"/>
        </w:rPr>
        <w:t xml:space="preserve">La Norme européenne </w:t>
      </w:r>
      <w:r w:rsidR="006C6F8E">
        <w:rPr>
          <w:lang w:val="fr-FR"/>
        </w:rPr>
        <w:t>EN </w:t>
      </w:r>
      <w:r>
        <w:rPr>
          <w:lang w:val="fr-FR"/>
        </w:rPr>
        <w:t>13094 spécifie les exigences de conception et de construction des citernes métalliques à vidange par gravité destinées au transport de matières ayant une tension de vapeur ne dépassant pas 110</w:t>
      </w:r>
      <w:r w:rsidR="000C1CBD">
        <w:rPr>
          <w:lang w:val="fr-FR"/>
        </w:rPr>
        <w:t> </w:t>
      </w:r>
      <w:r>
        <w:rPr>
          <w:lang w:val="fr-FR"/>
        </w:rPr>
        <w:t>kPa (pression absolue) pour lesquelles un code-citerne avec la l</w:t>
      </w:r>
      <w:r w:rsidR="00CE00B0">
        <w:rPr>
          <w:lang w:val="fr-FR"/>
        </w:rPr>
        <w:t>ettre “G” est donné au chapitre </w:t>
      </w:r>
      <w:r>
        <w:rPr>
          <w:lang w:val="fr-FR"/>
        </w:rPr>
        <w:t xml:space="preserve">3.2 du RID/ADR. </w:t>
      </w:r>
    </w:p>
    <w:p w:rsidR="00C604A3" w:rsidRDefault="00C85595" w:rsidP="00C604A3">
      <w:pPr>
        <w:pStyle w:val="SingleTxtG"/>
        <w:ind w:left="1701"/>
        <w:rPr>
          <w:lang w:val="fr-FR"/>
        </w:rPr>
      </w:pPr>
      <w:r>
        <w:rPr>
          <w:lang w:val="fr-FR"/>
        </w:rPr>
        <w:t xml:space="preserve">Pour respecter les prescriptions du RID/ADR, les modifications suivantes doivent être apportées à la norme </w:t>
      </w:r>
      <w:r w:rsidR="006C6F8E">
        <w:rPr>
          <w:lang w:val="fr-FR"/>
        </w:rPr>
        <w:t>EN </w:t>
      </w:r>
      <w:r>
        <w:rPr>
          <w:lang w:val="fr-FR"/>
        </w:rPr>
        <w:t>13094:2015.</w:t>
      </w:r>
    </w:p>
    <w:p w:rsidR="00C85595" w:rsidRPr="00DE7FC1" w:rsidRDefault="00C85595" w:rsidP="00C604A3">
      <w:pPr>
        <w:pStyle w:val="SingleTxtG"/>
        <w:ind w:left="1701"/>
        <w:rPr>
          <w:b/>
          <w:bCs/>
        </w:rPr>
      </w:pPr>
      <w:r w:rsidRPr="00C604A3">
        <w:rPr>
          <w:b/>
          <w:lang w:val="fr-FR"/>
        </w:rPr>
        <w:t>1.</w:t>
      </w:r>
      <w:r>
        <w:rPr>
          <w:lang w:val="fr-FR"/>
        </w:rPr>
        <w:tab/>
      </w:r>
      <w:r>
        <w:rPr>
          <w:b/>
          <w:bCs/>
          <w:lang w:val="fr-FR"/>
        </w:rPr>
        <w:t>Modification du paragraphe 3.1, Termes et définitions</w:t>
      </w:r>
    </w:p>
    <w:p w:rsidR="00C85595" w:rsidRPr="00DE7FC1" w:rsidRDefault="00C85595" w:rsidP="00C604A3">
      <w:pPr>
        <w:pStyle w:val="SingleTxtG"/>
        <w:ind w:left="1701"/>
        <w:rPr>
          <w:i/>
          <w:iCs/>
        </w:rPr>
      </w:pPr>
      <w:r>
        <w:rPr>
          <w:i/>
          <w:iCs/>
          <w:lang w:val="fr-FR"/>
        </w:rPr>
        <w:t xml:space="preserve">Supprimer la définition de pression maximale de service au </w:t>
      </w:r>
      <w:r w:rsidRPr="00DA4C98">
        <w:rPr>
          <w:i/>
          <w:iCs/>
          <w:lang w:val="fr-FR"/>
        </w:rPr>
        <w:t xml:space="preserve">paragraphe </w:t>
      </w:r>
      <w:r>
        <w:rPr>
          <w:i/>
          <w:iCs/>
          <w:lang w:val="fr-FR"/>
        </w:rPr>
        <w:t>3.1.4.</w:t>
      </w:r>
    </w:p>
    <w:p w:rsidR="00C85595" w:rsidRPr="00DE7FC1" w:rsidRDefault="00C85595" w:rsidP="00C604A3">
      <w:pPr>
        <w:pStyle w:val="SingleTxtG"/>
        <w:ind w:left="1701"/>
        <w:rPr>
          <w:b/>
          <w:bCs/>
        </w:rPr>
      </w:pPr>
      <w:r w:rsidRPr="00C604A3">
        <w:rPr>
          <w:b/>
          <w:lang w:val="fr-FR"/>
        </w:rPr>
        <w:t>2.</w:t>
      </w:r>
      <w:r>
        <w:rPr>
          <w:lang w:val="fr-FR"/>
        </w:rPr>
        <w:tab/>
      </w:r>
      <w:r>
        <w:rPr>
          <w:b/>
          <w:bCs/>
          <w:lang w:val="fr-FR"/>
        </w:rPr>
        <w:t xml:space="preserve">Modification du </w:t>
      </w:r>
      <w:r w:rsidRPr="00DA4C98">
        <w:rPr>
          <w:b/>
          <w:bCs/>
          <w:lang w:val="fr-FR"/>
        </w:rPr>
        <w:t xml:space="preserve">paragraphe </w:t>
      </w:r>
      <w:r>
        <w:rPr>
          <w:b/>
          <w:bCs/>
          <w:lang w:val="fr-FR"/>
        </w:rPr>
        <w:t>6.4, Conditions dynamiques</w:t>
      </w:r>
    </w:p>
    <w:p w:rsidR="00C85595" w:rsidRPr="00DE7FC1" w:rsidRDefault="00C85595" w:rsidP="00C604A3">
      <w:pPr>
        <w:pStyle w:val="SingleTxtG"/>
        <w:ind w:left="1701"/>
      </w:pPr>
      <w:r>
        <w:rPr>
          <w:i/>
          <w:iCs/>
          <w:lang w:val="fr-FR"/>
        </w:rPr>
        <w:t>Au premier paragraphe du 6.4.2, remplacer “l</w:t>
      </w:r>
      <w:r w:rsidR="00CE00B0">
        <w:rPr>
          <w:i/>
          <w:iCs/>
          <w:lang w:val="fr-FR"/>
        </w:rPr>
        <w:t xml:space="preserve">a pression maximale de service </w:t>
      </w:r>
      <w:proofErr w:type="spellStart"/>
      <w:r>
        <w:rPr>
          <w:i/>
          <w:iCs/>
          <w:lang w:val="fr-FR"/>
        </w:rPr>
        <w:t>P</w:t>
      </w:r>
      <w:r>
        <w:rPr>
          <w:i/>
          <w:iCs/>
          <w:vertAlign w:val="subscript"/>
          <w:lang w:val="fr-FR"/>
        </w:rPr>
        <w:t>v</w:t>
      </w:r>
      <w:proofErr w:type="spellEnd"/>
      <w:r>
        <w:rPr>
          <w:i/>
          <w:iCs/>
          <w:lang w:val="fr-FR"/>
        </w:rPr>
        <w:t xml:space="preserve">” par “la plus grande valeur de </w:t>
      </w:r>
      <w:proofErr w:type="spellStart"/>
      <w:r>
        <w:rPr>
          <w:i/>
          <w:iCs/>
          <w:lang w:val="fr-FR"/>
        </w:rPr>
        <w:t>P</w:t>
      </w:r>
      <w:r>
        <w:rPr>
          <w:i/>
          <w:iCs/>
          <w:vertAlign w:val="subscript"/>
          <w:lang w:val="fr-FR"/>
        </w:rPr>
        <w:t>ta</w:t>
      </w:r>
      <w:proofErr w:type="spellEnd"/>
      <w:r>
        <w:rPr>
          <w:i/>
          <w:iCs/>
          <w:lang w:val="fr-FR"/>
        </w:rPr>
        <w:t>”</w:t>
      </w:r>
    </w:p>
    <w:p w:rsidR="00C85595" w:rsidRPr="00DE7FC1" w:rsidRDefault="00C85595" w:rsidP="00C604A3">
      <w:pPr>
        <w:pStyle w:val="SingleTxtG"/>
        <w:ind w:left="1701"/>
      </w:pPr>
      <w:r>
        <w:rPr>
          <w:i/>
          <w:iCs/>
          <w:lang w:val="fr-FR"/>
        </w:rPr>
        <w:t>où P</w:t>
      </w:r>
      <w:r>
        <w:rPr>
          <w:i/>
          <w:iCs/>
          <w:vertAlign w:val="subscript"/>
          <w:lang w:val="fr-FR"/>
        </w:rPr>
        <w:t>ta</w:t>
      </w:r>
      <w:r>
        <w:rPr>
          <w:i/>
          <w:iCs/>
          <w:lang w:val="fr-FR"/>
        </w:rPr>
        <w:t xml:space="preserve"> est la pression statique (manométrique), en mégapascals (MPa).</w:t>
      </w:r>
    </w:p>
    <w:p w:rsidR="00C85595" w:rsidRPr="00DE7FC1" w:rsidRDefault="00C85595" w:rsidP="00C604A3">
      <w:pPr>
        <w:pStyle w:val="SingleTxtG"/>
        <w:ind w:left="1701"/>
        <w:rPr>
          <w:b/>
          <w:bCs/>
        </w:rPr>
      </w:pPr>
      <w:r w:rsidRPr="00C604A3">
        <w:rPr>
          <w:b/>
          <w:lang w:val="fr-FR"/>
        </w:rPr>
        <w:t>3.</w:t>
      </w:r>
      <w:r>
        <w:rPr>
          <w:lang w:val="fr-FR"/>
        </w:rPr>
        <w:tab/>
      </w:r>
      <w:r>
        <w:rPr>
          <w:b/>
          <w:bCs/>
          <w:lang w:val="fr-FR"/>
        </w:rPr>
        <w:t xml:space="preserve">Modification du </w:t>
      </w:r>
      <w:r w:rsidRPr="00DA4C98">
        <w:rPr>
          <w:b/>
          <w:bCs/>
          <w:lang w:val="fr-FR"/>
        </w:rPr>
        <w:t xml:space="preserve">paragraphe </w:t>
      </w:r>
      <w:r>
        <w:rPr>
          <w:b/>
          <w:bCs/>
          <w:lang w:val="fr-FR"/>
        </w:rPr>
        <w:t>6.5, Conditions de pression</w:t>
      </w:r>
    </w:p>
    <w:p w:rsidR="00C85595" w:rsidRPr="00DE7FC1" w:rsidRDefault="00C85595" w:rsidP="00C604A3">
      <w:pPr>
        <w:pStyle w:val="SingleTxtG"/>
        <w:ind w:left="1701"/>
        <w:rPr>
          <w:b/>
          <w:i/>
        </w:rPr>
      </w:pPr>
      <w:r w:rsidRPr="00C604A3">
        <w:rPr>
          <w:b/>
          <w:lang w:val="fr-FR"/>
        </w:rPr>
        <w:t>3.1</w:t>
      </w:r>
      <w:r>
        <w:rPr>
          <w:lang w:val="fr-FR"/>
        </w:rPr>
        <w:tab/>
      </w:r>
      <w:r>
        <w:rPr>
          <w:b/>
          <w:bCs/>
          <w:i/>
          <w:iCs/>
          <w:lang w:val="fr-FR"/>
        </w:rPr>
        <w:t xml:space="preserve">Modification du </w:t>
      </w:r>
      <w:r w:rsidRPr="00DA4C98">
        <w:rPr>
          <w:b/>
          <w:bCs/>
          <w:i/>
          <w:iCs/>
          <w:lang w:val="fr-FR"/>
        </w:rPr>
        <w:t xml:space="preserve">paragraphe </w:t>
      </w:r>
      <w:r>
        <w:rPr>
          <w:b/>
          <w:bCs/>
          <w:i/>
          <w:iCs/>
          <w:lang w:val="fr-FR"/>
        </w:rPr>
        <w:t>6.5.1</w:t>
      </w:r>
    </w:p>
    <w:p w:rsidR="00C85595" w:rsidRPr="00DE7FC1" w:rsidRDefault="00C85595" w:rsidP="00C604A3">
      <w:pPr>
        <w:pStyle w:val="SingleTxtG"/>
        <w:ind w:left="1701"/>
      </w:pPr>
      <w:r>
        <w:rPr>
          <w:i/>
          <w:iCs/>
          <w:lang w:val="fr-FR"/>
        </w:rPr>
        <w:t xml:space="preserve">Supprimer </w:t>
      </w:r>
      <w:r>
        <w:rPr>
          <w:lang w:val="fr-FR"/>
        </w:rPr>
        <w:t>“c) 1,3 fois la pression maximale de service”.</w:t>
      </w:r>
    </w:p>
    <w:p w:rsidR="00C85595" w:rsidRPr="00DE7FC1" w:rsidRDefault="00C85595" w:rsidP="00C604A3">
      <w:pPr>
        <w:pStyle w:val="SingleTxtG"/>
        <w:ind w:left="1701"/>
      </w:pPr>
      <w:r w:rsidRPr="00C604A3">
        <w:rPr>
          <w:b/>
          <w:lang w:val="fr-FR"/>
        </w:rPr>
        <w:t>3.2</w:t>
      </w:r>
      <w:r w:rsidRPr="00C604A3">
        <w:rPr>
          <w:b/>
          <w:lang w:val="fr-FR"/>
        </w:rPr>
        <w:tab/>
      </w:r>
      <w:r>
        <w:rPr>
          <w:b/>
          <w:bCs/>
          <w:i/>
          <w:iCs/>
          <w:lang w:val="fr-FR"/>
        </w:rPr>
        <w:t xml:space="preserve">Modification du </w:t>
      </w:r>
      <w:r w:rsidRPr="00DA4C98">
        <w:rPr>
          <w:b/>
          <w:bCs/>
          <w:i/>
          <w:iCs/>
          <w:lang w:val="fr-FR"/>
        </w:rPr>
        <w:t xml:space="preserve">paragraphe </w:t>
      </w:r>
      <w:r>
        <w:rPr>
          <w:b/>
          <w:bCs/>
          <w:i/>
          <w:iCs/>
          <w:lang w:val="fr-FR"/>
        </w:rPr>
        <w:t>6.5.2</w:t>
      </w:r>
    </w:p>
    <w:p w:rsidR="00C85595" w:rsidRPr="00DE7FC1" w:rsidRDefault="00C85595" w:rsidP="00C604A3">
      <w:pPr>
        <w:pStyle w:val="SingleTxtG"/>
        <w:ind w:left="1701"/>
      </w:pPr>
      <w:r>
        <w:rPr>
          <w:i/>
          <w:iCs/>
          <w:lang w:val="fr-FR"/>
        </w:rPr>
        <w:t xml:space="preserve">Remplacer </w:t>
      </w:r>
      <w:r>
        <w:rPr>
          <w:lang w:val="fr-FR"/>
        </w:rPr>
        <w:t>“1,3 × (</w:t>
      </w:r>
      <w:r>
        <w:rPr>
          <w:i/>
          <w:iCs/>
          <w:lang w:val="fr-FR"/>
        </w:rPr>
        <w:t>P</w:t>
      </w:r>
      <w:r>
        <w:rPr>
          <w:i/>
          <w:iCs/>
          <w:vertAlign w:val="subscript"/>
          <w:lang w:val="fr-FR"/>
        </w:rPr>
        <w:t>t</w:t>
      </w:r>
      <w:r>
        <w:rPr>
          <w:vertAlign w:val="subscript"/>
          <w:lang w:val="fr-FR"/>
        </w:rPr>
        <w:t>a</w:t>
      </w:r>
      <w:r>
        <w:rPr>
          <w:lang w:val="fr-FR"/>
        </w:rPr>
        <w:t xml:space="preserve"> + </w:t>
      </w:r>
      <w:r>
        <w:rPr>
          <w:i/>
          <w:iCs/>
          <w:lang w:val="fr-FR"/>
        </w:rPr>
        <w:t>P</w:t>
      </w:r>
      <w:r>
        <w:rPr>
          <w:vertAlign w:val="subscript"/>
          <w:lang w:val="fr-FR"/>
        </w:rPr>
        <w:t>ts</w:t>
      </w:r>
      <w:r>
        <w:rPr>
          <w:lang w:val="fr-FR"/>
        </w:rPr>
        <w:t xml:space="preserve">)” </w:t>
      </w:r>
      <w:r>
        <w:rPr>
          <w:i/>
          <w:iCs/>
          <w:lang w:val="fr-FR"/>
        </w:rPr>
        <w:t>par</w:t>
      </w:r>
      <w:r>
        <w:rPr>
          <w:lang w:val="fr-FR"/>
        </w:rPr>
        <w:t xml:space="preserve"> “max (0,2</w:t>
      </w:r>
      <w:r w:rsidR="00DA7133">
        <w:rPr>
          <w:lang w:val="fr-FR"/>
        </w:rPr>
        <w:t> ;</w:t>
      </w:r>
      <w:r>
        <w:rPr>
          <w:lang w:val="fr-FR"/>
        </w:rPr>
        <w:t xml:space="preserve"> 1,3 × </w:t>
      </w:r>
      <w:r>
        <w:rPr>
          <w:i/>
          <w:iCs/>
          <w:lang w:val="fr-FR"/>
        </w:rPr>
        <w:t>P</w:t>
      </w:r>
      <w:r>
        <w:rPr>
          <w:vertAlign w:val="subscript"/>
          <w:lang w:val="fr-FR"/>
        </w:rPr>
        <w:t>ta eau</w:t>
      </w:r>
      <w:r w:rsidR="00DA7133">
        <w:rPr>
          <w:lang w:val="fr-FR"/>
        </w:rPr>
        <w:t> ;</w:t>
      </w:r>
      <w:r>
        <w:rPr>
          <w:lang w:val="fr-FR"/>
        </w:rPr>
        <w:t xml:space="preserve"> 1,3 × </w:t>
      </w:r>
      <w:r>
        <w:rPr>
          <w:i/>
          <w:iCs/>
          <w:lang w:val="fr-FR"/>
        </w:rPr>
        <w:t>P</w:t>
      </w:r>
      <w:r>
        <w:rPr>
          <w:vertAlign w:val="subscript"/>
          <w:lang w:val="fr-FR"/>
        </w:rPr>
        <w:t>ta</w:t>
      </w:r>
      <w:r>
        <w:rPr>
          <w:lang w:val="fr-FR"/>
        </w:rPr>
        <w:t>)”.</w:t>
      </w:r>
    </w:p>
    <w:p w:rsidR="00C85595" w:rsidRPr="00DE7FC1" w:rsidRDefault="00C85595" w:rsidP="00C604A3">
      <w:pPr>
        <w:pStyle w:val="SingleTxtG"/>
        <w:ind w:left="1701"/>
        <w:rPr>
          <w:b/>
          <w:bCs/>
        </w:rPr>
      </w:pPr>
      <w:r w:rsidRPr="00C604A3">
        <w:rPr>
          <w:b/>
          <w:lang w:val="fr-FR"/>
        </w:rPr>
        <w:t>4.</w:t>
      </w:r>
      <w:r>
        <w:rPr>
          <w:lang w:val="fr-FR"/>
        </w:rPr>
        <w:tab/>
      </w:r>
      <w:r>
        <w:rPr>
          <w:b/>
          <w:bCs/>
          <w:lang w:val="fr-FR"/>
        </w:rPr>
        <w:t>Modification de l</w:t>
      </w:r>
      <w:r w:rsidR="006B24CD">
        <w:rPr>
          <w:b/>
          <w:bCs/>
          <w:lang w:val="fr-FR"/>
        </w:rPr>
        <w:t>’</w:t>
      </w:r>
      <w:r>
        <w:rPr>
          <w:b/>
          <w:bCs/>
          <w:lang w:val="fr-FR"/>
        </w:rPr>
        <w:t>annexe A, A.5 Méthode de calcul – Note de calcul</w:t>
      </w:r>
    </w:p>
    <w:p w:rsidR="00C85595" w:rsidRPr="00DE7FC1" w:rsidRDefault="00C85595" w:rsidP="006B24CD">
      <w:pPr>
        <w:pStyle w:val="SingleTxtG"/>
        <w:keepNext/>
        <w:ind w:left="1701"/>
      </w:pPr>
      <w:r w:rsidRPr="00C604A3">
        <w:rPr>
          <w:b/>
          <w:lang w:val="fr-FR"/>
        </w:rPr>
        <w:lastRenderedPageBreak/>
        <w:t>4.1</w:t>
      </w:r>
      <w:r>
        <w:rPr>
          <w:lang w:val="fr-FR"/>
        </w:rPr>
        <w:tab/>
      </w:r>
      <w:r>
        <w:rPr>
          <w:b/>
          <w:bCs/>
          <w:i/>
          <w:iCs/>
          <w:lang w:val="fr-FR"/>
        </w:rPr>
        <w:t xml:space="preserve">Modification du </w:t>
      </w:r>
      <w:r w:rsidRPr="00DA4C98">
        <w:rPr>
          <w:b/>
          <w:bCs/>
          <w:i/>
          <w:iCs/>
          <w:lang w:val="fr-FR"/>
        </w:rPr>
        <w:t xml:space="preserve">paragraphe </w:t>
      </w:r>
      <w:r>
        <w:rPr>
          <w:b/>
          <w:bCs/>
          <w:i/>
          <w:iCs/>
          <w:lang w:val="fr-FR"/>
        </w:rPr>
        <w:t>A.5.2.2.1, tableau A.2, Pressions</w:t>
      </w:r>
    </w:p>
    <w:p w:rsidR="00C85595" w:rsidRPr="00DE7FC1" w:rsidRDefault="00EF5644" w:rsidP="00C604A3">
      <w:pPr>
        <w:pStyle w:val="SingleTxtG"/>
        <w:ind w:left="1701"/>
      </w:pPr>
      <w:r>
        <w:rPr>
          <w:i/>
          <w:iCs/>
          <w:lang w:val="fr-FR"/>
        </w:rPr>
        <w:t xml:space="preserve">Remplacer </w:t>
      </w:r>
      <w:r w:rsidRPr="00EF5644">
        <w:rPr>
          <w:rFonts w:eastAsia="MS Mincho"/>
          <w:i/>
          <w:iCs/>
          <w:lang w:val="fr-FR"/>
        </w:rPr>
        <w:t>n</w:t>
      </w:r>
      <w:r w:rsidRPr="00EF5644">
        <w:rPr>
          <w:rFonts w:eastAsia="MS Mincho"/>
          <w:i/>
          <w:iCs/>
          <w:vertAlign w:val="superscript"/>
          <w:lang w:val="fr-FR"/>
        </w:rPr>
        <w:t>o</w:t>
      </w:r>
      <w:r>
        <w:rPr>
          <w:i/>
          <w:iCs/>
          <w:lang w:val="fr-FR"/>
        </w:rPr>
        <w:t> </w:t>
      </w:r>
      <w:r w:rsidR="00C85595">
        <w:rPr>
          <w:i/>
          <w:iCs/>
          <w:lang w:val="fr-FR"/>
        </w:rPr>
        <w:t xml:space="preserve">2 </w:t>
      </w:r>
      <w:r w:rsidR="00C85595">
        <w:rPr>
          <w:lang w:val="fr-FR"/>
        </w:rPr>
        <w:t xml:space="preserve">“Pression maximale de service </w:t>
      </w:r>
      <w:r w:rsidR="00C85595">
        <w:rPr>
          <w:vertAlign w:val="superscript"/>
          <w:lang w:val="fr-FR"/>
        </w:rPr>
        <w:t>b</w:t>
      </w:r>
      <w:r w:rsidR="00C85595">
        <w:rPr>
          <w:lang w:val="fr-FR"/>
        </w:rPr>
        <w:t xml:space="preserve">, </w:t>
      </w:r>
      <w:r w:rsidR="00C85595">
        <w:rPr>
          <w:i/>
          <w:iCs/>
          <w:lang w:val="fr-FR"/>
        </w:rPr>
        <w:t>P</w:t>
      </w:r>
      <w:r w:rsidR="00C85595">
        <w:rPr>
          <w:vertAlign w:val="subscript"/>
          <w:lang w:val="fr-FR"/>
        </w:rPr>
        <w:t>ms</w:t>
      </w:r>
      <w:r w:rsidR="00C85595">
        <w:rPr>
          <w:lang w:val="fr-FR"/>
        </w:rPr>
        <w:t xml:space="preserve">” </w:t>
      </w:r>
      <w:r w:rsidR="00C85595">
        <w:rPr>
          <w:i/>
          <w:iCs/>
          <w:lang w:val="fr-FR"/>
        </w:rPr>
        <w:t xml:space="preserve">par </w:t>
      </w:r>
      <w:r w:rsidR="00C85595">
        <w:rPr>
          <w:lang w:val="fr-FR"/>
        </w:rPr>
        <w:t>“Pression d</w:t>
      </w:r>
      <w:r w:rsidR="006B24CD">
        <w:rPr>
          <w:lang w:val="fr-FR"/>
        </w:rPr>
        <w:t>’</w:t>
      </w:r>
      <w:r w:rsidR="00C85595">
        <w:rPr>
          <w:lang w:val="fr-FR"/>
        </w:rPr>
        <w:t xml:space="preserve">ouverture du dispositif de respiration, </w:t>
      </w:r>
      <w:r w:rsidR="00C85595">
        <w:rPr>
          <w:i/>
          <w:iCs/>
          <w:lang w:val="fr-FR"/>
        </w:rPr>
        <w:t>P</w:t>
      </w:r>
      <w:r w:rsidR="00C85595">
        <w:rPr>
          <w:vertAlign w:val="subscript"/>
          <w:lang w:val="fr-FR"/>
        </w:rPr>
        <w:t>ts</w:t>
      </w:r>
      <w:r w:rsidR="00C85595">
        <w:rPr>
          <w:lang w:val="fr-FR"/>
        </w:rPr>
        <w:t>”.</w:t>
      </w:r>
    </w:p>
    <w:p w:rsidR="00C85595" w:rsidRPr="00DE7FC1" w:rsidRDefault="00C85595" w:rsidP="00C604A3">
      <w:pPr>
        <w:pStyle w:val="SingleTxtG"/>
        <w:ind w:left="1701"/>
      </w:pPr>
      <w:r>
        <w:rPr>
          <w:i/>
          <w:iCs/>
          <w:lang w:val="fr-FR"/>
        </w:rPr>
        <w:t>Supprimer</w:t>
      </w:r>
      <w:r>
        <w:rPr>
          <w:lang w:val="fr-FR"/>
        </w:rPr>
        <w:t xml:space="preserve"> “</w:t>
      </w:r>
      <w:r>
        <w:rPr>
          <w:vertAlign w:val="superscript"/>
          <w:lang w:val="fr-FR"/>
        </w:rPr>
        <w:t>b</w:t>
      </w:r>
      <w:r>
        <w:rPr>
          <w:lang w:val="fr-FR"/>
        </w:rPr>
        <w:tab/>
      </w:r>
      <w:r>
        <w:rPr>
          <w:i/>
          <w:iCs/>
          <w:lang w:val="fr-FR"/>
        </w:rPr>
        <w:t>P</w:t>
      </w:r>
      <w:r>
        <w:rPr>
          <w:vertAlign w:val="subscript"/>
          <w:lang w:val="fr-FR"/>
        </w:rPr>
        <w:t>ms</w:t>
      </w:r>
      <w:r>
        <w:rPr>
          <w:lang w:val="fr-FR"/>
        </w:rPr>
        <w:t xml:space="preserve"> est le maximum de P</w:t>
      </w:r>
      <w:r>
        <w:rPr>
          <w:vertAlign w:val="subscript"/>
          <w:lang w:val="fr-FR"/>
        </w:rPr>
        <w:t>vd</w:t>
      </w:r>
      <w:r>
        <w:rPr>
          <w:lang w:val="fr-FR"/>
        </w:rPr>
        <w:t>, P</w:t>
      </w:r>
      <w:r>
        <w:rPr>
          <w:vertAlign w:val="subscript"/>
          <w:lang w:val="fr-FR"/>
        </w:rPr>
        <w:t>ts</w:t>
      </w:r>
      <w:r>
        <w:rPr>
          <w:lang w:val="fr-FR"/>
        </w:rPr>
        <w:t xml:space="preserve">, </w:t>
      </w:r>
      <w:r>
        <w:rPr>
          <w:i/>
          <w:iCs/>
          <w:lang w:val="fr-FR"/>
        </w:rPr>
        <w:t>P</w:t>
      </w:r>
      <w:r>
        <w:rPr>
          <w:vertAlign w:val="subscript"/>
          <w:lang w:val="fr-FR"/>
        </w:rPr>
        <w:t xml:space="preserve">d </w:t>
      </w:r>
      <w:r>
        <w:rPr>
          <w:lang w:val="fr-FR"/>
        </w:rPr>
        <w:t xml:space="preserve">et </w:t>
      </w:r>
      <w:r>
        <w:rPr>
          <w:i/>
          <w:iCs/>
          <w:lang w:val="fr-FR"/>
        </w:rPr>
        <w:t>P</w:t>
      </w:r>
      <w:r>
        <w:rPr>
          <w:vertAlign w:val="subscript"/>
          <w:lang w:val="fr-FR"/>
        </w:rPr>
        <w:t>r</w:t>
      </w:r>
      <w:r>
        <w:rPr>
          <w:lang w:val="fr-FR"/>
        </w:rPr>
        <w:t>.”</w:t>
      </w:r>
    </w:p>
    <w:p w:rsidR="00C85595" w:rsidRPr="00DE7FC1" w:rsidRDefault="00C85595" w:rsidP="00C604A3">
      <w:pPr>
        <w:pStyle w:val="SingleTxtG"/>
        <w:ind w:left="1701"/>
        <w:rPr>
          <w:b/>
          <w:i/>
        </w:rPr>
      </w:pPr>
      <w:r w:rsidRPr="00C604A3">
        <w:rPr>
          <w:b/>
          <w:lang w:val="fr-FR"/>
        </w:rPr>
        <w:t>4.2</w:t>
      </w:r>
      <w:r>
        <w:rPr>
          <w:lang w:val="fr-FR"/>
        </w:rPr>
        <w:tab/>
      </w:r>
      <w:r>
        <w:rPr>
          <w:b/>
          <w:bCs/>
          <w:i/>
          <w:iCs/>
          <w:lang w:val="fr-FR"/>
        </w:rPr>
        <w:t xml:space="preserve">Modification du </w:t>
      </w:r>
      <w:r w:rsidRPr="00DA4C98">
        <w:rPr>
          <w:b/>
          <w:bCs/>
          <w:i/>
          <w:iCs/>
          <w:lang w:val="fr-FR"/>
        </w:rPr>
        <w:t xml:space="preserve">paragraphe </w:t>
      </w:r>
      <w:r>
        <w:rPr>
          <w:b/>
          <w:bCs/>
          <w:i/>
          <w:iCs/>
          <w:lang w:val="fr-FR"/>
        </w:rPr>
        <w:t>A.5.2.2.2, tableau A.3, Pression de calcul dans les conditions de service</w:t>
      </w:r>
      <w:r>
        <w:rPr>
          <w:lang w:val="fr-FR"/>
        </w:rPr>
        <w:t xml:space="preserve"> </w:t>
      </w:r>
    </w:p>
    <w:p w:rsidR="00C85595" w:rsidRPr="00DE7FC1" w:rsidRDefault="00C85595" w:rsidP="00C604A3">
      <w:pPr>
        <w:pStyle w:val="SingleTxtG"/>
        <w:ind w:left="1701"/>
      </w:pPr>
      <w:r>
        <w:rPr>
          <w:i/>
          <w:iCs/>
          <w:lang w:val="fr-FR"/>
        </w:rPr>
        <w:t>Aux points 4, 5, 6 et 7, remplacer “P</w:t>
      </w:r>
      <w:r>
        <w:rPr>
          <w:i/>
          <w:iCs/>
          <w:vertAlign w:val="subscript"/>
          <w:lang w:val="fr-FR"/>
        </w:rPr>
        <w:t>ms</w:t>
      </w:r>
      <w:r>
        <w:rPr>
          <w:i/>
          <w:iCs/>
          <w:lang w:val="fr-FR"/>
        </w:rPr>
        <w:t>” par “P</w:t>
      </w:r>
      <w:r>
        <w:rPr>
          <w:i/>
          <w:iCs/>
          <w:vertAlign w:val="subscript"/>
          <w:lang w:val="fr-FR"/>
        </w:rPr>
        <w:t>ts</w:t>
      </w:r>
      <w:r>
        <w:rPr>
          <w:i/>
          <w:iCs/>
          <w:lang w:val="fr-FR"/>
        </w:rPr>
        <w:t>”.</w:t>
      </w:r>
    </w:p>
    <w:p w:rsidR="00C85595" w:rsidRPr="00DE7FC1" w:rsidRDefault="00C85595" w:rsidP="00C604A3">
      <w:pPr>
        <w:pStyle w:val="SingleTxtG"/>
        <w:ind w:left="1701"/>
        <w:rPr>
          <w:b/>
        </w:rPr>
      </w:pPr>
      <w:r w:rsidRPr="00C604A3">
        <w:rPr>
          <w:b/>
          <w:lang w:val="fr-FR"/>
        </w:rPr>
        <w:t>4.3</w:t>
      </w:r>
      <w:r>
        <w:rPr>
          <w:lang w:val="fr-FR"/>
        </w:rPr>
        <w:tab/>
      </w:r>
      <w:r>
        <w:rPr>
          <w:b/>
          <w:bCs/>
          <w:i/>
          <w:iCs/>
          <w:lang w:val="fr-FR"/>
        </w:rPr>
        <w:t xml:space="preserve">Modification du </w:t>
      </w:r>
      <w:r w:rsidRPr="005E21CB">
        <w:rPr>
          <w:b/>
          <w:bCs/>
          <w:i/>
          <w:iCs/>
          <w:lang w:val="fr-FR"/>
        </w:rPr>
        <w:t xml:space="preserve">paragraphe </w:t>
      </w:r>
      <w:r>
        <w:rPr>
          <w:b/>
          <w:bCs/>
          <w:i/>
          <w:iCs/>
          <w:lang w:val="fr-FR"/>
        </w:rPr>
        <w:t>5.6.2.1.2, Contrainte de traction due à la pression lors du transport</w:t>
      </w:r>
    </w:p>
    <w:p w:rsidR="00C604A3" w:rsidRDefault="006B24CD" w:rsidP="00C604A3">
      <w:pPr>
        <w:pStyle w:val="SingleTxtG"/>
        <w:ind w:left="1701"/>
        <w:rPr>
          <w:i/>
          <w:iCs/>
          <w:lang w:val="fr-FR"/>
        </w:rPr>
      </w:pPr>
      <w:r>
        <w:rPr>
          <w:i/>
          <w:iCs/>
          <w:lang w:val="fr-FR"/>
        </w:rPr>
        <w:t>À l’alinéa a) Force, remplacer “</w:t>
      </w:r>
      <w:r w:rsidR="00C85595">
        <w:rPr>
          <w:i/>
          <w:iCs/>
          <w:lang w:val="fr-FR"/>
        </w:rPr>
        <w:t>P</w:t>
      </w:r>
      <w:r w:rsidR="00C85595" w:rsidRPr="00906DE6">
        <w:rPr>
          <w:i/>
          <w:iCs/>
          <w:vertAlign w:val="subscript"/>
          <w:lang w:val="fr-FR"/>
        </w:rPr>
        <w:t>ms</w:t>
      </w:r>
      <w:r w:rsidR="00C85595">
        <w:rPr>
          <w:i/>
          <w:iCs/>
          <w:lang w:val="fr-FR"/>
        </w:rPr>
        <w:t>” par “P</w:t>
      </w:r>
      <w:r w:rsidR="00C85595" w:rsidRPr="00906DE6">
        <w:rPr>
          <w:i/>
          <w:iCs/>
          <w:vertAlign w:val="subscript"/>
          <w:lang w:val="fr-FR"/>
        </w:rPr>
        <w:t>ts</w:t>
      </w:r>
      <w:r w:rsidR="00C85595">
        <w:rPr>
          <w:i/>
          <w:iCs/>
          <w:lang w:val="fr-FR"/>
        </w:rPr>
        <w:t>”</w:t>
      </w:r>
      <w:r>
        <w:rPr>
          <w:i/>
          <w:iCs/>
          <w:lang w:val="fr-FR"/>
        </w:rPr>
        <w:t> </w:t>
      </w:r>
      <w:r w:rsidRPr="006B24CD">
        <w:rPr>
          <w:iCs/>
          <w:lang w:val="fr-FR"/>
        </w:rPr>
        <w:t>».</w:t>
      </w:r>
    </w:p>
    <w:p w:rsidR="00C85595" w:rsidRPr="00DE7FC1" w:rsidRDefault="006B24CD" w:rsidP="006B24CD">
      <w:pPr>
        <w:pStyle w:val="H23G"/>
      </w:pPr>
      <w:r>
        <w:rPr>
          <w:lang w:val="fr-FR"/>
        </w:rPr>
        <w:tab/>
      </w:r>
      <w:r w:rsidR="00C85595">
        <w:rPr>
          <w:lang w:val="fr-FR"/>
        </w:rPr>
        <w:t>Point 6</w:t>
      </w:r>
      <w:r>
        <w:rPr>
          <w:lang w:val="fr-FR"/>
        </w:rPr>
        <w:tab/>
      </w:r>
      <w:r w:rsidR="00C85595">
        <w:rPr>
          <w:lang w:val="fr-FR"/>
        </w:rPr>
        <w:t>ECE/TRANS/WP.15/AC.1/2018/13 (Franc</w:t>
      </w:r>
      <w:r>
        <w:rPr>
          <w:lang w:val="fr-FR"/>
        </w:rPr>
        <w:t>e) « </w:t>
      </w:r>
      <w:r w:rsidR="00C85595">
        <w:rPr>
          <w:lang w:val="fr-FR"/>
        </w:rPr>
        <w:t>Certificats et attestations de contrôle des citernes sign</w:t>
      </w:r>
      <w:r>
        <w:rPr>
          <w:lang w:val="fr-FR"/>
        </w:rPr>
        <w:t>és et transmis électroniquement </w:t>
      </w:r>
      <w:r w:rsidR="00C85595">
        <w:rPr>
          <w:lang w:val="fr-FR"/>
        </w:rPr>
        <w:t>»</w:t>
      </w:r>
    </w:p>
    <w:p w:rsidR="00C85595" w:rsidRPr="00DE7FC1" w:rsidRDefault="00C85595" w:rsidP="006B24CD">
      <w:pPr>
        <w:pStyle w:val="SingleTxtG"/>
      </w:pPr>
      <w:r>
        <w:rPr>
          <w:lang w:val="fr-FR"/>
        </w:rPr>
        <w:t>15.</w:t>
      </w:r>
      <w:r>
        <w:rPr>
          <w:lang w:val="fr-FR"/>
        </w:rPr>
        <w:tab/>
        <w:t>Une question a été soulevée lors de la session d</w:t>
      </w:r>
      <w:r w:rsidR="006B24CD">
        <w:rPr>
          <w:lang w:val="fr-FR"/>
        </w:rPr>
        <w:t>’</w:t>
      </w:r>
      <w:r>
        <w:rPr>
          <w:lang w:val="fr-FR"/>
        </w:rPr>
        <w:t>automne 2017 au sujet de l</w:t>
      </w:r>
      <w:r w:rsidR="006B24CD">
        <w:rPr>
          <w:lang w:val="fr-FR"/>
        </w:rPr>
        <w:t>’</w:t>
      </w:r>
      <w:r>
        <w:rPr>
          <w:lang w:val="fr-FR"/>
        </w:rPr>
        <w:t>acceptation des documents et des signatures électroniques pour les certificats de contrôle des citernes. Le document ECE/TRANS/WP.15/AC.1/2018/13 a fourni des renseignements supplémentaires à cet égard.</w:t>
      </w:r>
    </w:p>
    <w:p w:rsidR="006B24CD" w:rsidRDefault="00C85595" w:rsidP="006B24CD">
      <w:pPr>
        <w:pStyle w:val="SingleTxtG"/>
        <w:rPr>
          <w:lang w:val="fr-FR"/>
        </w:rPr>
      </w:pPr>
      <w:r>
        <w:rPr>
          <w:lang w:val="fr-FR"/>
        </w:rPr>
        <w:t>16.</w:t>
      </w:r>
      <w:r>
        <w:rPr>
          <w:lang w:val="fr-FR"/>
        </w:rPr>
        <w:tab/>
        <w:t xml:space="preserve">Il a été fait référence à la </w:t>
      </w:r>
      <w:r w:rsidR="00A5705F">
        <w:rPr>
          <w:lang w:val="fr-FR"/>
        </w:rPr>
        <w:t>l</w:t>
      </w:r>
      <w:r>
        <w:rPr>
          <w:lang w:val="fr-FR"/>
        </w:rPr>
        <w:t>oi type de la Commission des Nations Unies pour le droit commercial international (CNUDCI) sur les signatures électroniques, qui vise à permettre et faciliter l</w:t>
      </w:r>
      <w:r w:rsidR="006B24CD">
        <w:rPr>
          <w:lang w:val="fr-FR"/>
        </w:rPr>
        <w:t>’</w:t>
      </w:r>
      <w:r>
        <w:rPr>
          <w:lang w:val="fr-FR"/>
        </w:rPr>
        <w:t>utilisation des signatures électroniques en établissant des critères de fiabilité technique pour l</w:t>
      </w:r>
      <w:r w:rsidR="006B24CD">
        <w:rPr>
          <w:lang w:val="fr-FR"/>
        </w:rPr>
        <w:t>’</w:t>
      </w:r>
      <w:r>
        <w:rPr>
          <w:lang w:val="fr-FR"/>
        </w:rPr>
        <w:t>équivalence entre ces signatures et les signatures manuscrites, et, plus particulièrement, à l</w:t>
      </w:r>
      <w:r w:rsidR="006B24CD">
        <w:rPr>
          <w:lang w:val="fr-FR"/>
        </w:rPr>
        <w:t>’article </w:t>
      </w:r>
      <w:r>
        <w:rPr>
          <w:lang w:val="fr-FR"/>
        </w:rPr>
        <w:t>46 du Règlement (UE) n</w:t>
      </w:r>
      <w:r>
        <w:rPr>
          <w:vertAlign w:val="superscript"/>
          <w:lang w:val="fr-FR"/>
        </w:rPr>
        <w:t>o</w:t>
      </w:r>
      <w:r w:rsidR="006B24CD">
        <w:rPr>
          <w:lang w:val="fr-FR"/>
        </w:rPr>
        <w:t> </w:t>
      </w:r>
      <w:r>
        <w:rPr>
          <w:lang w:val="fr-FR"/>
        </w:rPr>
        <w:t>910/2014</w:t>
      </w:r>
      <w:r>
        <w:rPr>
          <w:rStyle w:val="FootnoteReference"/>
          <w:lang w:val="fr-FR"/>
        </w:rPr>
        <w:footnoteReference w:customMarkFollows="1" w:id="5"/>
        <w:t>2</w:t>
      </w:r>
      <w:r>
        <w:rPr>
          <w:lang w:val="fr-FR"/>
        </w:rPr>
        <w:t xml:space="preserve"> sur l</w:t>
      </w:r>
      <w:r w:rsidR="006B24CD">
        <w:rPr>
          <w:lang w:val="fr-FR"/>
        </w:rPr>
        <w:t>’</w:t>
      </w:r>
      <w:r>
        <w:rPr>
          <w:lang w:val="fr-FR"/>
        </w:rPr>
        <w:t>identification électronique et les services de confiance pour les transactions électroniques au sein du marc</w:t>
      </w:r>
      <w:r w:rsidR="006B24CD">
        <w:rPr>
          <w:lang w:val="fr-FR"/>
        </w:rPr>
        <w:t>hé intérieur, qui précise que « </w:t>
      </w:r>
      <w:r>
        <w:rPr>
          <w:lang w:val="fr-FR"/>
        </w:rPr>
        <w:t>l</w:t>
      </w:r>
      <w:r w:rsidR="006B24CD">
        <w:rPr>
          <w:lang w:val="fr-FR"/>
        </w:rPr>
        <w:t>’</w:t>
      </w:r>
      <w:r>
        <w:rPr>
          <w:lang w:val="fr-FR"/>
        </w:rPr>
        <w:t>effet juridique et la recevabilité d</w:t>
      </w:r>
      <w:r w:rsidR="006B24CD">
        <w:rPr>
          <w:lang w:val="fr-FR"/>
        </w:rPr>
        <w:t>’</w:t>
      </w:r>
      <w:r>
        <w:rPr>
          <w:lang w:val="fr-FR"/>
        </w:rPr>
        <w:t>un document électronique comme preuve en justice ne peuvent être refusés au seul motif que ce document se prése</w:t>
      </w:r>
      <w:r w:rsidR="006B24CD">
        <w:rPr>
          <w:lang w:val="fr-FR"/>
        </w:rPr>
        <w:t>nte sous une forme électronique </w:t>
      </w:r>
      <w:r>
        <w:rPr>
          <w:lang w:val="fr-FR"/>
        </w:rPr>
        <w:t>».</w:t>
      </w:r>
    </w:p>
    <w:p w:rsidR="00C85595" w:rsidRPr="00DE7FC1" w:rsidRDefault="00C85595" w:rsidP="006B24CD">
      <w:pPr>
        <w:pStyle w:val="SingleTxtG"/>
      </w:pPr>
      <w:r>
        <w:rPr>
          <w:lang w:val="fr-FR"/>
        </w:rPr>
        <w:t>17.</w:t>
      </w:r>
      <w:r>
        <w:rPr>
          <w:lang w:val="fr-FR"/>
        </w:rPr>
        <w:tab/>
        <w:t>Plusieurs experts ont indiqué que leurs organisations avaient déjà émis des documents électroniques. Le Groupe de travail sur les citernes a réaffirmé sa position selon laquelle les documents et les signatures électroniques devraient être acceptés.</w:t>
      </w:r>
    </w:p>
    <w:p w:rsidR="00C85595" w:rsidRPr="00DE7FC1" w:rsidRDefault="00C85595" w:rsidP="006B24CD">
      <w:pPr>
        <w:pStyle w:val="H23G"/>
      </w:pPr>
      <w:r>
        <w:rPr>
          <w:lang w:val="fr-FR"/>
        </w:rPr>
        <w:tab/>
        <w:t>Point 7</w:t>
      </w:r>
      <w:r w:rsidR="006B24CD">
        <w:rPr>
          <w:lang w:val="fr-FR"/>
        </w:rPr>
        <w:tab/>
      </w:r>
      <w:r>
        <w:rPr>
          <w:lang w:val="fr-FR"/>
        </w:rPr>
        <w:t>Doc</w:t>
      </w:r>
      <w:r w:rsidR="006B24CD">
        <w:rPr>
          <w:lang w:val="fr-FR"/>
        </w:rPr>
        <w:t>ument informel INF.6 (France) « </w:t>
      </w:r>
      <w:r>
        <w:rPr>
          <w:lang w:val="fr-FR"/>
        </w:rPr>
        <w:t xml:space="preserve">Modification selon le </w:t>
      </w:r>
      <w:r w:rsidRPr="00804F59">
        <w:rPr>
          <w:lang w:val="fr-FR"/>
        </w:rPr>
        <w:t xml:space="preserve">paragraphe </w:t>
      </w:r>
      <w:r w:rsidR="008C7AF7">
        <w:rPr>
          <w:lang w:val="fr-FR"/>
        </w:rPr>
        <w:t>6.8.2.4.4</w:t>
      </w:r>
      <w:r w:rsidR="008C7AF7">
        <w:rPr>
          <w:lang w:val="fr-FR"/>
        </w:rPr>
        <w:br/>
      </w:r>
      <w:r>
        <w:rPr>
          <w:lang w:val="fr-FR"/>
        </w:rPr>
        <w:t xml:space="preserve">et transformation selon le </w:t>
      </w:r>
      <w:r w:rsidRPr="00804F59">
        <w:rPr>
          <w:lang w:val="fr-FR"/>
        </w:rPr>
        <w:t xml:space="preserve">paragraphe </w:t>
      </w:r>
      <w:r>
        <w:rPr>
          <w:lang w:val="fr-FR"/>
        </w:rPr>
        <w:t>6.8.2.3.4</w:t>
      </w:r>
      <w:r w:rsidR="006B24CD">
        <w:rPr>
          <w:lang w:val="fr-FR"/>
        </w:rPr>
        <w:t> </w:t>
      </w:r>
      <w:r>
        <w:rPr>
          <w:lang w:val="fr-FR"/>
        </w:rPr>
        <w:t>»</w:t>
      </w:r>
    </w:p>
    <w:p w:rsidR="00C85595" w:rsidRPr="00DE7FC1" w:rsidRDefault="00C85595" w:rsidP="006B24CD">
      <w:pPr>
        <w:pStyle w:val="SingleTxtG"/>
      </w:pPr>
      <w:r>
        <w:rPr>
          <w:lang w:val="fr-FR"/>
        </w:rPr>
        <w:t>18.</w:t>
      </w:r>
      <w:r>
        <w:rPr>
          <w:lang w:val="fr-FR"/>
        </w:rPr>
        <w:tab/>
        <w:t>Il a été expliqué que, dans la version française, un terme incorrect était utilisé pour désigner la transformation d</w:t>
      </w:r>
      <w:r w:rsidR="006B24CD">
        <w:rPr>
          <w:lang w:val="fr-FR"/>
        </w:rPr>
        <w:t>’</w:t>
      </w:r>
      <w:r>
        <w:rPr>
          <w:lang w:val="fr-FR"/>
        </w:rPr>
        <w:t>une citerne non couverte par l</w:t>
      </w:r>
      <w:r w:rsidR="006B24CD">
        <w:rPr>
          <w:lang w:val="fr-FR"/>
        </w:rPr>
        <w:t>’</w:t>
      </w:r>
      <w:r>
        <w:rPr>
          <w:lang w:val="fr-FR"/>
        </w:rPr>
        <w:t>homologation de type initiale. Les experts francophones du Groupe de travail ont appuyé l</w:t>
      </w:r>
      <w:r w:rsidR="006B24CD">
        <w:rPr>
          <w:lang w:val="fr-FR"/>
        </w:rPr>
        <w:t>’</w:t>
      </w:r>
      <w:r>
        <w:rPr>
          <w:lang w:val="fr-FR"/>
        </w:rPr>
        <w:t>amendement proposé, qui s</w:t>
      </w:r>
      <w:r w:rsidR="006B24CD">
        <w:rPr>
          <w:lang w:val="fr-FR"/>
        </w:rPr>
        <w:t>’</w:t>
      </w:r>
      <w:r>
        <w:rPr>
          <w:lang w:val="fr-FR"/>
        </w:rPr>
        <w:t xml:space="preserve">applique uniquement à la version française du RID/ADR. La France a informé le Groupe de travail que la terminologie de la version française de la norme </w:t>
      </w:r>
      <w:r w:rsidR="006C6F8E">
        <w:rPr>
          <w:lang w:val="fr-FR"/>
        </w:rPr>
        <w:t>EN </w:t>
      </w:r>
      <w:r>
        <w:rPr>
          <w:lang w:val="fr-FR"/>
        </w:rPr>
        <w:t xml:space="preserve">12972 allait également être corrigée. </w:t>
      </w:r>
    </w:p>
    <w:p w:rsidR="00C85595" w:rsidRPr="00DE7FC1" w:rsidRDefault="006B24CD" w:rsidP="006B24CD">
      <w:pPr>
        <w:pStyle w:val="H1G"/>
        <w:rPr>
          <w:sz w:val="22"/>
          <w:szCs w:val="22"/>
        </w:rPr>
      </w:pPr>
      <w:r>
        <w:rPr>
          <w:lang w:val="fr-FR"/>
        </w:rPr>
        <w:tab/>
      </w:r>
      <w:r>
        <w:rPr>
          <w:lang w:val="fr-FR"/>
        </w:rPr>
        <w:tab/>
      </w:r>
      <w:r w:rsidR="00C85595">
        <w:rPr>
          <w:lang w:val="fr-FR"/>
        </w:rPr>
        <w:t>Proposition 5</w:t>
      </w:r>
    </w:p>
    <w:p w:rsidR="00C85595" w:rsidRPr="00DE7FC1" w:rsidRDefault="00C85595" w:rsidP="006B24CD">
      <w:pPr>
        <w:pStyle w:val="SingleTxtG"/>
      </w:pPr>
      <w:r>
        <w:rPr>
          <w:lang w:val="fr-FR"/>
        </w:rPr>
        <w:t xml:space="preserve">6.8.2.3.4 </w:t>
      </w:r>
      <w:r>
        <w:rPr>
          <w:lang w:val="fr-FR"/>
        </w:rPr>
        <w:tab/>
        <w:t>Modifier le paragraphe 6.8.2.3.4 dans la version française du RID/ADR 2019 comme suit (les modifications qu</w:t>
      </w:r>
      <w:r w:rsidR="006B24CD">
        <w:rPr>
          <w:lang w:val="fr-FR"/>
        </w:rPr>
        <w:t>’</w:t>
      </w:r>
      <w:r>
        <w:rPr>
          <w:lang w:val="fr-FR"/>
        </w:rPr>
        <w:t>il est proposé d</w:t>
      </w:r>
      <w:r w:rsidR="006B24CD">
        <w:rPr>
          <w:lang w:val="fr-FR"/>
        </w:rPr>
        <w:t>’</w:t>
      </w:r>
      <w:r>
        <w:rPr>
          <w:lang w:val="fr-FR"/>
        </w:rPr>
        <w:t xml:space="preserve">apporter figurent en </w:t>
      </w:r>
      <w:r>
        <w:rPr>
          <w:i/>
          <w:iCs/>
          <w:lang w:val="fr-FR"/>
        </w:rPr>
        <w:t>italique</w:t>
      </w:r>
      <w:r>
        <w:rPr>
          <w:lang w:val="fr-FR"/>
        </w:rPr>
        <w:t xml:space="preserve"> pour les ajouts et en </w:t>
      </w:r>
      <w:r>
        <w:rPr>
          <w:strike/>
          <w:lang w:val="fr-FR"/>
        </w:rPr>
        <w:t>caractères biffés</w:t>
      </w:r>
      <w:r>
        <w:rPr>
          <w:lang w:val="fr-FR"/>
        </w:rPr>
        <w:t xml:space="preserve"> pour les suppressions)</w:t>
      </w:r>
      <w:r w:rsidR="00DA7133">
        <w:rPr>
          <w:lang w:val="fr-FR"/>
        </w:rPr>
        <w:t> :</w:t>
      </w:r>
    </w:p>
    <w:p w:rsidR="00C85595" w:rsidRPr="00DE7FC1" w:rsidRDefault="00C85595" w:rsidP="006B24CD">
      <w:pPr>
        <w:pStyle w:val="SingleTxtG"/>
        <w:rPr>
          <w:rFonts w:eastAsia="SimSun"/>
        </w:rPr>
      </w:pPr>
      <w:r>
        <w:rPr>
          <w:lang w:val="fr-FR"/>
        </w:rPr>
        <w:t>« 6.8.2.3.4</w:t>
      </w:r>
      <w:r>
        <w:rPr>
          <w:lang w:val="fr-FR"/>
        </w:rPr>
        <w:tab/>
        <w:t xml:space="preserve">En cas de </w:t>
      </w:r>
      <w:r>
        <w:rPr>
          <w:i/>
          <w:iCs/>
          <w:lang w:val="fr-FR"/>
        </w:rPr>
        <w:t>transformation</w:t>
      </w:r>
      <w:r>
        <w:rPr>
          <w:lang w:val="fr-FR"/>
        </w:rPr>
        <w:t xml:space="preserve"> </w:t>
      </w:r>
      <w:r>
        <w:rPr>
          <w:strike/>
          <w:lang w:val="fr-FR"/>
        </w:rPr>
        <w:t>modification</w:t>
      </w:r>
      <w:r>
        <w:rPr>
          <w:lang w:val="fr-FR"/>
        </w:rPr>
        <w:t xml:space="preserve"> d</w:t>
      </w:r>
      <w:r w:rsidR="006B24CD">
        <w:rPr>
          <w:lang w:val="fr-FR"/>
        </w:rPr>
        <w:t>’</w:t>
      </w:r>
      <w:r>
        <w:rPr>
          <w:lang w:val="fr-FR"/>
        </w:rPr>
        <w:t xml:space="preserve">une citerne avec un agrément de type en cours de validité, ayant expiré ou ayant été retiré, les épreuves, contrôles et agrément sont limités aux parties de la citerne qui ont été modifiées. </w:t>
      </w:r>
    </w:p>
    <w:p w:rsidR="00C85595" w:rsidRPr="00DE7FC1" w:rsidRDefault="00C85595" w:rsidP="006B24CD">
      <w:pPr>
        <w:pStyle w:val="SingleTxtG"/>
        <w:rPr>
          <w:rFonts w:eastAsia="SimSun"/>
        </w:rPr>
      </w:pPr>
      <w:r>
        <w:rPr>
          <w:lang w:val="fr-FR"/>
        </w:rPr>
        <w:lastRenderedPageBreak/>
        <w:t>(…) Un certificat approuvant la transformation modification doit être délivré par l</w:t>
      </w:r>
      <w:r w:rsidR="006B24CD">
        <w:rPr>
          <w:lang w:val="fr-FR"/>
        </w:rPr>
        <w:t>’</w:t>
      </w:r>
      <w:r>
        <w:rPr>
          <w:lang w:val="fr-FR"/>
        </w:rPr>
        <w:t>autorité compétente … ».</w:t>
      </w:r>
    </w:p>
    <w:p w:rsidR="00C85595" w:rsidRPr="00DE7FC1" w:rsidRDefault="00C85595" w:rsidP="006B24CD">
      <w:pPr>
        <w:pStyle w:val="H23G"/>
      </w:pPr>
      <w:r>
        <w:rPr>
          <w:lang w:val="fr-FR"/>
        </w:rPr>
        <w:tab/>
        <w:t>Point 8</w:t>
      </w:r>
      <w:r w:rsidR="006B24CD">
        <w:rPr>
          <w:lang w:val="fr-FR"/>
        </w:rPr>
        <w:tab/>
      </w:r>
      <w:r>
        <w:rPr>
          <w:lang w:val="fr-FR"/>
        </w:rPr>
        <w:t>Document informel INF.10 (Pays-Bas) «</w:t>
      </w:r>
      <w:r w:rsidR="006B24CD">
        <w:rPr>
          <w:lang w:val="fr-FR"/>
        </w:rPr>
        <w:t> </w:t>
      </w:r>
      <w:r>
        <w:rPr>
          <w:lang w:val="fr-FR"/>
        </w:rPr>
        <w:t>Interprétation de l</w:t>
      </w:r>
      <w:r w:rsidR="006B24CD">
        <w:rPr>
          <w:lang w:val="fr-FR"/>
        </w:rPr>
        <w:t>’</w:t>
      </w:r>
      <w:r>
        <w:rPr>
          <w:lang w:val="fr-FR"/>
        </w:rPr>
        <w:t xml:space="preserve">objectif et de la visibilité des indications prévues aux </w:t>
      </w:r>
      <w:r w:rsidRPr="00804F59">
        <w:rPr>
          <w:lang w:val="fr-FR"/>
        </w:rPr>
        <w:t>paragraphe</w:t>
      </w:r>
      <w:r>
        <w:rPr>
          <w:lang w:val="fr-FR"/>
        </w:rPr>
        <w:t>s</w:t>
      </w:r>
      <w:r w:rsidRPr="00804F59">
        <w:rPr>
          <w:lang w:val="fr-FR"/>
        </w:rPr>
        <w:t xml:space="preserve"> </w:t>
      </w:r>
      <w:r w:rsidR="006B24CD">
        <w:rPr>
          <w:lang w:val="fr-FR"/>
        </w:rPr>
        <w:t>6.8.2.5.2 et 6.8.3.5.6 </w:t>
      </w:r>
      <w:r>
        <w:rPr>
          <w:lang w:val="fr-FR"/>
        </w:rPr>
        <w:t>»</w:t>
      </w:r>
    </w:p>
    <w:p w:rsidR="00C85595" w:rsidRPr="00A557FA" w:rsidRDefault="00C85595" w:rsidP="006B24CD">
      <w:pPr>
        <w:pStyle w:val="SingleTxtG"/>
        <w:rPr>
          <w:rStyle w:val="SingleTxtGCar"/>
        </w:rPr>
      </w:pPr>
      <w:r>
        <w:rPr>
          <w:lang w:val="fr-FR"/>
        </w:rPr>
        <w:t>19.</w:t>
      </w:r>
      <w:r>
        <w:rPr>
          <w:lang w:val="fr-FR"/>
        </w:rPr>
        <w:tab/>
        <w:t xml:space="preserve">Les Pays-Bas ont demandé si les indications prescrites aux </w:t>
      </w:r>
      <w:r w:rsidRPr="00804F59">
        <w:rPr>
          <w:lang w:val="fr-FR"/>
        </w:rPr>
        <w:t>paragraphe</w:t>
      </w:r>
      <w:r>
        <w:rPr>
          <w:lang w:val="fr-FR"/>
        </w:rPr>
        <w:t>s</w:t>
      </w:r>
      <w:r w:rsidRPr="00804F59">
        <w:rPr>
          <w:lang w:val="fr-FR"/>
        </w:rPr>
        <w:t xml:space="preserve"> </w:t>
      </w:r>
      <w:r>
        <w:rPr>
          <w:lang w:val="fr-FR"/>
        </w:rPr>
        <w:t>6.8.2.5.2 et</w:t>
      </w:r>
      <w:r w:rsidR="00DA7133">
        <w:rPr>
          <w:lang w:val="fr-FR"/>
        </w:rPr>
        <w:t xml:space="preserve"> </w:t>
      </w:r>
      <w:r>
        <w:rPr>
          <w:lang w:val="fr-FR"/>
        </w:rPr>
        <w:t>6.8.3.5.6 devaient être visibles à l</w:t>
      </w:r>
      <w:r w:rsidR="006B24CD">
        <w:rPr>
          <w:lang w:val="fr-FR"/>
        </w:rPr>
        <w:t>’</w:t>
      </w:r>
      <w:r>
        <w:rPr>
          <w:lang w:val="fr-FR"/>
        </w:rPr>
        <w:t>extérieur de la citerne lors du transport. Les inscriptions prévues au paragraphe 6.8.3.5.6 pour les gaz dont le transport est autorisé étaient notamment parfois placées dans le coffre du véhicule-citerne, et étaient donc masquées par les portes pendant le transport. En outre, le paragraphe 4.3.3.3.2 devrait également être réexaminé, car il prescrit que les indications relatives aux gaz qui ne sont pas transportés doivent être « masquées ».</w:t>
      </w:r>
    </w:p>
    <w:p w:rsidR="00C85595" w:rsidRPr="00A557FA" w:rsidRDefault="00C85595" w:rsidP="006B24CD">
      <w:pPr>
        <w:pStyle w:val="SingleTxtG"/>
        <w:rPr>
          <w:rStyle w:val="SingleTxtGCar"/>
        </w:rPr>
      </w:pPr>
      <w:r>
        <w:rPr>
          <w:lang w:val="fr-FR"/>
        </w:rPr>
        <w:t>20.</w:t>
      </w:r>
      <w:r>
        <w:rPr>
          <w:lang w:val="fr-FR"/>
        </w:rPr>
        <w:tab/>
        <w:t xml:space="preserve">Il a été constaté que cela ne posait pas problème dans le cas des wagons-citernes, puisque les panneaux rabattables étaient fixés sur les côtés du wagon-citerne et les indications relatives au gaz transporté étaient donc visibles. Plusieurs experts ont fait observer que les inscriptions, y compris celles prévues au </w:t>
      </w:r>
      <w:r w:rsidRPr="00804F59">
        <w:rPr>
          <w:lang w:val="fr-FR"/>
        </w:rPr>
        <w:t xml:space="preserve">paragraphe </w:t>
      </w:r>
      <w:r>
        <w:rPr>
          <w:lang w:val="fr-FR"/>
        </w:rPr>
        <w:t xml:space="preserve">6.8.3.5.6, étaient vérifiées par les autorités de contrôle et ne devaient pas être masquées. </w:t>
      </w:r>
    </w:p>
    <w:p w:rsidR="00C85595" w:rsidRPr="00A557FA" w:rsidRDefault="00C85595" w:rsidP="006B24CD">
      <w:pPr>
        <w:pStyle w:val="SingleTxtG"/>
        <w:rPr>
          <w:rStyle w:val="SingleTxtGCar"/>
        </w:rPr>
      </w:pPr>
      <w:r>
        <w:rPr>
          <w:lang w:val="fr-FR"/>
        </w:rPr>
        <w:t>21.</w:t>
      </w:r>
      <w:r>
        <w:rPr>
          <w:lang w:val="fr-FR"/>
        </w:rPr>
        <w:tab/>
        <w:t xml:space="preserve">En ce qui concerne les prescriptions du </w:t>
      </w:r>
      <w:r w:rsidRPr="00804F59">
        <w:rPr>
          <w:lang w:val="fr-FR"/>
        </w:rPr>
        <w:t xml:space="preserve">paragraphe </w:t>
      </w:r>
      <w:r>
        <w:rPr>
          <w:lang w:val="fr-FR"/>
        </w:rPr>
        <w:t>4.3.3.3.2 visant à masquer les noms des gaz non transportés, il a été estimé qu</w:t>
      </w:r>
      <w:r w:rsidR="006B24CD">
        <w:rPr>
          <w:lang w:val="fr-FR"/>
        </w:rPr>
        <w:t>’</w:t>
      </w:r>
      <w:r>
        <w:rPr>
          <w:lang w:val="fr-FR"/>
        </w:rPr>
        <w:t>elles n</w:t>
      </w:r>
      <w:r w:rsidR="006B24CD">
        <w:rPr>
          <w:lang w:val="fr-FR"/>
        </w:rPr>
        <w:t>’</w:t>
      </w:r>
      <w:r>
        <w:rPr>
          <w:lang w:val="fr-FR"/>
        </w:rPr>
        <w:t>étaient pas d</w:t>
      </w:r>
      <w:r w:rsidR="006B24CD">
        <w:rPr>
          <w:lang w:val="fr-FR"/>
        </w:rPr>
        <w:t>’</w:t>
      </w:r>
      <w:r>
        <w:rPr>
          <w:lang w:val="fr-FR"/>
        </w:rPr>
        <w:t>une grande utilité étant donné que les informations figurent sur la plaque orange et que le gaz et la masse effectivement chargés sont indiqués dans le document de transport.</w:t>
      </w:r>
    </w:p>
    <w:p w:rsidR="00C85595" w:rsidRPr="00A557FA" w:rsidRDefault="00C85595" w:rsidP="006B24CD">
      <w:pPr>
        <w:pStyle w:val="SingleTxtG"/>
        <w:rPr>
          <w:rStyle w:val="SingleTxtGCar"/>
        </w:rPr>
      </w:pPr>
      <w:r>
        <w:rPr>
          <w:lang w:val="fr-FR"/>
        </w:rPr>
        <w:t>22.</w:t>
      </w:r>
      <w:r>
        <w:rPr>
          <w:lang w:val="fr-FR"/>
        </w:rPr>
        <w:tab/>
        <w:t xml:space="preserve">Il a été proposé de réexaminer les prescriptions du </w:t>
      </w:r>
      <w:r w:rsidRPr="00804F59">
        <w:rPr>
          <w:lang w:val="fr-FR"/>
        </w:rPr>
        <w:t xml:space="preserve">paragraphe </w:t>
      </w:r>
      <w:r>
        <w:rPr>
          <w:lang w:val="fr-FR"/>
        </w:rPr>
        <w:t>4.3.3.3.2 lors d</w:t>
      </w:r>
      <w:r w:rsidR="006B24CD">
        <w:rPr>
          <w:lang w:val="fr-FR"/>
        </w:rPr>
        <w:t>’</w:t>
      </w:r>
      <w:r>
        <w:rPr>
          <w:lang w:val="fr-FR"/>
        </w:rPr>
        <w:t>une session ultérieure et les Pays-Bas ont été invités à établir un document officiel à cette fin.</w:t>
      </w:r>
    </w:p>
    <w:p w:rsidR="00C85595" w:rsidRPr="00DE7FC1" w:rsidRDefault="00C85595" w:rsidP="006B24CD">
      <w:pPr>
        <w:pStyle w:val="H23G"/>
      </w:pPr>
      <w:r>
        <w:rPr>
          <w:lang w:val="fr-FR"/>
        </w:rPr>
        <w:tab/>
        <w:t>Point 9</w:t>
      </w:r>
      <w:r>
        <w:rPr>
          <w:lang w:val="fr-FR"/>
        </w:rPr>
        <w:tab/>
        <w:t xml:space="preserve">Document </w:t>
      </w:r>
      <w:r w:rsidR="006B24CD">
        <w:rPr>
          <w:lang w:val="fr-FR"/>
        </w:rPr>
        <w:t>informel INF.11 (Royaume-Uni) « </w:t>
      </w:r>
      <w:r w:rsidR="009D6F3B">
        <w:rPr>
          <w:lang w:val="fr-FR"/>
        </w:rPr>
        <w:t>Rapport de la septième session</w:t>
      </w:r>
      <w:r w:rsidR="009D6F3B">
        <w:rPr>
          <w:lang w:val="fr-FR"/>
        </w:rPr>
        <w:br/>
      </w:r>
      <w:r>
        <w:rPr>
          <w:lang w:val="fr-FR"/>
        </w:rPr>
        <w:t>du groupe de travail informel sur le cont</w:t>
      </w:r>
      <w:r w:rsidR="006B24CD">
        <w:rPr>
          <w:lang w:val="fr-FR"/>
        </w:rPr>
        <w:t>rôle et l’agrément des citernes </w:t>
      </w:r>
      <w:r>
        <w:rPr>
          <w:lang w:val="fr-FR"/>
        </w:rPr>
        <w:t>»</w:t>
      </w:r>
    </w:p>
    <w:p w:rsidR="00C85595" w:rsidRPr="00A557FA" w:rsidRDefault="00C85595" w:rsidP="006B24CD">
      <w:pPr>
        <w:pStyle w:val="SingleTxtG"/>
        <w:rPr>
          <w:rStyle w:val="SingleTxtGCar"/>
        </w:rPr>
      </w:pPr>
      <w:r>
        <w:rPr>
          <w:lang w:val="fr-FR"/>
        </w:rPr>
        <w:t>23.</w:t>
      </w:r>
      <w:r>
        <w:rPr>
          <w:lang w:val="fr-FR"/>
        </w:rPr>
        <w:tab/>
        <w:t>Le Président du groupe de travail informel sur le contrôle et l</w:t>
      </w:r>
      <w:r w:rsidR="006B24CD">
        <w:rPr>
          <w:lang w:val="fr-FR"/>
        </w:rPr>
        <w:t>’</w:t>
      </w:r>
      <w:r>
        <w:rPr>
          <w:lang w:val="fr-FR"/>
        </w:rPr>
        <w:t>agrément des citernes a rendu compte des débats tenus lors de la septième réunion, qui a eu lieu à Londres du 12 au 14</w:t>
      </w:r>
      <w:r w:rsidR="008C7AF7">
        <w:rPr>
          <w:lang w:val="fr-FR"/>
        </w:rPr>
        <w:t> </w:t>
      </w:r>
      <w:r>
        <w:rPr>
          <w:lang w:val="fr-FR"/>
        </w:rPr>
        <w:t>décembre 2017. Il a été indiqué que le groupe de travail informel avait examiné les objectifs du projet, en se fondant sur un exposé présenté par les Pays-Bas. Il a ensuite élaboré le libellé</w:t>
      </w:r>
      <w:r w:rsidR="00DA7133">
        <w:rPr>
          <w:lang w:val="fr-FR"/>
        </w:rPr>
        <w:t xml:space="preserve"> </w:t>
      </w:r>
      <w:r>
        <w:rPr>
          <w:lang w:val="fr-FR"/>
        </w:rPr>
        <w:t>de la section</w:t>
      </w:r>
      <w:r w:rsidRPr="004D0E39">
        <w:rPr>
          <w:lang w:val="fr-FR"/>
        </w:rPr>
        <w:t xml:space="preserve"> </w:t>
      </w:r>
      <w:r>
        <w:rPr>
          <w:lang w:val="fr-FR"/>
        </w:rPr>
        <w:t>1.8.7 et du chapitre 6.8 et précisé que les contrôles facultatifs lors de la mise en service s</w:t>
      </w:r>
      <w:r w:rsidR="006B24CD">
        <w:rPr>
          <w:lang w:val="fr-FR"/>
        </w:rPr>
        <w:t>’</w:t>
      </w:r>
      <w:r>
        <w:rPr>
          <w:lang w:val="fr-FR"/>
        </w:rPr>
        <w:t>appliquaient uniquement aux citernes. Sur la base de propositions faites par l</w:t>
      </w:r>
      <w:r w:rsidR="006B24CD">
        <w:rPr>
          <w:lang w:val="fr-FR"/>
        </w:rPr>
        <w:t>’</w:t>
      </w:r>
      <w:r>
        <w:rPr>
          <w:lang w:val="fr-FR"/>
        </w:rPr>
        <w:t>Autriche, il a été convenu que les experts (individus) pouvaient également être considérés comme un organisme de contrôle s</w:t>
      </w:r>
      <w:r w:rsidR="006B24CD">
        <w:rPr>
          <w:lang w:val="fr-FR"/>
        </w:rPr>
        <w:t>’</w:t>
      </w:r>
      <w:r>
        <w:rPr>
          <w:lang w:val="fr-FR"/>
        </w:rPr>
        <w:t>ils satisfaisaient aux exigences minimales. La rédaction d</w:t>
      </w:r>
      <w:r w:rsidR="006B24CD">
        <w:rPr>
          <w:lang w:val="fr-FR"/>
        </w:rPr>
        <w:t>’</w:t>
      </w:r>
      <w:r>
        <w:rPr>
          <w:lang w:val="fr-FR"/>
        </w:rPr>
        <w:t>une version révisée</w:t>
      </w:r>
      <w:r w:rsidR="00DA7133">
        <w:rPr>
          <w:lang w:val="fr-FR"/>
        </w:rPr>
        <w:t xml:space="preserve"> </w:t>
      </w:r>
      <w:r w:rsidRPr="000A305B">
        <w:rPr>
          <w:lang w:val="fr-FR"/>
        </w:rPr>
        <w:t>de la section</w:t>
      </w:r>
      <w:r>
        <w:rPr>
          <w:lang w:val="fr-FR"/>
        </w:rPr>
        <w:t xml:space="preserve"> 1.8.6 a été confiée à un sous-groupe dirigé par la République tchèque et les Pays-Bas, qui s</w:t>
      </w:r>
      <w:r w:rsidR="006B24CD">
        <w:rPr>
          <w:lang w:val="fr-FR"/>
        </w:rPr>
        <w:t>’</w:t>
      </w:r>
      <w:r>
        <w:rPr>
          <w:lang w:val="fr-FR"/>
        </w:rPr>
        <w:t>est réuni à Prague les 5 et 6 mars. Au cours de la réunion de Londres, d</w:t>
      </w:r>
      <w:r w:rsidR="006B24CD">
        <w:rPr>
          <w:lang w:val="fr-FR"/>
        </w:rPr>
        <w:t>’</w:t>
      </w:r>
      <w:r>
        <w:rPr>
          <w:lang w:val="fr-FR"/>
        </w:rPr>
        <w:t>autres sujets ont également été abordés, tels que les plaques de citernes, les procédures de soudage, les méthodes d</w:t>
      </w:r>
      <w:r w:rsidR="006B24CD">
        <w:rPr>
          <w:lang w:val="fr-FR"/>
        </w:rPr>
        <w:t>’</w:t>
      </w:r>
      <w:r>
        <w:rPr>
          <w:lang w:val="fr-FR"/>
        </w:rPr>
        <w:t>épreuve non destructives sur les aciers inoxydables austéno-ferritiques, la suppression de certains contrôles initiaux et la construction de véhicules EX. La huitiè</w:t>
      </w:r>
      <w:r w:rsidR="008D4D2F">
        <w:rPr>
          <w:lang w:val="fr-FR"/>
        </w:rPr>
        <w:t>me session se tiendra du 2 au 4 </w:t>
      </w:r>
      <w:r>
        <w:rPr>
          <w:lang w:val="fr-FR"/>
        </w:rPr>
        <w:t>mai à Londres.</w:t>
      </w:r>
    </w:p>
    <w:p w:rsidR="00C85595" w:rsidRPr="00A557FA" w:rsidRDefault="00C85595" w:rsidP="006B24CD">
      <w:pPr>
        <w:pStyle w:val="SingleTxtG"/>
        <w:rPr>
          <w:rStyle w:val="SingleTxtGCar"/>
        </w:rPr>
      </w:pPr>
      <w:r>
        <w:rPr>
          <w:lang w:val="fr-FR"/>
        </w:rPr>
        <w:t>24.</w:t>
      </w:r>
      <w:r>
        <w:rPr>
          <w:lang w:val="fr-FR"/>
        </w:rPr>
        <w:tab/>
        <w:t>Les Pays-Bas ont indiqué que le texte révisé</w:t>
      </w:r>
      <w:r w:rsidR="00DA7133">
        <w:rPr>
          <w:lang w:val="fr-FR"/>
        </w:rPr>
        <w:t xml:space="preserve"> </w:t>
      </w:r>
      <w:r w:rsidRPr="000A305B">
        <w:rPr>
          <w:lang w:val="fr-FR"/>
        </w:rPr>
        <w:t>de la section</w:t>
      </w:r>
      <w:r w:rsidR="008D4D2F">
        <w:rPr>
          <w:lang w:val="fr-FR"/>
        </w:rPr>
        <w:t> </w:t>
      </w:r>
      <w:r>
        <w:rPr>
          <w:lang w:val="fr-FR"/>
        </w:rPr>
        <w:t>1.8.6, élaboré à la conférence de Prague, devrait être disponible pour la huitième session du groupe de travail informel. La France a fait savoir qu</w:t>
      </w:r>
      <w:r w:rsidR="006B24CD">
        <w:rPr>
          <w:lang w:val="fr-FR"/>
        </w:rPr>
        <w:t>’</w:t>
      </w:r>
      <w:r>
        <w:rPr>
          <w:lang w:val="fr-FR"/>
        </w:rPr>
        <w:t>une nouvelle version du texte intégral</w:t>
      </w:r>
      <w:r w:rsidR="00DA7133">
        <w:rPr>
          <w:lang w:val="fr-FR"/>
        </w:rPr>
        <w:t xml:space="preserve"> </w:t>
      </w:r>
      <w:r w:rsidR="008C7AF7">
        <w:rPr>
          <w:lang w:val="fr-FR"/>
        </w:rPr>
        <w:t>de la section </w:t>
      </w:r>
      <w:r>
        <w:rPr>
          <w:lang w:val="fr-FR"/>
        </w:rPr>
        <w:t>1.8.7, comprenant les amendements adoptés à la septième session, sera également disponible à la huitième session et l</w:t>
      </w:r>
      <w:r w:rsidR="006B24CD">
        <w:rPr>
          <w:lang w:val="fr-FR"/>
        </w:rPr>
        <w:t>’</w:t>
      </w:r>
      <w:r>
        <w:rPr>
          <w:lang w:val="fr-FR"/>
        </w:rPr>
        <w:t>expert de l</w:t>
      </w:r>
      <w:r w:rsidR="006B24CD">
        <w:rPr>
          <w:lang w:val="fr-FR"/>
        </w:rPr>
        <w:t>’</w:t>
      </w:r>
      <w:r>
        <w:rPr>
          <w:lang w:val="fr-FR"/>
        </w:rPr>
        <w:t>Autriche a fait observer que, compte tenu du volume de travail et des contraintes de temps, le groupe de travail informel devrait s</w:t>
      </w:r>
      <w:r w:rsidR="006B24CD">
        <w:rPr>
          <w:lang w:val="fr-FR"/>
        </w:rPr>
        <w:t>’</w:t>
      </w:r>
      <w:r>
        <w:rPr>
          <w:lang w:val="fr-FR"/>
        </w:rPr>
        <w:t>en tenir à l</w:t>
      </w:r>
      <w:r w:rsidR="006B24CD">
        <w:rPr>
          <w:lang w:val="fr-FR"/>
        </w:rPr>
        <w:t>’</w:t>
      </w:r>
      <w:r>
        <w:rPr>
          <w:lang w:val="fr-FR"/>
        </w:rPr>
        <w:t xml:space="preserve">examen des </w:t>
      </w:r>
      <w:r w:rsidRPr="000A305B">
        <w:rPr>
          <w:lang w:val="fr-FR"/>
        </w:rPr>
        <w:t>section</w:t>
      </w:r>
      <w:r>
        <w:rPr>
          <w:lang w:val="fr-FR"/>
        </w:rPr>
        <w:t>s</w:t>
      </w:r>
      <w:r w:rsidR="008D4D2F">
        <w:rPr>
          <w:lang w:val="fr-FR"/>
        </w:rPr>
        <w:t> </w:t>
      </w:r>
      <w:r>
        <w:rPr>
          <w:lang w:val="fr-FR"/>
        </w:rPr>
        <w:t>1.8.6, 1.8.7 et 6.8. Le Groupe de travail des</w:t>
      </w:r>
      <w:r w:rsidR="00DA7133">
        <w:rPr>
          <w:lang w:val="fr-FR"/>
        </w:rPr>
        <w:t xml:space="preserve"> </w:t>
      </w:r>
      <w:r>
        <w:rPr>
          <w:lang w:val="fr-FR"/>
        </w:rPr>
        <w:t>citernes a appuyé la poursuite des travaux, sous réserve de l</w:t>
      </w:r>
      <w:r w:rsidR="006B24CD">
        <w:rPr>
          <w:lang w:val="fr-FR"/>
        </w:rPr>
        <w:t>’</w:t>
      </w:r>
      <w:r>
        <w:rPr>
          <w:lang w:val="fr-FR"/>
        </w:rPr>
        <w:t>approbation de la Réunion commune.</w:t>
      </w:r>
    </w:p>
    <w:p w:rsidR="00C85595" w:rsidRPr="00DE7FC1" w:rsidRDefault="00C85595" w:rsidP="006B24CD">
      <w:pPr>
        <w:pStyle w:val="H23G"/>
      </w:pPr>
      <w:r>
        <w:rPr>
          <w:lang w:val="fr-FR"/>
        </w:rPr>
        <w:tab/>
        <w:t>Point 10</w:t>
      </w:r>
      <w:r>
        <w:rPr>
          <w:lang w:val="fr-FR"/>
        </w:rPr>
        <w:tab/>
        <w:t>D</w:t>
      </w:r>
      <w:r w:rsidR="006B24CD">
        <w:rPr>
          <w:lang w:val="fr-FR"/>
        </w:rPr>
        <w:t>ocument informel INF.17 (UIC) « </w:t>
      </w:r>
      <w:r>
        <w:rPr>
          <w:lang w:val="fr-FR"/>
        </w:rPr>
        <w:t>Mise en œuvre des obligations de l</w:t>
      </w:r>
      <w:r w:rsidR="006B24CD">
        <w:rPr>
          <w:lang w:val="fr-FR"/>
        </w:rPr>
        <w:t>’</w:t>
      </w:r>
      <w:r>
        <w:rPr>
          <w:lang w:val="fr-FR"/>
        </w:rPr>
        <w:t>expéditeur selon</w:t>
      </w:r>
      <w:r w:rsidR="00DA7133">
        <w:rPr>
          <w:lang w:val="fr-FR"/>
        </w:rPr>
        <w:t xml:space="preserve"> </w:t>
      </w:r>
      <w:r>
        <w:rPr>
          <w:lang w:val="fr-FR"/>
        </w:rPr>
        <w:t>le paragraphe 5.4.1.2.2 d) RID (</w:t>
      </w:r>
      <w:r w:rsidR="006B24CD">
        <w:rPr>
          <w:lang w:val="fr-FR"/>
        </w:rPr>
        <w:t>indication du temps de retenue) </w:t>
      </w:r>
      <w:r>
        <w:rPr>
          <w:lang w:val="fr-FR"/>
        </w:rPr>
        <w:t>»</w:t>
      </w:r>
    </w:p>
    <w:p w:rsidR="00C85595" w:rsidRPr="00DE7FC1" w:rsidRDefault="00C85595" w:rsidP="006B24CD">
      <w:pPr>
        <w:pStyle w:val="SingleTxtG"/>
      </w:pPr>
      <w:r>
        <w:rPr>
          <w:lang w:val="fr-FR"/>
        </w:rPr>
        <w:t>25.</w:t>
      </w:r>
      <w:r>
        <w:rPr>
          <w:lang w:val="fr-FR"/>
        </w:rPr>
        <w:tab/>
        <w:t>L</w:t>
      </w:r>
      <w:r w:rsidR="006B24CD">
        <w:rPr>
          <w:lang w:val="fr-FR"/>
        </w:rPr>
        <w:t>’</w:t>
      </w:r>
      <w:r>
        <w:rPr>
          <w:lang w:val="fr-FR"/>
        </w:rPr>
        <w:t>UIC a demandé si l</w:t>
      </w:r>
      <w:r w:rsidR="006B24CD">
        <w:rPr>
          <w:lang w:val="fr-FR"/>
        </w:rPr>
        <w:t>’</w:t>
      </w:r>
      <w:r>
        <w:rPr>
          <w:lang w:val="fr-FR"/>
        </w:rPr>
        <w:t>obligation d</w:t>
      </w:r>
      <w:r w:rsidR="006B24CD">
        <w:rPr>
          <w:lang w:val="fr-FR"/>
        </w:rPr>
        <w:t>’</w:t>
      </w:r>
      <w:r>
        <w:rPr>
          <w:lang w:val="fr-FR"/>
        </w:rPr>
        <w:t xml:space="preserve">inscrire le temps de retenue réel dans le document de transport établie au </w:t>
      </w:r>
      <w:r w:rsidR="008D4D2F">
        <w:rPr>
          <w:lang w:val="fr-FR"/>
        </w:rPr>
        <w:t>paragraphe </w:t>
      </w:r>
      <w:r>
        <w:rPr>
          <w:lang w:val="fr-FR"/>
        </w:rPr>
        <w:t>5.4.1.2.2</w:t>
      </w:r>
      <w:r w:rsidR="008C7AF7">
        <w:rPr>
          <w:lang w:val="fr-FR"/>
        </w:rPr>
        <w:t> </w:t>
      </w:r>
      <w:r>
        <w:rPr>
          <w:lang w:val="fr-FR"/>
        </w:rPr>
        <w:t xml:space="preserve">d) était applicable aux citernes vides non nettoyées, en particulier dans la mesure où, lorsque cette disposition avait été présentée </w:t>
      </w:r>
      <w:r>
        <w:rPr>
          <w:lang w:val="fr-FR"/>
        </w:rPr>
        <w:lastRenderedPageBreak/>
        <w:t>pour la première fois, il avait été établi que l</w:t>
      </w:r>
      <w:r w:rsidR="006B24CD">
        <w:rPr>
          <w:lang w:val="fr-FR"/>
        </w:rPr>
        <w:t>’</w:t>
      </w:r>
      <w:r>
        <w:rPr>
          <w:lang w:val="fr-FR"/>
        </w:rPr>
        <w:t>EIGA entreprendrait des travaux supplémentaires sur la question des citernes vides.</w:t>
      </w:r>
    </w:p>
    <w:p w:rsidR="00C85595" w:rsidRPr="00DE7FC1" w:rsidRDefault="00C85595" w:rsidP="006B24CD">
      <w:pPr>
        <w:pStyle w:val="SingleTxtG"/>
      </w:pPr>
      <w:r>
        <w:rPr>
          <w:lang w:val="fr-FR"/>
        </w:rPr>
        <w:t>26.</w:t>
      </w:r>
      <w:r>
        <w:rPr>
          <w:lang w:val="fr-FR"/>
        </w:rPr>
        <w:tab/>
        <w:t>Comme indiqué dans le document INF.17, le Groupe de travail a également estimé qu</w:t>
      </w:r>
      <w:r w:rsidR="006B24CD">
        <w:rPr>
          <w:lang w:val="fr-FR"/>
        </w:rPr>
        <w:t>’</w:t>
      </w:r>
      <w:r>
        <w:rPr>
          <w:lang w:val="fr-FR"/>
        </w:rPr>
        <w:t>il était important de déterminer le temps de retenue réel, bien que cela puisse être compliqué en raison du contenu limité des réservoirs et des conditions de trafic inconnues. Il a été fait référence au document d</w:t>
      </w:r>
      <w:r w:rsidR="006B24CD">
        <w:rPr>
          <w:lang w:val="fr-FR"/>
        </w:rPr>
        <w:t>’</w:t>
      </w:r>
      <w:r>
        <w:rPr>
          <w:lang w:val="fr-FR"/>
        </w:rPr>
        <w:t>orientation de l</w:t>
      </w:r>
      <w:r w:rsidR="006B24CD">
        <w:rPr>
          <w:lang w:val="fr-FR"/>
        </w:rPr>
        <w:t>’</w:t>
      </w:r>
      <w:r>
        <w:rPr>
          <w:lang w:val="fr-FR"/>
        </w:rPr>
        <w:t>EIGA, qui est mentionné dans la note de bas de page</w:t>
      </w:r>
      <w:r w:rsidR="008C7AF7">
        <w:rPr>
          <w:lang w:val="fr-FR"/>
        </w:rPr>
        <w:t> </w:t>
      </w:r>
      <w:r>
        <w:rPr>
          <w:lang w:val="fr-FR"/>
        </w:rPr>
        <w:t>4 du paragraphe</w:t>
      </w:r>
      <w:r w:rsidR="008C7AF7">
        <w:rPr>
          <w:lang w:val="fr-FR"/>
        </w:rPr>
        <w:t> </w:t>
      </w:r>
      <w:r>
        <w:rPr>
          <w:lang w:val="fr-FR"/>
        </w:rPr>
        <w:t>4.3.3.5 e), et il a été proposé que l</w:t>
      </w:r>
      <w:r w:rsidR="006B24CD">
        <w:rPr>
          <w:lang w:val="fr-FR"/>
        </w:rPr>
        <w:t>’</w:t>
      </w:r>
      <w:r>
        <w:rPr>
          <w:lang w:val="fr-FR"/>
        </w:rPr>
        <w:t>EIGA examine ce document en tenant compte de la question soulevée par l</w:t>
      </w:r>
      <w:r w:rsidR="006B24CD">
        <w:rPr>
          <w:lang w:val="fr-FR"/>
        </w:rPr>
        <w:t>’</w:t>
      </w:r>
      <w:r>
        <w:rPr>
          <w:lang w:val="fr-FR"/>
        </w:rPr>
        <w:t>UIC.</w:t>
      </w:r>
    </w:p>
    <w:p w:rsidR="00C85595" w:rsidRPr="00DE7FC1" w:rsidRDefault="00C85595" w:rsidP="006B24CD">
      <w:pPr>
        <w:pStyle w:val="H23G"/>
      </w:pPr>
      <w:r>
        <w:rPr>
          <w:lang w:val="fr-FR"/>
        </w:rPr>
        <w:tab/>
        <w:t>Point 11</w:t>
      </w:r>
      <w:r w:rsidR="006B24CD">
        <w:rPr>
          <w:lang w:val="fr-FR"/>
        </w:rPr>
        <w:tab/>
      </w:r>
      <w:r>
        <w:rPr>
          <w:lang w:val="fr-FR"/>
        </w:rPr>
        <w:t>Documents informels INF.19 (OTIF) «</w:t>
      </w:r>
      <w:r w:rsidR="006B24CD">
        <w:rPr>
          <w:lang w:val="fr-FR"/>
        </w:rPr>
        <w:t> </w:t>
      </w:r>
      <w:r>
        <w:rPr>
          <w:lang w:val="fr-FR"/>
        </w:rPr>
        <w:t>Très grand conteneurs-citernes</w:t>
      </w:r>
      <w:r w:rsidR="006B24CD">
        <w:rPr>
          <w:lang w:val="fr-FR"/>
        </w:rPr>
        <w:t> </w:t>
      </w:r>
      <w:r>
        <w:rPr>
          <w:lang w:val="fr-FR"/>
        </w:rPr>
        <w:t>» et INF.24 (UIC)</w:t>
      </w:r>
    </w:p>
    <w:p w:rsidR="00C85595" w:rsidRPr="00DE7FC1" w:rsidRDefault="00C85595" w:rsidP="006B24CD">
      <w:pPr>
        <w:pStyle w:val="SingleTxtG"/>
      </w:pPr>
      <w:r>
        <w:rPr>
          <w:lang w:val="fr-FR"/>
        </w:rPr>
        <w:t>27.</w:t>
      </w:r>
      <w:r>
        <w:rPr>
          <w:lang w:val="fr-FR"/>
        </w:rPr>
        <w:tab/>
        <w:t>De nouveaux très grands conteneurs-citernes, principalement conçus pour le transport ferroviaire, ont été mis au point.</w:t>
      </w:r>
      <w:r w:rsidR="00DA7133">
        <w:rPr>
          <w:lang w:val="fr-FR"/>
        </w:rPr>
        <w:t xml:space="preserve"> </w:t>
      </w:r>
      <w:r>
        <w:rPr>
          <w:lang w:val="fr-FR"/>
        </w:rPr>
        <w:t>D</w:t>
      </w:r>
      <w:r w:rsidR="006B24CD">
        <w:rPr>
          <w:lang w:val="fr-FR"/>
        </w:rPr>
        <w:t>’</w:t>
      </w:r>
      <w:r>
        <w:rPr>
          <w:lang w:val="fr-FR"/>
        </w:rPr>
        <w:t>aucuns se sont demandés si les prescriptions actuelles étaient applicables à ces conteneurs. Il a été relevé</w:t>
      </w:r>
      <w:r w:rsidR="008D4D2F">
        <w:rPr>
          <w:lang w:val="fr-FR"/>
        </w:rPr>
        <w:t xml:space="preserve"> que les très grands conteneurs</w:t>
      </w:r>
      <w:r w:rsidR="008D4D2F">
        <w:rPr>
          <w:lang w:val="fr-FR"/>
        </w:rPr>
        <w:noBreakHyphen/>
      </w:r>
      <w:r>
        <w:rPr>
          <w:lang w:val="fr-FR"/>
        </w:rPr>
        <w:t>citernes actuellement utilisés sont homologués conformément à la réglementation en vigueur.</w:t>
      </w:r>
    </w:p>
    <w:p w:rsidR="00C85595" w:rsidRPr="00DE7FC1" w:rsidRDefault="00C85595" w:rsidP="006B24CD">
      <w:pPr>
        <w:pStyle w:val="SingleTxtG"/>
      </w:pPr>
      <w:r>
        <w:rPr>
          <w:lang w:val="fr-FR"/>
        </w:rPr>
        <w:t>28.</w:t>
      </w:r>
      <w:r>
        <w:rPr>
          <w:lang w:val="fr-FR"/>
        </w:rPr>
        <w:tab/>
        <w:t>Cette question avait déjà été examinée</w:t>
      </w:r>
      <w:r w:rsidR="00DA7133">
        <w:rPr>
          <w:lang w:val="fr-FR"/>
        </w:rPr>
        <w:t xml:space="preserve"> </w:t>
      </w:r>
      <w:r>
        <w:rPr>
          <w:lang w:val="fr-FR"/>
        </w:rPr>
        <w:t>lors de la huitième session du groupe de travail permanent de la Commission d</w:t>
      </w:r>
      <w:r w:rsidR="006B24CD">
        <w:rPr>
          <w:lang w:val="fr-FR"/>
        </w:rPr>
        <w:t>’</w:t>
      </w:r>
      <w:r>
        <w:rPr>
          <w:lang w:val="fr-FR"/>
        </w:rPr>
        <w:t>experts du RID et</w:t>
      </w:r>
      <w:r w:rsidR="008C7AF7">
        <w:rPr>
          <w:lang w:val="fr-FR"/>
        </w:rPr>
        <w:t xml:space="preserve"> au sein du groupe de travail « </w:t>
      </w:r>
      <w:r>
        <w:rPr>
          <w:lang w:val="fr-FR"/>
        </w:rPr>
        <w:t>Techniqu</w:t>
      </w:r>
      <w:r w:rsidR="008C7AF7">
        <w:rPr>
          <w:lang w:val="fr-FR"/>
        </w:rPr>
        <w:t>e des citernes et des véhicules </w:t>
      </w:r>
      <w:r>
        <w:rPr>
          <w:lang w:val="fr-FR"/>
        </w:rPr>
        <w:t>»,</w:t>
      </w:r>
      <w:r w:rsidR="00DA7133">
        <w:rPr>
          <w:lang w:val="fr-FR"/>
        </w:rPr>
        <w:t xml:space="preserve"> </w:t>
      </w:r>
      <w:r w:rsidRPr="00576C9B">
        <w:rPr>
          <w:lang w:val="fr-FR"/>
        </w:rPr>
        <w:t xml:space="preserve">qui </w:t>
      </w:r>
      <w:r>
        <w:rPr>
          <w:lang w:val="fr-FR"/>
        </w:rPr>
        <w:t>s</w:t>
      </w:r>
      <w:r w:rsidR="006B24CD">
        <w:rPr>
          <w:lang w:val="fr-FR"/>
        </w:rPr>
        <w:t>’</w:t>
      </w:r>
      <w:r>
        <w:rPr>
          <w:lang w:val="fr-FR"/>
        </w:rPr>
        <w:t>était réuni à Hambourg. Dans le rapport de la réunion de Hambourg, il avait été demandé au Groupe de travail des citernes de la Réunion commune d</w:t>
      </w:r>
      <w:r w:rsidR="006B24CD">
        <w:rPr>
          <w:lang w:val="fr-FR"/>
        </w:rPr>
        <w:t>’</w:t>
      </w:r>
      <w:r>
        <w:rPr>
          <w:lang w:val="fr-FR"/>
        </w:rPr>
        <w:t>examiner certains points particuliers. Les quatre questions suivantes concernant les citernes ont ainsi été mises en évidence et discutées.</w:t>
      </w:r>
    </w:p>
    <w:p w:rsidR="00C85595" w:rsidRPr="00DE7FC1" w:rsidRDefault="00C85595" w:rsidP="006B24CD">
      <w:pPr>
        <w:pStyle w:val="H4G"/>
      </w:pPr>
      <w:r>
        <w:rPr>
          <w:lang w:val="fr-FR"/>
        </w:rPr>
        <w:tab/>
      </w:r>
      <w:r>
        <w:rPr>
          <w:lang w:val="fr-FR"/>
        </w:rPr>
        <w:tab/>
        <w:t xml:space="preserve">Épaisseur minimale de paroi </w:t>
      </w:r>
    </w:p>
    <w:p w:rsidR="00C85595" w:rsidRPr="00DE7FC1" w:rsidRDefault="00C85595" w:rsidP="006B24CD">
      <w:pPr>
        <w:pStyle w:val="SingleTxtG"/>
      </w:pPr>
      <w:r>
        <w:rPr>
          <w:lang w:val="fr-FR"/>
        </w:rPr>
        <w:t>29.</w:t>
      </w:r>
      <w:r>
        <w:rPr>
          <w:lang w:val="fr-FR"/>
        </w:rPr>
        <w:tab/>
        <w:t>Pour les wagons-citernes destinés au transport de liquides, l</w:t>
      </w:r>
      <w:r w:rsidR="006B24CD">
        <w:rPr>
          <w:lang w:val="fr-FR"/>
        </w:rPr>
        <w:t>’</w:t>
      </w:r>
      <w:r>
        <w:rPr>
          <w:lang w:val="fr-FR"/>
        </w:rPr>
        <w:t>épaisseur de paroi doit être d</w:t>
      </w:r>
      <w:r w:rsidR="006B24CD">
        <w:rPr>
          <w:lang w:val="fr-FR"/>
        </w:rPr>
        <w:t>’</w:t>
      </w:r>
      <w:r>
        <w:rPr>
          <w:lang w:val="fr-FR"/>
        </w:rPr>
        <w:t>au moins 6</w:t>
      </w:r>
      <w:r w:rsidR="008C7AF7">
        <w:rPr>
          <w:lang w:val="fr-FR"/>
        </w:rPr>
        <w:t> </w:t>
      </w:r>
      <w:r>
        <w:rPr>
          <w:lang w:val="fr-FR"/>
        </w:rPr>
        <w:t>mm lorsqu</w:t>
      </w:r>
      <w:r w:rsidR="006B24CD">
        <w:rPr>
          <w:lang w:val="fr-FR"/>
        </w:rPr>
        <w:t>’</w:t>
      </w:r>
      <w:r>
        <w:rPr>
          <w:lang w:val="fr-FR"/>
        </w:rPr>
        <w:t>ils sont en acier doux et ne do</w:t>
      </w:r>
      <w:r w:rsidR="008C7AF7">
        <w:rPr>
          <w:lang w:val="fr-FR"/>
        </w:rPr>
        <w:t>it jamais être inférieure à 4,5 </w:t>
      </w:r>
      <w:r>
        <w:rPr>
          <w:lang w:val="fr-FR"/>
        </w:rPr>
        <w:t>mm lorsque d</w:t>
      </w:r>
      <w:r w:rsidR="006B24CD">
        <w:rPr>
          <w:lang w:val="fr-FR"/>
        </w:rPr>
        <w:t>’</w:t>
      </w:r>
      <w:r>
        <w:rPr>
          <w:lang w:val="fr-FR"/>
        </w:rPr>
        <w:t>autres métaux sont utilisés. Pour les conteneurs-citernes destinés au transport de liquides dont le diamètre est supérieur à 1,80 m, cette épaisseur doit également être d</w:t>
      </w:r>
      <w:r w:rsidR="006B24CD">
        <w:rPr>
          <w:lang w:val="fr-FR"/>
        </w:rPr>
        <w:t>’</w:t>
      </w:r>
      <w:r w:rsidR="008C7AF7">
        <w:rPr>
          <w:lang w:val="fr-FR"/>
        </w:rPr>
        <w:t>au moins 6 </w:t>
      </w:r>
      <w:r>
        <w:rPr>
          <w:lang w:val="fr-FR"/>
        </w:rPr>
        <w:t>mm lorsqu</w:t>
      </w:r>
      <w:r w:rsidR="006B24CD">
        <w:rPr>
          <w:lang w:val="fr-FR"/>
        </w:rPr>
        <w:t>’</w:t>
      </w:r>
      <w:r>
        <w:rPr>
          <w:lang w:val="fr-FR"/>
        </w:rPr>
        <w:t>ils sont en acier doux et ne doit jamais être inférieure à 3</w:t>
      </w:r>
      <w:r w:rsidR="008C7AF7">
        <w:rPr>
          <w:lang w:val="fr-FR"/>
        </w:rPr>
        <w:t> </w:t>
      </w:r>
      <w:r>
        <w:rPr>
          <w:lang w:val="fr-FR"/>
        </w:rPr>
        <w:t>mm lorsque d</w:t>
      </w:r>
      <w:r w:rsidR="006B24CD">
        <w:rPr>
          <w:lang w:val="fr-FR"/>
        </w:rPr>
        <w:t>’</w:t>
      </w:r>
      <w:r>
        <w:rPr>
          <w:lang w:val="fr-FR"/>
        </w:rPr>
        <w:t>autres métaux sont employés.</w:t>
      </w:r>
    </w:p>
    <w:p w:rsidR="00C85595" w:rsidRPr="00DE7FC1" w:rsidRDefault="00C85595" w:rsidP="006B24CD">
      <w:pPr>
        <w:pStyle w:val="SingleTxtG"/>
      </w:pPr>
      <w:r>
        <w:rPr>
          <w:lang w:val="fr-FR"/>
        </w:rPr>
        <w:t>30.</w:t>
      </w:r>
      <w:r>
        <w:rPr>
          <w:lang w:val="fr-FR"/>
        </w:rPr>
        <w:tab/>
        <w:t>Il est ressorti des discussions que le système de transport de marchandises mis au point dans les années 1970</w:t>
      </w:r>
      <w:r w:rsidR="00DA7133">
        <w:rPr>
          <w:lang w:val="fr-FR"/>
        </w:rPr>
        <w:t xml:space="preserve"> </w:t>
      </w:r>
      <w:r>
        <w:rPr>
          <w:lang w:val="fr-FR"/>
        </w:rPr>
        <w:t>avait probablement</w:t>
      </w:r>
      <w:r w:rsidR="00DA7133">
        <w:rPr>
          <w:lang w:val="fr-FR"/>
        </w:rPr>
        <w:t xml:space="preserve"> </w:t>
      </w:r>
      <w:r>
        <w:rPr>
          <w:lang w:val="fr-FR"/>
        </w:rPr>
        <w:t>été conçu pour des conteneurs-citernes d</w:t>
      </w:r>
      <w:r w:rsidR="006B24CD">
        <w:rPr>
          <w:lang w:val="fr-FR"/>
        </w:rPr>
        <w:t>’</w:t>
      </w:r>
      <w:r>
        <w:rPr>
          <w:lang w:val="fr-FR"/>
        </w:rPr>
        <w:t>une masse totale maximale d</w:t>
      </w:r>
      <w:r w:rsidR="006B24CD">
        <w:rPr>
          <w:lang w:val="fr-FR"/>
        </w:rPr>
        <w:t>’</w:t>
      </w:r>
      <w:r w:rsidR="008C7AF7">
        <w:rPr>
          <w:lang w:val="fr-FR"/>
        </w:rPr>
        <w:t>environ 30,5 </w:t>
      </w:r>
      <w:r>
        <w:rPr>
          <w:lang w:val="fr-FR"/>
        </w:rPr>
        <w:t>tonnes et d</w:t>
      </w:r>
      <w:r w:rsidR="006B24CD">
        <w:rPr>
          <w:lang w:val="fr-FR"/>
        </w:rPr>
        <w:t>’</w:t>
      </w:r>
      <w:r>
        <w:rPr>
          <w:lang w:val="fr-FR"/>
        </w:rPr>
        <w:t>une capacité maximale de 36</w:t>
      </w:r>
      <w:r w:rsidR="008C7AF7">
        <w:rPr>
          <w:lang w:val="fr-FR"/>
        </w:rPr>
        <w:t> </w:t>
      </w:r>
      <w:r>
        <w:rPr>
          <w:lang w:val="fr-FR"/>
        </w:rPr>
        <w:t>000</w:t>
      </w:r>
      <w:r w:rsidR="008C7AF7">
        <w:rPr>
          <w:lang w:val="fr-FR"/>
        </w:rPr>
        <w:t> </w:t>
      </w:r>
      <w:r>
        <w:rPr>
          <w:lang w:val="fr-FR"/>
        </w:rPr>
        <w:t>litres. À l</w:t>
      </w:r>
      <w:r w:rsidR="006B24CD">
        <w:rPr>
          <w:lang w:val="fr-FR"/>
        </w:rPr>
        <w:t>’</w:t>
      </w:r>
      <w:r>
        <w:rPr>
          <w:lang w:val="fr-FR"/>
        </w:rPr>
        <w:t>origine, les citernes de ces conteneurs étaient protégées par des cadres intégraux. Il a été estimé qu</w:t>
      </w:r>
      <w:r w:rsidR="006B24CD">
        <w:rPr>
          <w:lang w:val="fr-FR"/>
        </w:rPr>
        <w:t>’</w:t>
      </w:r>
      <w:r>
        <w:rPr>
          <w:lang w:val="fr-FR"/>
        </w:rPr>
        <w:t>il pourrait s</w:t>
      </w:r>
      <w:r w:rsidR="006B24CD">
        <w:rPr>
          <w:lang w:val="fr-FR"/>
        </w:rPr>
        <w:t>’</w:t>
      </w:r>
      <w:r>
        <w:rPr>
          <w:lang w:val="fr-FR"/>
        </w:rPr>
        <w:t>agir d</w:t>
      </w:r>
      <w:r w:rsidR="006B24CD">
        <w:rPr>
          <w:lang w:val="fr-FR"/>
        </w:rPr>
        <w:t>’</w:t>
      </w:r>
      <w:r>
        <w:rPr>
          <w:lang w:val="fr-FR"/>
        </w:rPr>
        <w:t>une des raisons pour lesquelles l</w:t>
      </w:r>
      <w:r w:rsidR="006B24CD">
        <w:rPr>
          <w:lang w:val="fr-FR"/>
        </w:rPr>
        <w:t>’</w:t>
      </w:r>
      <w:r>
        <w:rPr>
          <w:lang w:val="fr-FR"/>
        </w:rPr>
        <w:t>épaisseur de paroi de 6</w:t>
      </w:r>
      <w:r w:rsidR="008D4D2F">
        <w:rPr>
          <w:lang w:val="fr-FR"/>
        </w:rPr>
        <w:t> </w:t>
      </w:r>
      <w:r>
        <w:rPr>
          <w:lang w:val="fr-FR"/>
        </w:rPr>
        <w:t>mm pour l</w:t>
      </w:r>
      <w:r w:rsidR="006B24CD">
        <w:rPr>
          <w:lang w:val="fr-FR"/>
        </w:rPr>
        <w:t>’</w:t>
      </w:r>
      <w:r>
        <w:rPr>
          <w:lang w:val="fr-FR"/>
        </w:rPr>
        <w:t>acier doux avait pu être réduite jusqu</w:t>
      </w:r>
      <w:r w:rsidR="006B24CD">
        <w:rPr>
          <w:lang w:val="fr-FR"/>
        </w:rPr>
        <w:t>’</w:t>
      </w:r>
      <w:r>
        <w:rPr>
          <w:lang w:val="fr-FR"/>
        </w:rPr>
        <w:t>à 3</w:t>
      </w:r>
      <w:r w:rsidR="008D4D2F">
        <w:rPr>
          <w:lang w:val="fr-FR"/>
        </w:rPr>
        <w:t> </w:t>
      </w:r>
      <w:r>
        <w:rPr>
          <w:lang w:val="fr-FR"/>
        </w:rPr>
        <w:t>mm lorsque d</w:t>
      </w:r>
      <w:r w:rsidR="006B24CD">
        <w:rPr>
          <w:lang w:val="fr-FR"/>
        </w:rPr>
        <w:t>’</w:t>
      </w:r>
      <w:r>
        <w:rPr>
          <w:lang w:val="fr-FR"/>
        </w:rPr>
        <w:t>autres matériaux étaient utilisés. La question se posait donc de savoir si cette réduction à 3</w:t>
      </w:r>
      <w:r w:rsidR="008D4D2F">
        <w:rPr>
          <w:lang w:val="fr-FR"/>
        </w:rPr>
        <w:t> </w:t>
      </w:r>
      <w:r>
        <w:rPr>
          <w:lang w:val="fr-FR"/>
        </w:rPr>
        <w:t>mm était pertinente en cas d</w:t>
      </w:r>
      <w:r w:rsidR="006B24CD">
        <w:rPr>
          <w:lang w:val="fr-FR"/>
        </w:rPr>
        <w:t>’</w:t>
      </w:r>
      <w:r>
        <w:rPr>
          <w:lang w:val="fr-FR"/>
        </w:rPr>
        <w:t>augme</w:t>
      </w:r>
      <w:r w:rsidR="008C7AF7">
        <w:rPr>
          <w:lang w:val="fr-FR"/>
        </w:rPr>
        <w:t>ntation de la capacité à 73 000 </w:t>
      </w:r>
      <w:r>
        <w:rPr>
          <w:lang w:val="fr-FR"/>
        </w:rPr>
        <w:t>litres, ce qui correspondait à la capacité des wagons-citernes à bogies.</w:t>
      </w:r>
    </w:p>
    <w:p w:rsidR="00C85595" w:rsidRPr="00DE7FC1" w:rsidRDefault="00C85595" w:rsidP="006B24CD">
      <w:pPr>
        <w:pStyle w:val="SingleTxtG"/>
      </w:pPr>
      <w:r>
        <w:rPr>
          <w:lang w:val="fr-FR"/>
        </w:rPr>
        <w:t>31.</w:t>
      </w:r>
      <w:r>
        <w:rPr>
          <w:lang w:val="fr-FR"/>
        </w:rPr>
        <w:tab/>
        <w:t>Il est apparu que la question de la réduction de l</w:t>
      </w:r>
      <w:r w:rsidR="006B24CD">
        <w:rPr>
          <w:lang w:val="fr-FR"/>
        </w:rPr>
        <w:t>’</w:t>
      </w:r>
      <w:r>
        <w:rPr>
          <w:lang w:val="fr-FR"/>
        </w:rPr>
        <w:t>épaisseur de la paroi devrait être examinée en lien avec celle de la sécurité des conteneurs-citernes dans son ensemble. Selon le rapport, une analyse des risques visant à établir u</w:t>
      </w:r>
      <w:r w:rsidR="008D4D2F">
        <w:rPr>
          <w:lang w:val="fr-FR"/>
        </w:rPr>
        <w:t>ne comparaison entre les wagons</w:t>
      </w:r>
      <w:r w:rsidR="008D4D2F">
        <w:rPr>
          <w:lang w:val="fr-FR"/>
        </w:rPr>
        <w:noBreakHyphen/>
      </w:r>
      <w:r>
        <w:rPr>
          <w:lang w:val="fr-FR"/>
        </w:rPr>
        <w:t>citernes et les très grands conteneurs-citernes était déjà prévue.</w:t>
      </w:r>
    </w:p>
    <w:p w:rsidR="00C85595" w:rsidRPr="00DE7FC1" w:rsidRDefault="00C85595" w:rsidP="006B24CD">
      <w:pPr>
        <w:pStyle w:val="H4G"/>
      </w:pPr>
      <w:r>
        <w:rPr>
          <w:lang w:val="fr-FR"/>
        </w:rPr>
        <w:tab/>
      </w:r>
      <w:r>
        <w:rPr>
          <w:lang w:val="fr-FR"/>
        </w:rPr>
        <w:tab/>
        <w:t>Résistance à la pression des dispositifs de fermeture</w:t>
      </w:r>
    </w:p>
    <w:p w:rsidR="00C85595" w:rsidRPr="00DE7FC1" w:rsidRDefault="00C85595" w:rsidP="006B24CD">
      <w:pPr>
        <w:pStyle w:val="SingleTxtG"/>
      </w:pPr>
      <w:r>
        <w:rPr>
          <w:lang w:val="fr-FR"/>
        </w:rPr>
        <w:t>32.</w:t>
      </w:r>
      <w:r>
        <w:rPr>
          <w:lang w:val="fr-FR"/>
        </w:rPr>
        <w:tab/>
        <w:t xml:space="preserve"> Comme les très grands conteneurs-citernes son</w:t>
      </w:r>
      <w:r w:rsidR="008D4D2F">
        <w:rPr>
          <w:lang w:val="fr-FR"/>
        </w:rPr>
        <w:t>t plus longs que les conteneurs</w:t>
      </w:r>
      <w:r w:rsidR="008D4D2F">
        <w:rPr>
          <w:lang w:val="fr-FR"/>
        </w:rPr>
        <w:noBreakHyphen/>
      </w:r>
      <w:r>
        <w:rPr>
          <w:lang w:val="fr-FR"/>
        </w:rPr>
        <w:t>citernes classiques, la pression produite par les reflux est également plus élevée. Cela pourrait justifier l</w:t>
      </w:r>
      <w:r w:rsidR="006B24CD">
        <w:rPr>
          <w:lang w:val="fr-FR"/>
        </w:rPr>
        <w:t>’</w:t>
      </w:r>
      <w:r>
        <w:rPr>
          <w:lang w:val="fr-FR"/>
        </w:rPr>
        <w:t xml:space="preserve">application des dispositions du </w:t>
      </w:r>
      <w:r w:rsidRPr="001320F6">
        <w:rPr>
          <w:lang w:val="fr-FR"/>
        </w:rPr>
        <w:t xml:space="preserve">paragraphe </w:t>
      </w:r>
      <w:r>
        <w:rPr>
          <w:lang w:val="fr-FR"/>
        </w:rPr>
        <w:t>6.8.2.2.4 aux très grands conteneurs-citernes. Le représentant du fabricant a confirmé</w:t>
      </w:r>
      <w:r w:rsidR="008C7AF7">
        <w:rPr>
          <w:lang w:val="fr-FR"/>
        </w:rPr>
        <w:t xml:space="preserve"> que les très grands conteneurs</w:t>
      </w:r>
      <w:r w:rsidR="008C7AF7">
        <w:rPr>
          <w:lang w:val="fr-FR"/>
        </w:rPr>
        <w:noBreakHyphen/>
      </w:r>
      <w:r>
        <w:rPr>
          <w:lang w:val="fr-FR"/>
        </w:rPr>
        <w:t>citernes satisfaisaient à ces dispositions.</w:t>
      </w:r>
    </w:p>
    <w:p w:rsidR="00C85595" w:rsidRPr="00DE7FC1" w:rsidRDefault="00C85595" w:rsidP="006B24CD">
      <w:pPr>
        <w:pStyle w:val="H4G"/>
      </w:pPr>
      <w:r>
        <w:rPr>
          <w:lang w:val="fr-FR"/>
        </w:rPr>
        <w:lastRenderedPageBreak/>
        <w:tab/>
      </w:r>
      <w:r>
        <w:rPr>
          <w:lang w:val="fr-FR"/>
        </w:rPr>
        <w:tab/>
        <w:t>Inscriptions sur les deux côtés du conteneur-citerne</w:t>
      </w:r>
    </w:p>
    <w:p w:rsidR="00C85595" w:rsidRPr="00DE7FC1" w:rsidRDefault="00C85595" w:rsidP="008D4D2F">
      <w:pPr>
        <w:pStyle w:val="SingleTxtG"/>
        <w:keepLines/>
      </w:pPr>
      <w:r>
        <w:rPr>
          <w:lang w:val="fr-FR"/>
        </w:rPr>
        <w:t>33.</w:t>
      </w:r>
      <w:r>
        <w:rPr>
          <w:lang w:val="fr-FR"/>
        </w:rPr>
        <w:tab/>
        <w:t xml:space="preserve">Les wagons-citernes doivent porter sur chaque côté latéral les indications prévues au </w:t>
      </w:r>
      <w:r w:rsidRPr="00BD1371">
        <w:rPr>
          <w:lang w:val="fr-FR"/>
        </w:rPr>
        <w:t xml:space="preserve">paragraphe </w:t>
      </w:r>
      <w:r>
        <w:rPr>
          <w:lang w:val="fr-FR"/>
        </w:rPr>
        <w:t>6.8.2.5.2. La date de la prochaine épreuve doit également être indiquée. Pour les conteneurs-citernes, en revanche, il n</w:t>
      </w:r>
      <w:r w:rsidR="006B24CD">
        <w:rPr>
          <w:lang w:val="fr-FR"/>
        </w:rPr>
        <w:t>’</w:t>
      </w:r>
      <w:r>
        <w:rPr>
          <w:lang w:val="fr-FR"/>
        </w:rPr>
        <w:t>existe aucune prescription concernant l</w:t>
      </w:r>
      <w:r w:rsidR="006B24CD">
        <w:rPr>
          <w:lang w:val="fr-FR"/>
        </w:rPr>
        <w:t>’</w:t>
      </w:r>
      <w:r>
        <w:rPr>
          <w:lang w:val="fr-FR"/>
        </w:rPr>
        <w:t>endroit précis où les inscriptions doivent apparaître</w:t>
      </w:r>
      <w:r w:rsidR="00DA7133">
        <w:rPr>
          <w:lang w:val="fr-FR"/>
        </w:rPr>
        <w:t xml:space="preserve"> </w:t>
      </w:r>
      <w:r>
        <w:rPr>
          <w:lang w:val="fr-FR"/>
        </w:rPr>
        <w:t>ni d</w:t>
      </w:r>
      <w:r w:rsidR="006B24CD">
        <w:rPr>
          <w:lang w:val="fr-FR"/>
        </w:rPr>
        <w:t>’</w:t>
      </w:r>
      <w:r>
        <w:rPr>
          <w:lang w:val="fr-FR"/>
        </w:rPr>
        <w:t>obligation d</w:t>
      </w:r>
      <w:r w:rsidR="006B24CD">
        <w:rPr>
          <w:lang w:val="fr-FR"/>
        </w:rPr>
        <w:t>’</w:t>
      </w:r>
      <w:r>
        <w:rPr>
          <w:lang w:val="fr-FR"/>
        </w:rPr>
        <w:t>indiquer la date de la prochaine épreuve périodique. La question s</w:t>
      </w:r>
      <w:r w:rsidR="006B24CD">
        <w:rPr>
          <w:lang w:val="fr-FR"/>
        </w:rPr>
        <w:t>’</w:t>
      </w:r>
      <w:r>
        <w:rPr>
          <w:lang w:val="fr-FR"/>
        </w:rPr>
        <w:t>est posée de savoir s</w:t>
      </w:r>
      <w:r w:rsidR="006B24CD">
        <w:rPr>
          <w:lang w:val="fr-FR"/>
        </w:rPr>
        <w:t>’</w:t>
      </w:r>
      <w:r>
        <w:rPr>
          <w:lang w:val="fr-FR"/>
        </w:rPr>
        <w:t>il conviendrait d</w:t>
      </w:r>
      <w:r w:rsidR="006B24CD">
        <w:rPr>
          <w:lang w:val="fr-FR"/>
        </w:rPr>
        <w:t>’</w:t>
      </w:r>
      <w:r>
        <w:rPr>
          <w:lang w:val="fr-FR"/>
        </w:rPr>
        <w:t>utiliser les mêmes indications pour les très grands conteneurs-citernes que pour les wagons-citernes. Plusieurs experts ont proposé de ne pas rendre le système plus complexe et de décider soit de ne pas faire apparaître les indications des deux côtés des conteneurs-citernes et des citernes mobiles, soit d</w:t>
      </w:r>
      <w:r w:rsidR="006B24CD">
        <w:rPr>
          <w:lang w:val="fr-FR"/>
        </w:rPr>
        <w:t>’</w:t>
      </w:r>
      <w:r>
        <w:rPr>
          <w:lang w:val="fr-FR"/>
        </w:rPr>
        <w:t>exiger que ces indications figurent sur l</w:t>
      </w:r>
      <w:r w:rsidR="006B24CD">
        <w:rPr>
          <w:lang w:val="fr-FR"/>
        </w:rPr>
        <w:t>’</w:t>
      </w:r>
      <w:r>
        <w:rPr>
          <w:lang w:val="fr-FR"/>
        </w:rPr>
        <w:t>ensemble des citernes. Il a également été rappelé que le Sous-</w:t>
      </w:r>
      <w:r w:rsidR="00497BEE">
        <w:rPr>
          <w:lang w:val="fr-FR"/>
        </w:rPr>
        <w:t>C</w:t>
      </w:r>
      <w:r>
        <w:rPr>
          <w:lang w:val="fr-FR"/>
        </w:rPr>
        <w:t>omité d</w:t>
      </w:r>
      <w:r w:rsidR="006B24CD">
        <w:rPr>
          <w:lang w:val="fr-FR"/>
        </w:rPr>
        <w:t>’</w:t>
      </w:r>
      <w:r>
        <w:rPr>
          <w:lang w:val="fr-FR"/>
        </w:rPr>
        <w:t>experts du transport des marchandises dangereuses de l</w:t>
      </w:r>
      <w:r w:rsidR="006B24CD">
        <w:rPr>
          <w:lang w:val="fr-FR"/>
        </w:rPr>
        <w:t>’</w:t>
      </w:r>
      <w:r>
        <w:rPr>
          <w:lang w:val="fr-FR"/>
        </w:rPr>
        <w:t>ONU avait récemment refusé la proposition visant à indiquer la date de la prochaine épreuve sur les citernes mobiles.</w:t>
      </w:r>
    </w:p>
    <w:p w:rsidR="00C85595" w:rsidRPr="00DE7FC1" w:rsidRDefault="006B24CD" w:rsidP="006B24CD">
      <w:pPr>
        <w:pStyle w:val="H4G"/>
      </w:pPr>
      <w:r>
        <w:rPr>
          <w:lang w:val="fr-FR"/>
        </w:rPr>
        <w:tab/>
      </w:r>
      <w:r>
        <w:rPr>
          <w:lang w:val="fr-FR"/>
        </w:rPr>
        <w:tab/>
      </w:r>
      <w:r w:rsidR="00C85595">
        <w:rPr>
          <w:lang w:val="fr-FR"/>
        </w:rPr>
        <w:t>Ajout d</w:t>
      </w:r>
      <w:r>
        <w:rPr>
          <w:lang w:val="fr-FR"/>
        </w:rPr>
        <w:t>’</w:t>
      </w:r>
      <w:r w:rsidR="00C85595">
        <w:rPr>
          <w:lang w:val="fr-FR"/>
        </w:rPr>
        <w:t>un renvoi</w:t>
      </w:r>
      <w:r w:rsidR="00DA7133">
        <w:rPr>
          <w:lang w:val="fr-FR"/>
        </w:rPr>
        <w:t xml:space="preserve"> </w:t>
      </w:r>
      <w:r w:rsidR="00C85595">
        <w:rPr>
          <w:lang w:val="fr-FR"/>
        </w:rPr>
        <w:t xml:space="preserve">à la section 7.1.3 dans le </w:t>
      </w:r>
      <w:r w:rsidR="00C85595" w:rsidRPr="001D072A">
        <w:rPr>
          <w:lang w:val="fr-FR"/>
        </w:rPr>
        <w:t xml:space="preserve">paragraphe </w:t>
      </w:r>
      <w:r w:rsidR="00C85595">
        <w:rPr>
          <w:lang w:val="fr-FR"/>
        </w:rPr>
        <w:t>6.8.2.1.2</w:t>
      </w:r>
    </w:p>
    <w:p w:rsidR="00C85595" w:rsidRPr="00DE7FC1" w:rsidRDefault="00C85595" w:rsidP="006B24CD">
      <w:pPr>
        <w:pStyle w:val="SingleTxtG"/>
        <w:rPr>
          <w:bCs/>
          <w:iCs/>
        </w:rPr>
      </w:pPr>
      <w:r>
        <w:rPr>
          <w:lang w:val="fr-FR"/>
        </w:rPr>
        <w:t>34.</w:t>
      </w:r>
      <w:r>
        <w:rPr>
          <w:lang w:val="fr-FR"/>
        </w:rPr>
        <w:tab/>
        <w:t>Il a été décidé d</w:t>
      </w:r>
      <w:r w:rsidR="006B24CD">
        <w:rPr>
          <w:lang w:val="fr-FR"/>
        </w:rPr>
        <w:t>’</w:t>
      </w:r>
      <w:r>
        <w:rPr>
          <w:lang w:val="fr-FR"/>
        </w:rPr>
        <w:t>établir un lien entre ces deux paragraphes pour rappeler aux fabricants les accélérations supplémentaires dont il faut tenir compte.</w:t>
      </w:r>
    </w:p>
    <w:p w:rsidR="00C85595" w:rsidRPr="00DE7FC1" w:rsidRDefault="00C85595" w:rsidP="006B24CD">
      <w:pPr>
        <w:pStyle w:val="H1G"/>
      </w:pPr>
      <w:r>
        <w:rPr>
          <w:lang w:val="fr-FR"/>
        </w:rPr>
        <w:tab/>
      </w:r>
      <w:r w:rsidR="006B24CD">
        <w:rPr>
          <w:lang w:val="fr-FR"/>
        </w:rPr>
        <w:tab/>
      </w:r>
      <w:r>
        <w:rPr>
          <w:lang w:val="fr-FR"/>
        </w:rPr>
        <w:t xml:space="preserve">Proposition 6 </w:t>
      </w:r>
    </w:p>
    <w:p w:rsidR="00C85595" w:rsidRPr="00DE7FC1" w:rsidRDefault="00C85595" w:rsidP="006B24CD">
      <w:pPr>
        <w:pStyle w:val="SingleTxtG"/>
        <w:rPr>
          <w:bCs/>
          <w:iCs/>
        </w:rPr>
      </w:pPr>
      <w:r>
        <w:rPr>
          <w:lang w:val="fr-FR"/>
        </w:rPr>
        <w:t xml:space="preserve">6.8.2.1.2 </w:t>
      </w:r>
      <w:r>
        <w:rPr>
          <w:lang w:val="fr-FR"/>
        </w:rPr>
        <w:tab/>
        <w:t>Ajouter au</w:t>
      </w:r>
      <w:r w:rsidRPr="001D072A">
        <w:rPr>
          <w:lang w:val="fr-FR"/>
        </w:rPr>
        <w:t xml:space="preserve"> paragraphe 6.8.2.1.2</w:t>
      </w:r>
      <w:r>
        <w:rPr>
          <w:lang w:val="fr-FR"/>
        </w:rPr>
        <w:t>,</w:t>
      </w:r>
      <w:r w:rsidR="006B24CD">
        <w:rPr>
          <w:lang w:val="fr-FR"/>
        </w:rPr>
        <w:t xml:space="preserve"> après « conteneurs-citernes </w:t>
      </w:r>
      <w:r w:rsidRPr="001D072A">
        <w:rPr>
          <w:lang w:val="fr-FR"/>
        </w:rPr>
        <w:t>»</w:t>
      </w:r>
      <w:r>
        <w:rPr>
          <w:lang w:val="fr-FR"/>
        </w:rPr>
        <w:t>,</w:t>
      </w:r>
      <w:r w:rsidRPr="001D072A">
        <w:rPr>
          <w:lang w:val="fr-FR"/>
        </w:rPr>
        <w:t xml:space="preserve"> </w:t>
      </w:r>
      <w:r>
        <w:rPr>
          <w:lang w:val="fr-FR"/>
        </w:rPr>
        <w:t xml:space="preserve">une nouvelle note de bas de page </w:t>
      </w:r>
      <w:r w:rsidR="006B24CD">
        <w:rPr>
          <w:lang w:val="fr-FR"/>
        </w:rPr>
        <w:t>2 (RID)/1 (ADR) ainsi conçue : « </w:t>
      </w:r>
      <w:r>
        <w:rPr>
          <w:vertAlign w:val="superscript"/>
          <w:lang w:val="fr-FR"/>
        </w:rPr>
        <w:t>2/1</w:t>
      </w:r>
      <w:r>
        <w:rPr>
          <w:lang w:val="fr-FR"/>
        </w:rPr>
        <w:t xml:space="preserve"> </w:t>
      </w:r>
      <w:r w:rsidR="006B24CD">
        <w:rPr>
          <w:lang w:val="fr-FR"/>
        </w:rPr>
        <w:t>Voir également la section 7.1.3 </w:t>
      </w:r>
      <w:r>
        <w:rPr>
          <w:lang w:val="fr-FR"/>
        </w:rPr>
        <w:t>».</w:t>
      </w:r>
    </w:p>
    <w:p w:rsidR="00C85595" w:rsidRPr="00DE7FC1" w:rsidRDefault="00C85595" w:rsidP="006B24CD">
      <w:pPr>
        <w:pStyle w:val="SingleTxtG"/>
      </w:pPr>
      <w:r>
        <w:rPr>
          <w:lang w:val="fr-FR"/>
        </w:rPr>
        <w:t>35.</w:t>
      </w:r>
      <w:r>
        <w:rPr>
          <w:lang w:val="fr-FR"/>
        </w:rPr>
        <w:tab/>
        <w:t>Le Groupe de travail a estimé que les questions relatives à l</w:t>
      </w:r>
      <w:r w:rsidR="006B24CD">
        <w:rPr>
          <w:lang w:val="fr-FR"/>
        </w:rPr>
        <w:t>’</w:t>
      </w:r>
      <w:r>
        <w:rPr>
          <w:lang w:val="fr-FR"/>
        </w:rPr>
        <w:t>épaisseur de paroi et à la résistance à la pression des dispositifs de fermeture devaient être intégrées à des travaux de plus grande ampleur. Puisqu</w:t>
      </w:r>
      <w:r w:rsidR="006B24CD">
        <w:rPr>
          <w:lang w:val="fr-FR"/>
        </w:rPr>
        <w:t>’</w:t>
      </w:r>
      <w:r>
        <w:rPr>
          <w:lang w:val="fr-FR"/>
        </w:rPr>
        <w:t>il s</w:t>
      </w:r>
      <w:r w:rsidR="006B24CD">
        <w:rPr>
          <w:lang w:val="fr-FR"/>
        </w:rPr>
        <w:t>’</w:t>
      </w:r>
      <w:r>
        <w:rPr>
          <w:lang w:val="fr-FR"/>
        </w:rPr>
        <w:t>agit de questions spécifiquement liées aux chemins de fer, il a estimé qu</w:t>
      </w:r>
      <w:r w:rsidR="006B24CD">
        <w:rPr>
          <w:lang w:val="fr-FR"/>
        </w:rPr>
        <w:t>’</w:t>
      </w:r>
      <w:r>
        <w:rPr>
          <w:lang w:val="fr-FR"/>
        </w:rPr>
        <w:t>il serait souhaitable que le groupe de travail «</w:t>
      </w:r>
      <w:r w:rsidR="008C7AF7">
        <w:rPr>
          <w:lang w:val="fr-FR"/>
        </w:rPr>
        <w:t> </w:t>
      </w:r>
      <w:r>
        <w:rPr>
          <w:lang w:val="fr-FR"/>
        </w:rPr>
        <w:t>Techniqu</w:t>
      </w:r>
      <w:r w:rsidR="008C7AF7">
        <w:rPr>
          <w:lang w:val="fr-FR"/>
        </w:rPr>
        <w:t>e des citernes et des véhicules </w:t>
      </w:r>
      <w:r>
        <w:rPr>
          <w:lang w:val="fr-FR"/>
        </w:rPr>
        <w:t>» du RID se charge de les traiter, en sollicitant la participation des experts des citernes lorsque les questions les concernant étaient examinées.</w:t>
      </w:r>
    </w:p>
    <w:p w:rsidR="00C85595" w:rsidRPr="00DE7FC1" w:rsidRDefault="00C85595" w:rsidP="006B24CD">
      <w:pPr>
        <w:pStyle w:val="H23G"/>
      </w:pPr>
      <w:r>
        <w:rPr>
          <w:lang w:val="fr-FR"/>
        </w:rPr>
        <w:tab/>
        <w:t>Point 12</w:t>
      </w:r>
      <w:r>
        <w:rPr>
          <w:lang w:val="fr-FR"/>
        </w:rPr>
        <w:tab/>
        <w:t>Document informel INF.32</w:t>
      </w:r>
      <w:r w:rsidR="00EC5062">
        <w:rPr>
          <w:lang w:val="fr-FR"/>
        </w:rPr>
        <w:t>/Rev.1</w:t>
      </w:r>
      <w:r>
        <w:rPr>
          <w:lang w:val="fr-FR"/>
        </w:rPr>
        <w:t xml:space="preserve"> (France) «</w:t>
      </w:r>
      <w:r w:rsidR="006B24CD">
        <w:rPr>
          <w:lang w:val="fr-FR"/>
        </w:rPr>
        <w:t> </w:t>
      </w:r>
      <w:r>
        <w:rPr>
          <w:lang w:val="fr-FR"/>
        </w:rPr>
        <w:t>Pression d</w:t>
      </w:r>
      <w:r w:rsidR="006B24CD">
        <w:rPr>
          <w:lang w:val="fr-FR"/>
        </w:rPr>
        <w:t>’</w:t>
      </w:r>
      <w:r>
        <w:rPr>
          <w:lang w:val="fr-FR"/>
        </w:rPr>
        <w:t xml:space="preserve">éclatement des disques de rupture au </w:t>
      </w:r>
      <w:r w:rsidRPr="001D072A">
        <w:rPr>
          <w:lang w:val="fr-FR"/>
        </w:rPr>
        <w:t xml:space="preserve">paragraphe </w:t>
      </w:r>
      <w:r w:rsidR="006B24CD">
        <w:rPr>
          <w:lang w:val="fr-FR"/>
        </w:rPr>
        <w:t>6.8.2.2.10 </w:t>
      </w:r>
      <w:r>
        <w:rPr>
          <w:lang w:val="fr-FR"/>
        </w:rPr>
        <w:t>»</w:t>
      </w:r>
    </w:p>
    <w:p w:rsidR="00C85595" w:rsidRPr="00DE7FC1" w:rsidRDefault="00C85595" w:rsidP="006B24CD">
      <w:pPr>
        <w:pStyle w:val="SingleTxtG"/>
      </w:pPr>
      <w:r>
        <w:rPr>
          <w:lang w:val="fr-FR"/>
        </w:rPr>
        <w:t>36.</w:t>
      </w:r>
      <w:r>
        <w:rPr>
          <w:lang w:val="fr-FR"/>
        </w:rPr>
        <w:tab/>
        <w:t>Lors d</w:t>
      </w:r>
      <w:r w:rsidR="006B24CD">
        <w:rPr>
          <w:lang w:val="fr-FR"/>
        </w:rPr>
        <w:t>’</w:t>
      </w:r>
      <w:r>
        <w:rPr>
          <w:lang w:val="fr-FR"/>
        </w:rPr>
        <w:t>une session précédente, un nouveau libellé pour la première phrase du</w:t>
      </w:r>
      <w:r w:rsidRPr="001D072A">
        <w:t xml:space="preserve"> second alinéa </w:t>
      </w:r>
      <w:r>
        <w:t xml:space="preserve">du </w:t>
      </w:r>
      <w:r w:rsidRPr="001D072A">
        <w:rPr>
          <w:lang w:val="fr-FR"/>
        </w:rPr>
        <w:t>paragraphe</w:t>
      </w:r>
      <w:r>
        <w:rPr>
          <w:lang w:val="fr-FR"/>
        </w:rPr>
        <w:t xml:space="preserve"> 6.8.2.2.10 du RID/ADR 2019 avait été accepté. Toutefois, la valeur de la pression nominale apparaissait toujours entre crochets et devait être examinée plus avant. Dans le document informel INF.32/Rev.1, la France est revenue sur le sujet en proposant une formulation plus détaillée qui permettait de mieux décrire la pression d</w:t>
      </w:r>
      <w:r w:rsidR="006B24CD">
        <w:rPr>
          <w:lang w:val="fr-FR"/>
        </w:rPr>
        <w:t>’</w:t>
      </w:r>
      <w:r>
        <w:rPr>
          <w:lang w:val="fr-FR"/>
        </w:rPr>
        <w:t xml:space="preserve">éclatement à température de service. </w:t>
      </w:r>
    </w:p>
    <w:p w:rsidR="00C85595" w:rsidRPr="00DE7FC1" w:rsidRDefault="00C85595" w:rsidP="006B24CD">
      <w:pPr>
        <w:pStyle w:val="SingleTxtG"/>
      </w:pPr>
      <w:r>
        <w:rPr>
          <w:lang w:val="fr-FR"/>
        </w:rPr>
        <w:t>37.</w:t>
      </w:r>
      <w:r>
        <w:rPr>
          <w:lang w:val="fr-FR"/>
        </w:rPr>
        <w:tab/>
        <w:t>La formulation proposée a été amélioré et approuvée par le Groupe de travail. Cette modification devrait être appliquée dans le RID/ADR 2019.</w:t>
      </w:r>
    </w:p>
    <w:p w:rsidR="00C85595" w:rsidRPr="00DE7FC1" w:rsidRDefault="006B24CD" w:rsidP="006B24CD">
      <w:pPr>
        <w:pStyle w:val="H1G"/>
      </w:pPr>
      <w:r>
        <w:rPr>
          <w:lang w:val="fr-FR"/>
        </w:rPr>
        <w:tab/>
      </w:r>
      <w:r>
        <w:rPr>
          <w:lang w:val="fr-FR"/>
        </w:rPr>
        <w:tab/>
      </w:r>
      <w:r w:rsidR="00C85595">
        <w:rPr>
          <w:lang w:val="fr-FR"/>
        </w:rPr>
        <w:t>Proposition 7</w:t>
      </w:r>
    </w:p>
    <w:p w:rsidR="00C85595" w:rsidRPr="00DE7FC1" w:rsidRDefault="006B24CD" w:rsidP="006B24CD">
      <w:pPr>
        <w:pStyle w:val="SingleTxtG"/>
      </w:pPr>
      <w:r>
        <w:rPr>
          <w:lang w:val="fr-FR"/>
        </w:rPr>
        <w:t xml:space="preserve">6.8.2.2.10 </w:t>
      </w:r>
      <w:r>
        <w:rPr>
          <w:lang w:val="fr-FR"/>
        </w:rPr>
        <w:tab/>
      </w:r>
      <w:r w:rsidR="00C85595">
        <w:rPr>
          <w:lang w:val="fr-FR"/>
        </w:rPr>
        <w:t>D</w:t>
      </w:r>
      <w:r w:rsidR="00C85595" w:rsidRPr="004C79B7">
        <w:rPr>
          <w:lang w:val="fr-FR"/>
        </w:rPr>
        <w:t>ans le RID/ADR 2019</w:t>
      </w:r>
      <w:r w:rsidR="00C85595">
        <w:rPr>
          <w:lang w:val="fr-FR"/>
        </w:rPr>
        <w:t xml:space="preserve">, modifier la première phrase </w:t>
      </w:r>
      <w:r w:rsidR="00C85595" w:rsidRPr="001D072A">
        <w:rPr>
          <w:lang w:val="fr-FR"/>
        </w:rPr>
        <w:t xml:space="preserve">du second alinéa </w:t>
      </w:r>
      <w:r w:rsidR="00C85595">
        <w:rPr>
          <w:lang w:val="fr-FR"/>
        </w:rPr>
        <w:t xml:space="preserve">du </w:t>
      </w:r>
      <w:r w:rsidR="00C85595" w:rsidRPr="001D072A">
        <w:rPr>
          <w:lang w:val="fr-FR"/>
        </w:rPr>
        <w:t xml:space="preserve">paragraphe </w:t>
      </w:r>
      <w:r w:rsidR="00C85595">
        <w:rPr>
          <w:lang w:val="fr-FR"/>
        </w:rPr>
        <w:t>6.8.2.2.10 comme suit</w:t>
      </w:r>
      <w:r w:rsidR="00DA7133">
        <w:rPr>
          <w:lang w:val="fr-FR"/>
        </w:rPr>
        <w:t> :</w:t>
      </w:r>
    </w:p>
    <w:p w:rsidR="006B24CD" w:rsidRDefault="00C85595" w:rsidP="006B24CD">
      <w:pPr>
        <w:pStyle w:val="SingleTxtG"/>
        <w:ind w:left="1701"/>
        <w:rPr>
          <w:lang w:val="fr-FR"/>
        </w:rPr>
      </w:pPr>
      <w:r>
        <w:rPr>
          <w:lang w:val="fr-FR"/>
        </w:rPr>
        <w:t>« </w:t>
      </w:r>
      <w:r w:rsidRPr="006B24CD">
        <w:rPr>
          <w:i/>
          <w:lang w:val="fr-FR"/>
        </w:rPr>
        <w:t>Sauf pour les citernes destinées au transport des gaz comprimés, liquéfiés ou dissous pour lesquelles la disposition du disque de rupture et de la soupape de sécurité doit satisfaire l</w:t>
      </w:r>
      <w:r w:rsidR="006B24CD">
        <w:rPr>
          <w:i/>
          <w:lang w:val="fr-FR"/>
        </w:rPr>
        <w:t>’</w:t>
      </w:r>
      <w:r w:rsidRPr="006B24CD">
        <w:rPr>
          <w:i/>
          <w:lang w:val="fr-FR"/>
        </w:rPr>
        <w:t>autorité compétente, les pressions d</w:t>
      </w:r>
      <w:r w:rsidR="006B24CD">
        <w:rPr>
          <w:i/>
          <w:lang w:val="fr-FR"/>
        </w:rPr>
        <w:t>’</w:t>
      </w:r>
      <w:r w:rsidRPr="006B24CD">
        <w:rPr>
          <w:i/>
          <w:lang w:val="fr-FR"/>
        </w:rPr>
        <w:t>éclatement des disques de rupture doivent respecter les règles suivantes :</w:t>
      </w:r>
    </w:p>
    <w:p w:rsidR="006B24CD" w:rsidRPr="006B24CD" w:rsidRDefault="00C85595" w:rsidP="00055489">
      <w:pPr>
        <w:pStyle w:val="SingleTxtG"/>
        <w:numPr>
          <w:ilvl w:val="0"/>
          <w:numId w:val="17"/>
        </w:numPr>
        <w:ind w:left="2058" w:hanging="357"/>
        <w:rPr>
          <w:lang w:val="fr-FR"/>
        </w:rPr>
      </w:pPr>
      <w:r w:rsidRPr="006B24CD">
        <w:rPr>
          <w:i/>
          <w:iCs/>
          <w:lang w:val="fr-FR"/>
        </w:rPr>
        <w:t>la pression minimale d</w:t>
      </w:r>
      <w:r w:rsidR="006B24CD">
        <w:rPr>
          <w:i/>
          <w:iCs/>
          <w:lang w:val="fr-FR"/>
        </w:rPr>
        <w:t>’</w:t>
      </w:r>
      <w:r w:rsidRPr="006B24CD">
        <w:rPr>
          <w:i/>
          <w:iCs/>
          <w:lang w:val="fr-FR"/>
        </w:rPr>
        <w:t>éclatement à 20</w:t>
      </w:r>
      <w:r w:rsidR="006773DB">
        <w:rPr>
          <w:i/>
          <w:iCs/>
          <w:lang w:val="fr-FR"/>
        </w:rPr>
        <w:t> </w:t>
      </w:r>
      <w:r w:rsidRPr="006B24CD">
        <w:rPr>
          <w:i/>
          <w:iCs/>
          <w:lang w:val="fr-FR"/>
        </w:rPr>
        <w:t>°C, tolérances incluses, doit être supérieure ou égale à 0,8 fois la pression d</w:t>
      </w:r>
      <w:r w:rsidR="006B24CD">
        <w:rPr>
          <w:i/>
          <w:iCs/>
          <w:lang w:val="fr-FR"/>
        </w:rPr>
        <w:t>’</w:t>
      </w:r>
      <w:r w:rsidRPr="006B24CD">
        <w:rPr>
          <w:i/>
          <w:iCs/>
          <w:lang w:val="fr-FR"/>
        </w:rPr>
        <w:t>épreuve,</w:t>
      </w:r>
    </w:p>
    <w:p w:rsidR="006B24CD" w:rsidRPr="006B24CD" w:rsidRDefault="00C85595" w:rsidP="00055489">
      <w:pPr>
        <w:pStyle w:val="SingleTxtG"/>
        <w:numPr>
          <w:ilvl w:val="0"/>
          <w:numId w:val="17"/>
        </w:numPr>
        <w:ind w:left="2058" w:hanging="357"/>
        <w:rPr>
          <w:i/>
        </w:rPr>
      </w:pPr>
      <w:r w:rsidRPr="006B24CD">
        <w:rPr>
          <w:i/>
          <w:iCs/>
          <w:lang w:val="fr-FR"/>
        </w:rPr>
        <w:t>la pression maximale d</w:t>
      </w:r>
      <w:r w:rsidR="006B24CD">
        <w:rPr>
          <w:i/>
          <w:iCs/>
          <w:lang w:val="fr-FR"/>
        </w:rPr>
        <w:t>’</w:t>
      </w:r>
      <w:r w:rsidRPr="006B24CD">
        <w:rPr>
          <w:i/>
          <w:iCs/>
          <w:lang w:val="fr-FR"/>
        </w:rPr>
        <w:t>éclatement à 20</w:t>
      </w:r>
      <w:r w:rsidR="006773DB">
        <w:rPr>
          <w:i/>
          <w:iCs/>
          <w:lang w:val="fr-FR"/>
        </w:rPr>
        <w:t> </w:t>
      </w:r>
      <w:r w:rsidRPr="006B24CD">
        <w:rPr>
          <w:i/>
          <w:iCs/>
          <w:lang w:val="fr-FR"/>
        </w:rPr>
        <w:t>°C, tolérances incluses, doit être inférieure ou égale à 1,1 fois la pression d</w:t>
      </w:r>
      <w:r w:rsidR="006B24CD">
        <w:rPr>
          <w:i/>
          <w:iCs/>
          <w:lang w:val="fr-FR"/>
        </w:rPr>
        <w:t>’</w:t>
      </w:r>
      <w:r w:rsidRPr="006B24CD">
        <w:rPr>
          <w:i/>
          <w:iCs/>
          <w:lang w:val="fr-FR"/>
        </w:rPr>
        <w:t>épreuve, et</w:t>
      </w:r>
      <w:r w:rsidRPr="006B24CD">
        <w:rPr>
          <w:lang w:val="fr-FR"/>
        </w:rPr>
        <w:t xml:space="preserve"> </w:t>
      </w:r>
    </w:p>
    <w:p w:rsidR="00C85595" w:rsidRPr="006B24CD" w:rsidRDefault="00C85595" w:rsidP="00055489">
      <w:pPr>
        <w:pStyle w:val="SingleTxtG"/>
        <w:numPr>
          <w:ilvl w:val="0"/>
          <w:numId w:val="17"/>
        </w:numPr>
        <w:ind w:left="2058" w:hanging="357"/>
        <w:rPr>
          <w:i/>
        </w:rPr>
      </w:pPr>
      <w:r w:rsidRPr="006B24CD">
        <w:rPr>
          <w:i/>
          <w:iCs/>
          <w:lang w:val="fr-FR"/>
        </w:rPr>
        <w:lastRenderedPageBreak/>
        <w:t>la pression d</w:t>
      </w:r>
      <w:r w:rsidR="006B24CD">
        <w:rPr>
          <w:i/>
          <w:iCs/>
          <w:lang w:val="fr-FR"/>
        </w:rPr>
        <w:t>’</w:t>
      </w:r>
      <w:r w:rsidRPr="006B24CD">
        <w:rPr>
          <w:i/>
          <w:iCs/>
          <w:lang w:val="fr-FR"/>
        </w:rPr>
        <w:t>éclatement à la température maximale de service doit être supérieure ou équivalente à la pression maximale de service.</w:t>
      </w:r>
      <w:r w:rsidRPr="006B24CD">
        <w:rPr>
          <w:iCs/>
          <w:lang w:val="fr-FR"/>
        </w:rPr>
        <w:t xml:space="preserve"> »</w:t>
      </w:r>
      <w:r w:rsidR="006B24CD">
        <w:rPr>
          <w:i/>
        </w:rPr>
        <w:t>.</w:t>
      </w:r>
      <w:r w:rsidRPr="006B24CD">
        <w:rPr>
          <w:i/>
        </w:rPr>
        <w:t xml:space="preserve"> </w:t>
      </w:r>
    </w:p>
    <w:p w:rsidR="00C85595" w:rsidRPr="00DE7FC1" w:rsidRDefault="006B24CD" w:rsidP="006B24CD">
      <w:pPr>
        <w:pStyle w:val="H1G"/>
        <w:rPr>
          <w:sz w:val="22"/>
          <w:szCs w:val="22"/>
        </w:rPr>
      </w:pPr>
      <w:r>
        <w:rPr>
          <w:lang w:val="fr-FR"/>
        </w:rPr>
        <w:tab/>
      </w:r>
      <w:r>
        <w:rPr>
          <w:lang w:val="fr-FR"/>
        </w:rPr>
        <w:tab/>
      </w:r>
      <w:r w:rsidR="00C85595">
        <w:rPr>
          <w:lang w:val="fr-FR"/>
        </w:rPr>
        <w:t>Proposition 8</w:t>
      </w:r>
    </w:p>
    <w:p w:rsidR="00C85595" w:rsidRPr="00DE7FC1" w:rsidRDefault="00C85595" w:rsidP="006B24CD">
      <w:pPr>
        <w:pStyle w:val="SingleTxtG"/>
      </w:pPr>
      <w:r>
        <w:rPr>
          <w:lang w:val="fr-FR"/>
        </w:rPr>
        <w:t>Paragraphes 1.6.3.49 et 1.6.4.51</w:t>
      </w:r>
      <w:r>
        <w:rPr>
          <w:lang w:val="fr-FR"/>
        </w:rPr>
        <w:tab/>
        <w:t>Remplacer «</w:t>
      </w:r>
      <w:r w:rsidR="006B24CD">
        <w:rPr>
          <w:lang w:val="fr-FR"/>
        </w:rPr>
        <w:t> </w:t>
      </w:r>
      <w:r>
        <w:rPr>
          <w:lang w:val="fr-FR"/>
        </w:rPr>
        <w:t>pressio</w:t>
      </w:r>
      <w:r w:rsidR="006B24CD">
        <w:rPr>
          <w:lang w:val="fr-FR"/>
        </w:rPr>
        <w:t>n nominale du disque de rupture » par « </w:t>
      </w:r>
      <w:r>
        <w:rPr>
          <w:lang w:val="fr-FR"/>
        </w:rPr>
        <w:t>pression d</w:t>
      </w:r>
      <w:r w:rsidR="006B24CD">
        <w:rPr>
          <w:lang w:val="fr-FR"/>
        </w:rPr>
        <w:t>’éclatement du disque de rupture </w:t>
      </w:r>
      <w:r>
        <w:rPr>
          <w:lang w:val="fr-FR"/>
        </w:rPr>
        <w:t xml:space="preserve">». </w:t>
      </w:r>
    </w:p>
    <w:p w:rsidR="00C85595" w:rsidRPr="00DE7FC1" w:rsidRDefault="00C85595" w:rsidP="006B24CD">
      <w:pPr>
        <w:pStyle w:val="H23G"/>
      </w:pPr>
      <w:r>
        <w:rPr>
          <w:lang w:val="fr-FR"/>
        </w:rPr>
        <w:tab/>
        <w:t>Point 13</w:t>
      </w:r>
      <w:r>
        <w:rPr>
          <w:lang w:val="fr-FR"/>
        </w:rPr>
        <w:tab/>
      </w:r>
      <w:r w:rsidR="00EA041C">
        <w:rPr>
          <w:lang w:val="fr-FR"/>
        </w:rPr>
        <w:t xml:space="preserve">Document informel </w:t>
      </w:r>
      <w:r w:rsidR="006B24CD">
        <w:rPr>
          <w:lang w:val="fr-FR"/>
        </w:rPr>
        <w:t>INF.36 (Allemagne) « </w:t>
      </w:r>
      <w:r>
        <w:rPr>
          <w:lang w:val="fr-FR"/>
        </w:rPr>
        <w:t>Forme en coupe transversale des rése</w:t>
      </w:r>
      <w:r w:rsidR="006B24CD">
        <w:rPr>
          <w:lang w:val="fr-FR"/>
        </w:rPr>
        <w:t>rvoirs conformément</w:t>
      </w:r>
      <w:r w:rsidR="00EA041C">
        <w:rPr>
          <w:lang w:val="fr-FR"/>
        </w:rPr>
        <w:t xml:space="preserve"> </w:t>
      </w:r>
      <w:r>
        <w:rPr>
          <w:lang w:val="fr-FR"/>
        </w:rPr>
        <w:t xml:space="preserve">au </w:t>
      </w:r>
      <w:r w:rsidRPr="004C79B7">
        <w:rPr>
          <w:lang w:val="fr-FR"/>
        </w:rPr>
        <w:t xml:space="preserve">paragraphe </w:t>
      </w:r>
      <w:r w:rsidR="006B24CD">
        <w:rPr>
          <w:lang w:val="fr-FR"/>
        </w:rPr>
        <w:t>6.8.2.1.18 du RID/ADR </w:t>
      </w:r>
      <w:r>
        <w:rPr>
          <w:lang w:val="fr-FR"/>
        </w:rPr>
        <w:t>»</w:t>
      </w:r>
    </w:p>
    <w:p w:rsidR="00C85595" w:rsidRPr="00DE7FC1" w:rsidRDefault="00C85595" w:rsidP="006B24CD">
      <w:pPr>
        <w:pStyle w:val="SingleTxtG"/>
      </w:pPr>
      <w:r>
        <w:rPr>
          <w:lang w:val="fr-FR"/>
        </w:rPr>
        <w:t>38.</w:t>
      </w:r>
      <w:r>
        <w:rPr>
          <w:lang w:val="fr-FR"/>
        </w:rPr>
        <w:tab/>
        <w:t>L</w:t>
      </w:r>
      <w:r w:rsidR="006B24CD">
        <w:rPr>
          <w:lang w:val="fr-FR"/>
        </w:rPr>
        <w:t>’</w:t>
      </w:r>
      <w:r>
        <w:rPr>
          <w:lang w:val="fr-FR"/>
        </w:rPr>
        <w:t>Allemagne a proposé de supprimer les crochets figu</w:t>
      </w:r>
      <w:r w:rsidR="00055489">
        <w:rPr>
          <w:lang w:val="fr-FR"/>
        </w:rPr>
        <w:t>rant dans la note de bas de pag</w:t>
      </w:r>
      <w:r w:rsidR="00901254">
        <w:rPr>
          <w:lang w:val="fr-FR"/>
        </w:rPr>
        <w:t>e</w:t>
      </w:r>
      <w:r w:rsidR="00055489">
        <w:rPr>
          <w:lang w:val="fr-FR"/>
        </w:rPr>
        <w:t> </w:t>
      </w:r>
      <w:r>
        <w:rPr>
          <w:lang w:val="fr-FR"/>
        </w:rPr>
        <w:t xml:space="preserve">4 (RID)/2 (ADR) du </w:t>
      </w:r>
      <w:r w:rsidRPr="004C79B7">
        <w:rPr>
          <w:lang w:val="fr-FR"/>
        </w:rPr>
        <w:t xml:space="preserve">paragraphe </w:t>
      </w:r>
      <w:r>
        <w:rPr>
          <w:lang w:val="fr-FR"/>
        </w:rPr>
        <w:t>6.8.2.1.18 pour le RID/ADR 2021. Cela sera possible grâce à l</w:t>
      </w:r>
      <w:r w:rsidR="006B24CD">
        <w:rPr>
          <w:lang w:val="fr-FR"/>
        </w:rPr>
        <w:t>’</w:t>
      </w:r>
      <w:r>
        <w:rPr>
          <w:lang w:val="fr-FR"/>
        </w:rPr>
        <w:t>ajout de nouvelles prescriptions dans le dernier pr</w:t>
      </w:r>
      <w:r w:rsidR="00055489">
        <w:rPr>
          <w:lang w:val="fr-FR"/>
        </w:rPr>
        <w:t>ojet de révision de la norme </w:t>
      </w:r>
      <w:r w:rsidR="006C6F8E">
        <w:rPr>
          <w:lang w:val="fr-FR"/>
        </w:rPr>
        <w:t>EN </w:t>
      </w:r>
      <w:r>
        <w:rPr>
          <w:lang w:val="fr-FR"/>
        </w:rPr>
        <w:t>13094, qui vise à garantir la sécurité de la construction.</w:t>
      </w:r>
      <w:r w:rsidR="00DA7133">
        <w:rPr>
          <w:lang w:val="fr-FR"/>
        </w:rPr>
        <w:t xml:space="preserve"> </w:t>
      </w:r>
      <w:r>
        <w:rPr>
          <w:lang w:val="fr-FR"/>
        </w:rPr>
        <w:t>Il a été demandé si les crochets pouvaient être supprimés dans le RID/ADR 2019 afin que la norme puisse être utilisée dès que la version révisée sera disponible. Il a été confirmé qu</w:t>
      </w:r>
      <w:r w:rsidR="006B24CD">
        <w:rPr>
          <w:lang w:val="fr-FR"/>
        </w:rPr>
        <w:t>’</w:t>
      </w:r>
      <w:r>
        <w:rPr>
          <w:lang w:val="fr-FR"/>
        </w:rPr>
        <w:t xml:space="preserve">en vertu des dispositions du </w:t>
      </w:r>
      <w:r w:rsidRPr="004C79B7">
        <w:rPr>
          <w:lang w:val="fr-FR"/>
        </w:rPr>
        <w:t xml:space="preserve">paragraphe </w:t>
      </w:r>
      <w:r>
        <w:rPr>
          <w:lang w:val="fr-FR"/>
        </w:rPr>
        <w:t>6.8.2.7, il était possible de renvoyer à une norme dans le RID/ADR avant qu</w:t>
      </w:r>
      <w:r w:rsidR="006B24CD">
        <w:rPr>
          <w:lang w:val="fr-FR"/>
        </w:rPr>
        <w:t>’</w:t>
      </w:r>
      <w:r>
        <w:rPr>
          <w:lang w:val="fr-FR"/>
        </w:rPr>
        <w:t xml:space="preserve">elle ne soit publiée et adoptée. </w:t>
      </w:r>
    </w:p>
    <w:p w:rsidR="00C85595" w:rsidRPr="00DE7FC1" w:rsidRDefault="00C85595" w:rsidP="006B24CD">
      <w:pPr>
        <w:pStyle w:val="SingleTxtG"/>
      </w:pPr>
      <w:r>
        <w:rPr>
          <w:lang w:val="fr-FR"/>
        </w:rPr>
        <w:t>39.</w:t>
      </w:r>
      <w:r>
        <w:rPr>
          <w:lang w:val="fr-FR"/>
        </w:rPr>
        <w:tab/>
        <w:t>Le Groupe de travail a appuyé la proposition de l</w:t>
      </w:r>
      <w:r w:rsidR="006B24CD">
        <w:rPr>
          <w:lang w:val="fr-FR"/>
        </w:rPr>
        <w:t>’</w:t>
      </w:r>
      <w:r>
        <w:rPr>
          <w:lang w:val="fr-FR"/>
        </w:rPr>
        <w:t>Allemagne.</w:t>
      </w:r>
    </w:p>
    <w:p w:rsidR="00C85595" w:rsidRPr="00DE7FC1" w:rsidRDefault="006B24CD" w:rsidP="006B24CD">
      <w:pPr>
        <w:pStyle w:val="H1G"/>
      </w:pPr>
      <w:r>
        <w:rPr>
          <w:lang w:val="fr-FR"/>
        </w:rPr>
        <w:tab/>
      </w:r>
      <w:r>
        <w:rPr>
          <w:lang w:val="fr-FR"/>
        </w:rPr>
        <w:tab/>
      </w:r>
      <w:r w:rsidR="00C85595">
        <w:rPr>
          <w:lang w:val="fr-FR"/>
        </w:rPr>
        <w:t>Proposition 9</w:t>
      </w:r>
    </w:p>
    <w:p w:rsidR="00C85595" w:rsidRPr="00DE7FC1" w:rsidRDefault="00C85595" w:rsidP="006B24CD">
      <w:pPr>
        <w:pStyle w:val="SingleTxtG"/>
      </w:pPr>
      <w:r>
        <w:rPr>
          <w:lang w:val="fr-FR"/>
        </w:rPr>
        <w:t>P</w:t>
      </w:r>
      <w:r w:rsidRPr="004C79B7">
        <w:rPr>
          <w:lang w:val="fr-FR"/>
        </w:rPr>
        <w:t xml:space="preserve">aragraphe </w:t>
      </w:r>
      <w:r>
        <w:rPr>
          <w:lang w:val="fr-FR"/>
        </w:rPr>
        <w:t xml:space="preserve">6.8.2.1.18 </w:t>
      </w:r>
      <w:r>
        <w:rPr>
          <w:lang w:val="fr-FR"/>
        </w:rPr>
        <w:tab/>
        <w:t xml:space="preserve">Supprimer les crochets entourant la proposition de modification de la note de bas de page 4 (RID)/2 (ADR) du </w:t>
      </w:r>
      <w:r w:rsidRPr="004C79B7">
        <w:rPr>
          <w:lang w:val="fr-FR"/>
        </w:rPr>
        <w:t xml:space="preserve">paragraphe </w:t>
      </w:r>
      <w:r>
        <w:rPr>
          <w:lang w:val="fr-FR"/>
        </w:rPr>
        <w:t>6.8.2.1.18 dans l</w:t>
      </w:r>
      <w:r w:rsidR="006B24CD">
        <w:rPr>
          <w:lang w:val="fr-FR"/>
        </w:rPr>
        <w:t>’</w:t>
      </w:r>
      <w:r>
        <w:rPr>
          <w:lang w:val="fr-FR"/>
        </w:rPr>
        <w:t>annexe I</w:t>
      </w:r>
      <w:r w:rsidR="00DA7133">
        <w:rPr>
          <w:lang w:val="fr-FR"/>
        </w:rPr>
        <w:t xml:space="preserve"> </w:t>
      </w:r>
      <w:r>
        <w:rPr>
          <w:lang w:val="fr-FR"/>
        </w:rPr>
        <w:t>du document ECE/TRANS/WP.15/AC.1/148/Add.1</w:t>
      </w:r>
      <w:r w:rsidR="009C6415">
        <w:rPr>
          <w:lang w:val="fr-FR"/>
        </w:rPr>
        <w:t>, annexe I</w:t>
      </w:r>
      <w:r>
        <w:rPr>
          <w:lang w:val="fr-FR"/>
        </w:rPr>
        <w:t xml:space="preserve">. </w:t>
      </w:r>
    </w:p>
    <w:p w:rsidR="00C85595" w:rsidRPr="00DE7FC1" w:rsidRDefault="00C85595" w:rsidP="006B24CD">
      <w:pPr>
        <w:pStyle w:val="H23G"/>
      </w:pPr>
      <w:r>
        <w:rPr>
          <w:lang w:val="fr-FR"/>
        </w:rPr>
        <w:tab/>
        <w:t>Point 14</w:t>
      </w:r>
      <w:r>
        <w:rPr>
          <w:lang w:val="fr-FR"/>
        </w:rPr>
        <w:tab/>
        <w:t>Docu</w:t>
      </w:r>
      <w:r w:rsidR="006B24CD">
        <w:rPr>
          <w:lang w:val="fr-FR"/>
        </w:rPr>
        <w:t>ment informel INF.40 (France) « </w:t>
      </w:r>
      <w:r>
        <w:rPr>
          <w:lang w:val="fr-FR"/>
        </w:rPr>
        <w:t>C</w:t>
      </w:r>
      <w:r w:rsidR="006B24CD">
        <w:rPr>
          <w:lang w:val="fr-FR"/>
        </w:rPr>
        <w:t>orrection à apporter au tableau</w:t>
      </w:r>
      <w:r w:rsidR="006B24CD">
        <w:rPr>
          <w:lang w:val="fr-FR"/>
        </w:rPr>
        <w:br/>
      </w:r>
      <w:r>
        <w:rPr>
          <w:lang w:val="fr-FR"/>
        </w:rPr>
        <w:t xml:space="preserve">du </w:t>
      </w:r>
      <w:r w:rsidRPr="004C79B7">
        <w:rPr>
          <w:lang w:val="fr-FR"/>
        </w:rPr>
        <w:t xml:space="preserve">paragraphe </w:t>
      </w:r>
      <w:r>
        <w:rPr>
          <w:lang w:val="fr-FR"/>
        </w:rPr>
        <w:t>6.8.2.6.1</w:t>
      </w:r>
      <w:r w:rsidR="006B24CD">
        <w:rPr>
          <w:lang w:val="fr-FR"/>
        </w:rPr>
        <w:t> </w:t>
      </w:r>
      <w:r>
        <w:rPr>
          <w:lang w:val="fr-FR"/>
        </w:rPr>
        <w:t>»</w:t>
      </w:r>
    </w:p>
    <w:p w:rsidR="00C85595" w:rsidRPr="00DE7FC1" w:rsidRDefault="00C85595" w:rsidP="006B24CD">
      <w:pPr>
        <w:pStyle w:val="SingleTxtG"/>
      </w:pPr>
      <w:r>
        <w:rPr>
          <w:lang w:val="fr-FR"/>
        </w:rPr>
        <w:t>40.</w:t>
      </w:r>
      <w:r>
        <w:rPr>
          <w:lang w:val="fr-FR"/>
        </w:rPr>
        <w:tab/>
        <w:t>Dans la rubrique concern</w:t>
      </w:r>
      <w:r w:rsidR="00055489">
        <w:rPr>
          <w:lang w:val="fr-FR"/>
        </w:rPr>
        <w:t xml:space="preserve">ant les normes 14432:2014 et </w:t>
      </w:r>
      <w:r w:rsidR="006C6F8E">
        <w:rPr>
          <w:lang w:val="fr-FR"/>
        </w:rPr>
        <w:t>EN </w:t>
      </w:r>
      <w:r w:rsidR="00055489">
        <w:rPr>
          <w:lang w:val="fr-FR"/>
        </w:rPr>
        <w:t>14433:2014 de la colonne </w:t>
      </w:r>
      <w:r>
        <w:rPr>
          <w:lang w:val="fr-FR"/>
        </w:rPr>
        <w:t>2 du tableau figurant au paragraphe</w:t>
      </w:r>
      <w:r w:rsidR="00055489">
        <w:rPr>
          <w:lang w:val="fr-FR"/>
        </w:rPr>
        <w:t> </w:t>
      </w:r>
      <w:r>
        <w:rPr>
          <w:lang w:val="fr-FR"/>
        </w:rPr>
        <w:t>6.8.2.6.1, un nota explique que les vannes visées par ces normes, quel que soit leur titre, peuvent également être utilisées pour les citernes fabriq</w:t>
      </w:r>
      <w:r w:rsidR="00055489">
        <w:rPr>
          <w:lang w:val="fr-FR"/>
        </w:rPr>
        <w:t xml:space="preserve">uées conformément à la norme </w:t>
      </w:r>
      <w:r w:rsidR="006C6F8E">
        <w:rPr>
          <w:lang w:val="fr-FR"/>
        </w:rPr>
        <w:t>EN </w:t>
      </w:r>
      <w:r>
        <w:rPr>
          <w:lang w:val="fr-FR"/>
        </w:rPr>
        <w:t xml:space="preserve">13094. Le libellé du nota est basé sur le titre de la norme </w:t>
      </w:r>
      <w:r w:rsidR="006C6F8E">
        <w:rPr>
          <w:lang w:val="fr-FR"/>
        </w:rPr>
        <w:t>EN </w:t>
      </w:r>
      <w:r>
        <w:rPr>
          <w:lang w:val="fr-FR"/>
        </w:rPr>
        <w:t>13094, qui sera modifié lors de la prochaine révision.</w:t>
      </w:r>
    </w:p>
    <w:p w:rsidR="00C85595" w:rsidRPr="00DE7FC1" w:rsidRDefault="006B24CD" w:rsidP="006B24CD">
      <w:pPr>
        <w:pStyle w:val="H1G"/>
      </w:pPr>
      <w:r>
        <w:rPr>
          <w:lang w:val="fr-FR"/>
        </w:rPr>
        <w:tab/>
      </w:r>
      <w:r>
        <w:rPr>
          <w:lang w:val="fr-FR"/>
        </w:rPr>
        <w:tab/>
      </w:r>
      <w:r w:rsidR="00C85595">
        <w:rPr>
          <w:lang w:val="fr-FR"/>
        </w:rPr>
        <w:t>Proposition 10</w:t>
      </w:r>
    </w:p>
    <w:p w:rsidR="00C85595" w:rsidRPr="00DE7FC1" w:rsidRDefault="001F4486" w:rsidP="006B24CD">
      <w:pPr>
        <w:pStyle w:val="SingleTxtG"/>
      </w:pPr>
      <w:r>
        <w:rPr>
          <w:lang w:val="fr-FR"/>
        </w:rPr>
        <w:t xml:space="preserve">6.8.2.6.1 </w:t>
      </w:r>
      <w:r w:rsidR="00055489">
        <w:rPr>
          <w:lang w:val="fr-FR"/>
        </w:rPr>
        <w:t xml:space="preserve">Pour les normes </w:t>
      </w:r>
      <w:r w:rsidR="006C6F8E">
        <w:rPr>
          <w:lang w:val="fr-FR"/>
        </w:rPr>
        <w:t>EN </w:t>
      </w:r>
      <w:r w:rsidR="00C85595">
        <w:rPr>
          <w:lang w:val="fr-FR"/>
        </w:rPr>
        <w:t xml:space="preserve">14432:2014 et </w:t>
      </w:r>
      <w:r w:rsidR="006C6F8E">
        <w:rPr>
          <w:lang w:val="fr-FR"/>
        </w:rPr>
        <w:t>EN </w:t>
      </w:r>
      <w:r w:rsidR="00C85595">
        <w:rPr>
          <w:lang w:val="fr-FR"/>
        </w:rPr>
        <w:t>14433:2014, ajouter</w:t>
      </w:r>
      <w:r w:rsidR="00DA7133">
        <w:rPr>
          <w:lang w:val="fr-FR"/>
        </w:rPr>
        <w:t xml:space="preserve"> </w:t>
      </w:r>
      <w:r w:rsidR="00055489">
        <w:rPr>
          <w:lang w:val="fr-FR"/>
        </w:rPr>
        <w:t>le nota suivant dans la colonne </w:t>
      </w:r>
      <w:r w:rsidR="00C85595">
        <w:rPr>
          <w:lang w:val="fr-FR"/>
        </w:rPr>
        <w:t xml:space="preserve">2 du tableau du </w:t>
      </w:r>
      <w:r w:rsidR="00C85595" w:rsidRPr="004C79B7">
        <w:rPr>
          <w:lang w:val="fr-FR"/>
        </w:rPr>
        <w:t xml:space="preserve">paragraphe </w:t>
      </w:r>
      <w:r w:rsidR="00C85595">
        <w:rPr>
          <w:lang w:val="fr-FR"/>
        </w:rPr>
        <w:t>6.8.2.6.1</w:t>
      </w:r>
      <w:r w:rsidR="00DA7133">
        <w:rPr>
          <w:lang w:val="fr-FR"/>
        </w:rPr>
        <w:t> :</w:t>
      </w:r>
      <w:r w:rsidR="00C85595">
        <w:rPr>
          <w:lang w:val="fr-FR"/>
        </w:rPr>
        <w:t xml:space="preserve"> «</w:t>
      </w:r>
      <w:r w:rsidR="006B24CD">
        <w:rPr>
          <w:lang w:val="fr-FR"/>
        </w:rPr>
        <w:t> </w:t>
      </w:r>
      <w:r w:rsidR="00C85595" w:rsidRPr="0044380E">
        <w:rPr>
          <w:b/>
          <w:i/>
          <w:lang w:val="fr-FR"/>
        </w:rPr>
        <w:t>NOTA </w:t>
      </w:r>
      <w:r w:rsidR="00C85595" w:rsidRPr="0044380E">
        <w:rPr>
          <w:i/>
          <w:lang w:val="fr-FR"/>
        </w:rPr>
        <w:t>: Cette norme peut également être appliquée aux citernes à vidange par gravité</w:t>
      </w:r>
      <w:r w:rsidR="006B24CD">
        <w:rPr>
          <w:lang w:val="fr-FR"/>
        </w:rPr>
        <w:t>. </w:t>
      </w:r>
      <w:r w:rsidR="00C85595">
        <w:rPr>
          <w:lang w:val="fr-FR"/>
        </w:rPr>
        <w:t>».</w:t>
      </w:r>
    </w:p>
    <w:p w:rsidR="00C85595" w:rsidRPr="00DE7FC1" w:rsidRDefault="00C85595" w:rsidP="006B24CD">
      <w:pPr>
        <w:pStyle w:val="H23G"/>
      </w:pPr>
      <w:r>
        <w:rPr>
          <w:lang w:val="fr-FR"/>
        </w:rPr>
        <w:tab/>
        <w:t>Point 15</w:t>
      </w:r>
      <w:r w:rsidR="006B24CD">
        <w:rPr>
          <w:lang w:val="fr-FR"/>
        </w:rPr>
        <w:tab/>
      </w:r>
      <w:r>
        <w:rPr>
          <w:lang w:val="fr-FR"/>
        </w:rPr>
        <w:t xml:space="preserve">Document </w:t>
      </w:r>
      <w:r w:rsidR="006B24CD">
        <w:rPr>
          <w:lang w:val="fr-FR"/>
        </w:rPr>
        <w:t>informel INF.41 (Royaume-Uni) « </w:t>
      </w:r>
      <w:r>
        <w:rPr>
          <w:lang w:val="fr-FR"/>
        </w:rPr>
        <w:t>Citernes</w:t>
      </w:r>
      <w:r w:rsidR="00DA7133">
        <w:rPr>
          <w:lang w:val="fr-FR"/>
        </w:rPr>
        <w:t> :</w:t>
      </w:r>
      <w:r w:rsidR="008C7AF7">
        <w:rPr>
          <w:lang w:val="fr-FR"/>
        </w:rPr>
        <w:t xml:space="preserve"> </w:t>
      </w:r>
      <w:r w:rsidR="00C35B91">
        <w:rPr>
          <w:lang w:val="fr-FR"/>
        </w:rPr>
        <w:t>U</w:t>
      </w:r>
      <w:r w:rsidR="008C7AF7">
        <w:rPr>
          <w:lang w:val="fr-FR"/>
        </w:rPr>
        <w:t>tilisation des ultrasons</w:t>
      </w:r>
      <w:r w:rsidR="008C7AF7">
        <w:rPr>
          <w:lang w:val="fr-FR"/>
        </w:rPr>
        <w:br/>
      </w:r>
      <w:r>
        <w:rPr>
          <w:lang w:val="fr-FR"/>
        </w:rPr>
        <w:t>dans le cadre des épreuves non destructives réalisées sur</w:t>
      </w:r>
      <w:r w:rsidR="006B24CD">
        <w:rPr>
          <w:lang w:val="fr-FR"/>
        </w:rPr>
        <w:t xml:space="preserve"> les aciers inoxydables austéno</w:t>
      </w:r>
      <w:r w:rsidR="006B24CD">
        <w:rPr>
          <w:lang w:val="fr-FR"/>
        </w:rPr>
        <w:noBreakHyphen/>
        <w:t>ferritiques </w:t>
      </w:r>
      <w:r>
        <w:rPr>
          <w:lang w:val="fr-FR"/>
        </w:rPr>
        <w:t>»</w:t>
      </w:r>
    </w:p>
    <w:p w:rsidR="00C85595" w:rsidRPr="00DE7FC1" w:rsidRDefault="00C85595" w:rsidP="006B24CD">
      <w:pPr>
        <w:pStyle w:val="SingleTxtG"/>
      </w:pPr>
      <w:r>
        <w:rPr>
          <w:lang w:val="fr-FR"/>
        </w:rPr>
        <w:t>41.</w:t>
      </w:r>
      <w:r>
        <w:rPr>
          <w:lang w:val="fr-FR"/>
        </w:rPr>
        <w:tab/>
        <w:t>Le document propose d</w:t>
      </w:r>
      <w:r w:rsidR="006B24CD">
        <w:rPr>
          <w:lang w:val="fr-FR"/>
        </w:rPr>
        <w:t>’</w:t>
      </w:r>
      <w:r>
        <w:rPr>
          <w:lang w:val="fr-FR"/>
        </w:rPr>
        <w:t>ajouter une remarque de précaution concernant l</w:t>
      </w:r>
      <w:r w:rsidR="006B24CD">
        <w:rPr>
          <w:lang w:val="fr-FR"/>
        </w:rPr>
        <w:t>’</w:t>
      </w:r>
      <w:r>
        <w:rPr>
          <w:lang w:val="fr-FR"/>
        </w:rPr>
        <w:t>utilisation des ultrasons pour le contrôle des soudures des aciers inoxydables austéno-ferritiques. Toutefois, il a été noté que la p</w:t>
      </w:r>
      <w:r w:rsidR="00055489">
        <w:rPr>
          <w:lang w:val="fr-FR"/>
        </w:rPr>
        <w:t xml:space="preserve">rochaine version de la norme </w:t>
      </w:r>
      <w:r w:rsidR="006C6F8E">
        <w:rPr>
          <w:lang w:val="fr-FR"/>
        </w:rPr>
        <w:t>EN </w:t>
      </w:r>
      <w:r>
        <w:rPr>
          <w:lang w:val="fr-FR"/>
        </w:rPr>
        <w:t>12972 ne permettrait pas l</w:t>
      </w:r>
      <w:r w:rsidR="006B24CD">
        <w:rPr>
          <w:lang w:val="fr-FR"/>
        </w:rPr>
        <w:t>’</w:t>
      </w:r>
      <w:r>
        <w:rPr>
          <w:lang w:val="fr-FR"/>
        </w:rPr>
        <w:t>utilisation des ultrasons pour l</w:t>
      </w:r>
      <w:r w:rsidR="006B24CD">
        <w:rPr>
          <w:lang w:val="fr-FR"/>
        </w:rPr>
        <w:t>’</w:t>
      </w:r>
      <w:r>
        <w:rPr>
          <w:lang w:val="fr-FR"/>
        </w:rPr>
        <w:t>inspection des soudures et que cela rendait la proposition superflue.</w:t>
      </w:r>
    </w:p>
    <w:p w:rsidR="00C85595" w:rsidRPr="00DE7FC1" w:rsidRDefault="00C85595" w:rsidP="006B24CD">
      <w:pPr>
        <w:pStyle w:val="H23G"/>
      </w:pPr>
      <w:r>
        <w:rPr>
          <w:lang w:val="fr-FR"/>
        </w:rPr>
        <w:tab/>
        <w:t xml:space="preserve">Point 16 </w:t>
      </w:r>
      <w:r>
        <w:rPr>
          <w:lang w:val="fr-FR"/>
        </w:rPr>
        <w:tab/>
        <w:t>Questions diverses</w:t>
      </w:r>
    </w:p>
    <w:p w:rsidR="00C85595" w:rsidRPr="00DE7FC1" w:rsidRDefault="00C85595" w:rsidP="006B24CD">
      <w:pPr>
        <w:pStyle w:val="SingleTxtG"/>
      </w:pPr>
      <w:r>
        <w:rPr>
          <w:lang w:val="fr-FR"/>
        </w:rPr>
        <w:t>42.</w:t>
      </w:r>
      <w:r>
        <w:rPr>
          <w:lang w:val="fr-FR"/>
        </w:rPr>
        <w:tab/>
        <w:t>Le Royaume-Uni a soulevé deux questions concernant les citernes à déchets opérant sous vide, sur lesquel</w:t>
      </w:r>
      <w:r w:rsidR="00D4047C">
        <w:rPr>
          <w:lang w:val="fr-FR"/>
        </w:rPr>
        <w:t>le</w:t>
      </w:r>
      <w:r>
        <w:rPr>
          <w:lang w:val="fr-FR"/>
        </w:rPr>
        <w:t>s le Groupe de travail a donné son avis. La première question portait sur l</w:t>
      </w:r>
      <w:r w:rsidR="006B24CD">
        <w:rPr>
          <w:lang w:val="fr-FR"/>
        </w:rPr>
        <w:t>’</w:t>
      </w:r>
      <w:r>
        <w:rPr>
          <w:lang w:val="fr-FR"/>
        </w:rPr>
        <w:t xml:space="preserve">applicabilité des dispositions du </w:t>
      </w:r>
      <w:r w:rsidR="00055489">
        <w:rPr>
          <w:lang w:val="fr-FR"/>
        </w:rPr>
        <w:t>paragraphe </w:t>
      </w:r>
      <w:r>
        <w:rPr>
          <w:lang w:val="fr-FR"/>
        </w:rPr>
        <w:t xml:space="preserve">6.8.2.1.28 à la protection des équipements placés au-dessus de ces citernes, étant donné que le </w:t>
      </w:r>
      <w:r w:rsidR="00055489">
        <w:rPr>
          <w:lang w:val="fr-FR"/>
        </w:rPr>
        <w:t>paragraphe </w:t>
      </w:r>
      <w:r>
        <w:rPr>
          <w:lang w:val="fr-FR"/>
        </w:rPr>
        <w:t>6.10.3.1 établit que ces équipement</w:t>
      </w:r>
      <w:r w:rsidR="00BF07C1">
        <w:rPr>
          <w:lang w:val="fr-FR"/>
        </w:rPr>
        <w:t>s</w:t>
      </w:r>
      <w:r>
        <w:rPr>
          <w:lang w:val="fr-FR"/>
        </w:rPr>
        <w:t xml:space="preserve"> peuvent </w:t>
      </w:r>
      <w:r w:rsidR="00DA7133">
        <w:rPr>
          <w:lang w:val="fr-FR"/>
        </w:rPr>
        <w:t>être placés dans la zone dite « protégée </w:t>
      </w:r>
      <w:r>
        <w:rPr>
          <w:lang w:val="fr-FR"/>
        </w:rPr>
        <w:t>». Il a été i</w:t>
      </w:r>
      <w:r w:rsidR="00DA7133">
        <w:rPr>
          <w:lang w:val="fr-FR"/>
        </w:rPr>
        <w:t xml:space="preserve">ndiqué </w:t>
      </w:r>
      <w:r w:rsidR="005B1834">
        <w:rPr>
          <w:lang w:val="fr-FR"/>
        </w:rPr>
        <w:t xml:space="preserve">que </w:t>
      </w:r>
      <w:r>
        <w:rPr>
          <w:lang w:val="fr-FR"/>
        </w:rPr>
        <w:t>c</w:t>
      </w:r>
      <w:r w:rsidR="006B24CD">
        <w:rPr>
          <w:lang w:val="fr-FR"/>
        </w:rPr>
        <w:t>’</w:t>
      </w:r>
      <w:r>
        <w:rPr>
          <w:lang w:val="fr-FR"/>
        </w:rPr>
        <w:t xml:space="preserve">était permis en raison de la robustesse de ces modèles de citernes. La seconde question concernait le contrôle des équipements des citernes à déchets opérant sous vide, qui ne sont pas expressément visés par la norme </w:t>
      </w:r>
      <w:r w:rsidR="006C6F8E">
        <w:rPr>
          <w:lang w:val="fr-FR"/>
        </w:rPr>
        <w:t>EN </w:t>
      </w:r>
      <w:r>
        <w:rPr>
          <w:lang w:val="fr-FR"/>
        </w:rPr>
        <w:t>12972. À cet égard, le Groupe de travail a considéré que les dispositions</w:t>
      </w:r>
      <w:r w:rsidR="00DA7133">
        <w:rPr>
          <w:lang w:val="fr-FR"/>
        </w:rPr>
        <w:t xml:space="preserve"> </w:t>
      </w:r>
      <w:r>
        <w:rPr>
          <w:lang w:val="fr-FR"/>
        </w:rPr>
        <w:t xml:space="preserve">des </w:t>
      </w:r>
      <w:r w:rsidRPr="004C79B7">
        <w:rPr>
          <w:lang w:val="fr-FR"/>
        </w:rPr>
        <w:t>paragraphe</w:t>
      </w:r>
      <w:r>
        <w:rPr>
          <w:lang w:val="fr-FR"/>
        </w:rPr>
        <w:t>s</w:t>
      </w:r>
      <w:r w:rsidRPr="004C79B7">
        <w:rPr>
          <w:lang w:val="fr-FR"/>
        </w:rPr>
        <w:t xml:space="preserve"> </w:t>
      </w:r>
      <w:r w:rsidR="00DA7133">
        <w:rPr>
          <w:lang w:val="fr-FR"/>
        </w:rPr>
        <w:t>6.8.2.4.2 et</w:t>
      </w:r>
      <w:r w:rsidRPr="004C79B7">
        <w:rPr>
          <w:lang w:val="fr-FR"/>
        </w:rPr>
        <w:t xml:space="preserve"> </w:t>
      </w:r>
      <w:r>
        <w:rPr>
          <w:lang w:val="fr-FR"/>
        </w:rPr>
        <w:t>6.8.2.4.3 permettaient de garantir que le bon fonctionnement de ces équipements était vérifié lors des contrôles.</w:t>
      </w:r>
    </w:p>
    <w:p w:rsidR="00F9573C" w:rsidRDefault="00C85595" w:rsidP="006B24CD">
      <w:pPr>
        <w:pStyle w:val="SingleTxtG"/>
        <w:rPr>
          <w:lang w:val="fr-FR"/>
        </w:rPr>
      </w:pPr>
      <w:r>
        <w:rPr>
          <w:lang w:val="fr-FR"/>
        </w:rPr>
        <w:t>43.</w:t>
      </w:r>
      <w:r>
        <w:rPr>
          <w:lang w:val="fr-FR"/>
        </w:rPr>
        <w:tab/>
        <w:t>L</w:t>
      </w:r>
      <w:r w:rsidR="006B24CD">
        <w:rPr>
          <w:lang w:val="fr-FR"/>
        </w:rPr>
        <w:t>’</w:t>
      </w:r>
      <w:r>
        <w:rPr>
          <w:lang w:val="fr-FR"/>
        </w:rPr>
        <w:t>Organisation international des conteneurs-citernes (ITCO) a indiqué que la dé</w:t>
      </w:r>
      <w:r w:rsidR="006B24CD">
        <w:rPr>
          <w:lang w:val="fr-FR"/>
        </w:rPr>
        <w:t>finition proposée</w:t>
      </w:r>
      <w:r w:rsidR="00DA7133">
        <w:rPr>
          <w:lang w:val="fr-FR"/>
        </w:rPr>
        <w:t xml:space="preserve"> </w:t>
      </w:r>
      <w:r w:rsidR="006B24CD">
        <w:rPr>
          <w:lang w:val="fr-FR"/>
        </w:rPr>
        <w:t>à la section 1.2.1 pour le terme « exploitant </w:t>
      </w:r>
      <w:r>
        <w:rPr>
          <w:lang w:val="fr-FR"/>
        </w:rPr>
        <w:t>» en lien avec l</w:t>
      </w:r>
      <w:r w:rsidR="006B24CD">
        <w:rPr>
          <w:lang w:val="fr-FR"/>
        </w:rPr>
        <w:t>’</w:t>
      </w:r>
      <w:r>
        <w:rPr>
          <w:lang w:val="fr-FR"/>
        </w:rPr>
        <w:t>immatriculation des conteneurs-citernes ou des citernes mobiles entraînait des difficultés d</w:t>
      </w:r>
      <w:r w:rsidR="006B24CD">
        <w:rPr>
          <w:lang w:val="fr-FR"/>
        </w:rPr>
        <w:t>’</w:t>
      </w:r>
      <w:r>
        <w:rPr>
          <w:lang w:val="fr-FR"/>
        </w:rPr>
        <w:t>application, de telle sorte que, dans certains pays, les propriétaires se voient parfois infliger des amendes car l</w:t>
      </w:r>
      <w:r w:rsidR="006B24CD">
        <w:rPr>
          <w:lang w:val="fr-FR"/>
        </w:rPr>
        <w:t>’</w:t>
      </w:r>
      <w:r>
        <w:rPr>
          <w:lang w:val="fr-FR"/>
        </w:rPr>
        <w:t>immatriculation est à leur nom alors que le conteneur-citerne est loué à un tiers. L</w:t>
      </w:r>
      <w:r w:rsidR="006B24CD">
        <w:rPr>
          <w:lang w:val="fr-FR"/>
        </w:rPr>
        <w:t>’</w:t>
      </w:r>
      <w:r>
        <w:rPr>
          <w:lang w:val="fr-FR"/>
        </w:rPr>
        <w:t xml:space="preserve">ITCO a été invitée </w:t>
      </w:r>
      <w:r w:rsidR="00D22D57">
        <w:rPr>
          <w:lang w:val="fr-FR"/>
        </w:rPr>
        <w:t xml:space="preserve">à </w:t>
      </w:r>
      <w:r>
        <w:rPr>
          <w:lang w:val="fr-FR"/>
        </w:rPr>
        <w:t>examiner comment cette définition pourrait être modifiée, en gardant à l</w:t>
      </w:r>
      <w:r w:rsidR="006B24CD">
        <w:rPr>
          <w:lang w:val="fr-FR"/>
        </w:rPr>
        <w:t>’</w:t>
      </w:r>
      <w:r>
        <w:rPr>
          <w:lang w:val="fr-FR"/>
        </w:rPr>
        <w:t>esprit que le</w:t>
      </w:r>
      <w:r w:rsidR="00C307FE">
        <w:rPr>
          <w:lang w:val="fr-FR"/>
        </w:rPr>
        <w:t>s</w:t>
      </w:r>
      <w:r>
        <w:rPr>
          <w:lang w:val="fr-FR"/>
        </w:rPr>
        <w:t xml:space="preserve"> nom</w:t>
      </w:r>
      <w:r w:rsidR="00C307FE">
        <w:rPr>
          <w:lang w:val="fr-FR"/>
        </w:rPr>
        <w:t>s</w:t>
      </w:r>
      <w:r>
        <w:rPr>
          <w:lang w:val="fr-FR"/>
        </w:rPr>
        <w:t xml:space="preserve"> du propriétaire et de l</w:t>
      </w:r>
      <w:r w:rsidR="006B24CD">
        <w:rPr>
          <w:lang w:val="fr-FR"/>
        </w:rPr>
        <w:t>’</w:t>
      </w:r>
      <w:r>
        <w:rPr>
          <w:lang w:val="fr-FR"/>
        </w:rPr>
        <w:t>exploitant doivent figurer sur le conteneur-citerne et sur la citerne mobile.</w:t>
      </w:r>
    </w:p>
    <w:p w:rsidR="006B24CD" w:rsidRPr="006B24CD" w:rsidRDefault="006B24CD" w:rsidP="006B24C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B24CD" w:rsidRPr="006B24CD" w:rsidSect="006F445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36A" w:rsidRDefault="000B436A" w:rsidP="00F95C08">
      <w:pPr>
        <w:spacing w:line="240" w:lineRule="auto"/>
      </w:pPr>
    </w:p>
  </w:endnote>
  <w:endnote w:type="continuationSeparator" w:id="0">
    <w:p w:rsidR="000B436A" w:rsidRPr="00AC3823" w:rsidRDefault="000B436A" w:rsidP="00AC3823">
      <w:pPr>
        <w:pStyle w:val="Footer"/>
      </w:pPr>
    </w:p>
  </w:endnote>
  <w:endnote w:type="continuationNotice" w:id="1">
    <w:p w:rsidR="000B436A" w:rsidRDefault="000B43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6A" w:rsidRPr="006F4450" w:rsidRDefault="000B436A" w:rsidP="006F4450">
    <w:pPr>
      <w:pStyle w:val="Footer"/>
      <w:tabs>
        <w:tab w:val="right" w:pos="9638"/>
      </w:tabs>
    </w:pPr>
    <w:r w:rsidRPr="006F4450">
      <w:rPr>
        <w:b/>
        <w:sz w:val="18"/>
      </w:rPr>
      <w:fldChar w:fldCharType="begin"/>
    </w:r>
    <w:r w:rsidRPr="006F4450">
      <w:rPr>
        <w:b/>
        <w:sz w:val="18"/>
      </w:rPr>
      <w:instrText xml:space="preserve"> PAGE  \* MERGEFORMAT </w:instrText>
    </w:r>
    <w:r w:rsidRPr="006F4450">
      <w:rPr>
        <w:b/>
        <w:sz w:val="18"/>
      </w:rPr>
      <w:fldChar w:fldCharType="separate"/>
    </w:r>
    <w:r w:rsidR="000C2B44">
      <w:rPr>
        <w:b/>
        <w:noProof/>
        <w:sz w:val="18"/>
      </w:rPr>
      <w:t>10</w:t>
    </w:r>
    <w:r w:rsidRPr="006F4450">
      <w:rPr>
        <w:b/>
        <w:sz w:val="18"/>
      </w:rPr>
      <w:fldChar w:fldCharType="end"/>
    </w:r>
    <w:r>
      <w:rPr>
        <w:b/>
        <w:sz w:val="18"/>
      </w:rPr>
      <w:tab/>
    </w:r>
    <w:r>
      <w:t>GE.18-05630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6A" w:rsidRPr="006F4450" w:rsidRDefault="000B436A" w:rsidP="006F4450">
    <w:pPr>
      <w:pStyle w:val="Footer"/>
      <w:tabs>
        <w:tab w:val="right" w:pos="9638"/>
      </w:tabs>
      <w:rPr>
        <w:b/>
        <w:sz w:val="18"/>
      </w:rPr>
    </w:pPr>
    <w:r>
      <w:t>GE.18-05630</w:t>
    </w:r>
    <w:r>
      <w:tab/>
    </w:r>
    <w:r w:rsidRPr="006F4450">
      <w:rPr>
        <w:b/>
        <w:sz w:val="18"/>
      </w:rPr>
      <w:fldChar w:fldCharType="begin"/>
    </w:r>
    <w:r w:rsidRPr="006F4450">
      <w:rPr>
        <w:b/>
        <w:sz w:val="18"/>
      </w:rPr>
      <w:instrText xml:space="preserve"> PAGE  \* MERGEFORMAT </w:instrText>
    </w:r>
    <w:r w:rsidRPr="006F4450">
      <w:rPr>
        <w:b/>
        <w:sz w:val="18"/>
      </w:rPr>
      <w:fldChar w:fldCharType="separate"/>
    </w:r>
    <w:r w:rsidR="000C2B44">
      <w:rPr>
        <w:b/>
        <w:noProof/>
        <w:sz w:val="18"/>
      </w:rPr>
      <w:t>9</w:t>
    </w:r>
    <w:r w:rsidRPr="006F44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6A" w:rsidRPr="006F4450" w:rsidRDefault="000B436A" w:rsidP="006F4450">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18-05630  (F)    230718    270718</w:t>
    </w:r>
    <w:r>
      <w:rPr>
        <w:sz w:val="20"/>
      </w:rPr>
      <w:br/>
    </w:r>
    <w:r w:rsidRPr="006F4450">
      <w:rPr>
        <w:rFonts w:ascii="C39T30Lfz" w:hAnsi="C39T30Lfz"/>
        <w:sz w:val="56"/>
      </w:rPr>
      <w:t></w:t>
    </w:r>
    <w:r w:rsidRPr="006F4450">
      <w:rPr>
        <w:rFonts w:ascii="C39T30Lfz" w:hAnsi="C39T30Lfz"/>
        <w:sz w:val="56"/>
      </w:rPr>
      <w:t></w:t>
    </w:r>
    <w:r w:rsidRPr="006F4450">
      <w:rPr>
        <w:rFonts w:ascii="C39T30Lfz" w:hAnsi="C39T30Lfz"/>
        <w:sz w:val="56"/>
      </w:rPr>
      <w:t></w:t>
    </w:r>
    <w:r w:rsidRPr="006F4450">
      <w:rPr>
        <w:rFonts w:ascii="C39T30Lfz" w:hAnsi="C39T30Lfz"/>
        <w:sz w:val="56"/>
      </w:rPr>
      <w:t></w:t>
    </w:r>
    <w:r w:rsidRPr="006F4450">
      <w:rPr>
        <w:rFonts w:ascii="C39T30Lfz" w:hAnsi="C39T30Lfz"/>
        <w:sz w:val="56"/>
      </w:rPr>
      <w:t></w:t>
    </w:r>
    <w:r w:rsidRPr="006F4450">
      <w:rPr>
        <w:rFonts w:ascii="C39T30Lfz" w:hAnsi="C39T30Lfz"/>
        <w:sz w:val="56"/>
      </w:rPr>
      <w:t></w:t>
    </w:r>
    <w:r w:rsidRPr="006F4450">
      <w:rPr>
        <w:rFonts w:ascii="C39T30Lfz" w:hAnsi="C39T30Lfz"/>
        <w:sz w:val="56"/>
      </w:rPr>
      <w:t></w:t>
    </w:r>
    <w:r w:rsidRPr="006F4450">
      <w:rPr>
        <w:rFonts w:ascii="C39T30Lfz" w:hAnsi="C39T30Lfz"/>
        <w:sz w:val="56"/>
      </w:rPr>
      <w:t></w:t>
    </w:r>
    <w:r w:rsidRPr="006F445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150/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50/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36A" w:rsidRPr="00AC3823" w:rsidRDefault="000B436A" w:rsidP="00AC3823">
      <w:pPr>
        <w:pStyle w:val="Footer"/>
        <w:tabs>
          <w:tab w:val="right" w:pos="2155"/>
        </w:tabs>
        <w:spacing w:after="80" w:line="240" w:lineRule="atLeast"/>
        <w:ind w:left="680"/>
        <w:rPr>
          <w:u w:val="single"/>
        </w:rPr>
      </w:pPr>
      <w:r>
        <w:rPr>
          <w:u w:val="single"/>
        </w:rPr>
        <w:tab/>
      </w:r>
    </w:p>
  </w:footnote>
  <w:footnote w:type="continuationSeparator" w:id="0">
    <w:p w:rsidR="000B436A" w:rsidRPr="00AC3823" w:rsidRDefault="000B436A" w:rsidP="00AC3823">
      <w:pPr>
        <w:pStyle w:val="Footer"/>
        <w:tabs>
          <w:tab w:val="right" w:pos="2155"/>
        </w:tabs>
        <w:spacing w:after="80" w:line="240" w:lineRule="atLeast"/>
        <w:ind w:left="680"/>
        <w:rPr>
          <w:u w:val="single"/>
        </w:rPr>
      </w:pPr>
      <w:r>
        <w:rPr>
          <w:u w:val="single"/>
        </w:rPr>
        <w:tab/>
      </w:r>
    </w:p>
  </w:footnote>
  <w:footnote w:type="continuationNotice" w:id="1">
    <w:p w:rsidR="000B436A" w:rsidRPr="00AC3823" w:rsidRDefault="000B436A">
      <w:pPr>
        <w:spacing w:line="240" w:lineRule="auto"/>
        <w:rPr>
          <w:sz w:val="2"/>
          <w:szCs w:val="2"/>
        </w:rPr>
      </w:pPr>
    </w:p>
  </w:footnote>
  <w:footnote w:id="2">
    <w:p w:rsidR="000B436A" w:rsidRPr="00DE7FC1" w:rsidRDefault="000B436A" w:rsidP="00C85595">
      <w:pPr>
        <w:pStyle w:val="FootnoteText"/>
      </w:pPr>
      <w:r>
        <w:rPr>
          <w:lang w:val="fr-FR"/>
        </w:rPr>
        <w:tab/>
        <w:t xml:space="preserve">* </w:t>
      </w:r>
      <w:r>
        <w:rPr>
          <w:lang w:val="fr-FR"/>
        </w:rPr>
        <w:tab/>
        <w:t>Diffusé par l</w:t>
      </w:r>
      <w:r w:rsidR="00E1216D">
        <w:rPr>
          <w:lang w:val="fr-FR"/>
        </w:rPr>
        <w:t>’</w:t>
      </w:r>
      <w:r>
        <w:rPr>
          <w:lang w:val="fr-FR"/>
        </w:rPr>
        <w:t>Organisation intergouvernementale pour les transports internationaux ferroviaires (OTIF) sous la cote OTIF/RID/RC/2018-A. Sauf indication contraire, les autres documents auxquels il est fait référence dans le présent rapport et qui portent une cote ECE/TRANS/WP.15/AC.1/ suivie de l</w:t>
      </w:r>
      <w:r w:rsidR="00E1216D">
        <w:rPr>
          <w:lang w:val="fr-FR"/>
        </w:rPr>
        <w:t>’</w:t>
      </w:r>
      <w:r>
        <w:rPr>
          <w:lang w:val="fr-FR"/>
        </w:rPr>
        <w:t>année et d</w:t>
      </w:r>
      <w:r w:rsidR="00E1216D">
        <w:rPr>
          <w:lang w:val="fr-FR"/>
        </w:rPr>
        <w:t>’</w:t>
      </w:r>
      <w:r>
        <w:rPr>
          <w:lang w:val="fr-FR"/>
        </w:rPr>
        <w:t>un numéro de série ont été diffusés par l</w:t>
      </w:r>
      <w:r w:rsidR="00E1216D">
        <w:rPr>
          <w:lang w:val="fr-FR"/>
        </w:rPr>
        <w:t>’</w:t>
      </w:r>
      <w:r>
        <w:rPr>
          <w:lang w:val="fr-FR"/>
        </w:rPr>
        <w:t>OTIF sous la cote OTIF/RID/RC/ suivie de l</w:t>
      </w:r>
      <w:r w:rsidR="00E1216D">
        <w:rPr>
          <w:lang w:val="fr-FR"/>
        </w:rPr>
        <w:t>’</w:t>
      </w:r>
      <w:r>
        <w:rPr>
          <w:lang w:val="fr-FR"/>
        </w:rPr>
        <w:t>année et du même numéro de série.</w:t>
      </w:r>
    </w:p>
  </w:footnote>
  <w:footnote w:id="3">
    <w:p w:rsidR="000B436A" w:rsidRPr="00DE7FC1" w:rsidRDefault="000B436A" w:rsidP="00C85595">
      <w:pPr>
        <w:pStyle w:val="FootnoteText"/>
      </w:pPr>
      <w:r>
        <w:rPr>
          <w:lang w:val="fr-FR"/>
        </w:rPr>
        <w:tab/>
        <w:t xml:space="preserve">** </w:t>
      </w:r>
      <w:r>
        <w:rPr>
          <w:lang w:val="fr-FR"/>
        </w:rPr>
        <w:tab/>
        <w:t>Diffusé par l</w:t>
      </w:r>
      <w:r w:rsidR="00E1216D">
        <w:rPr>
          <w:lang w:val="fr-FR"/>
        </w:rPr>
        <w:t>’</w:t>
      </w:r>
      <w:r>
        <w:rPr>
          <w:lang w:val="fr-FR"/>
        </w:rPr>
        <w:t>Organisation intergouvernementale pour les transports internationaux ferroviaires (OTIF) sous la cote OTIF/RID/RC/2018-A/Add.1.</w:t>
      </w:r>
    </w:p>
  </w:footnote>
  <w:footnote w:id="4">
    <w:p w:rsidR="000B436A" w:rsidRPr="00DE7FC1" w:rsidRDefault="000B436A" w:rsidP="00C85595">
      <w:pPr>
        <w:pStyle w:val="FootnoteText"/>
      </w:pPr>
      <w:r>
        <w:rPr>
          <w:lang w:val="fr-FR"/>
        </w:rPr>
        <w:tab/>
      </w:r>
      <w:r w:rsidRPr="00D7084D">
        <w:rPr>
          <w:rStyle w:val="FootnoteReference"/>
        </w:rPr>
        <w:footnoteRef/>
      </w:r>
      <w:r>
        <w:rPr>
          <w:lang w:val="fr-FR"/>
        </w:rPr>
        <w:t xml:space="preserve"> </w:t>
      </w:r>
      <w:r>
        <w:rPr>
          <w:lang w:val="fr-FR"/>
        </w:rPr>
        <w:tab/>
        <w:t>Directive 2014/68/UE du Parlement européen et du Conseil du 15 mai 2014, relative à l</w:t>
      </w:r>
      <w:r w:rsidR="00E1216D">
        <w:rPr>
          <w:lang w:val="fr-FR"/>
        </w:rPr>
        <w:t>’</w:t>
      </w:r>
      <w:r>
        <w:rPr>
          <w:lang w:val="fr-FR"/>
        </w:rPr>
        <w:t>harmonisation des législations des États membres concernant la mise à disposition sur le marché des équipements sous pression.</w:t>
      </w:r>
    </w:p>
  </w:footnote>
  <w:footnote w:id="5">
    <w:p w:rsidR="000B436A" w:rsidRPr="00E42803" w:rsidRDefault="000B436A" w:rsidP="00C85595">
      <w:pPr>
        <w:pStyle w:val="FootnoteText"/>
      </w:pPr>
      <w:r>
        <w:rPr>
          <w:lang w:val="fr-FR"/>
        </w:rPr>
        <w:tab/>
      </w:r>
      <w:r>
        <w:rPr>
          <w:vertAlign w:val="superscript"/>
          <w:lang w:val="fr-FR"/>
        </w:rPr>
        <w:t>2</w:t>
      </w:r>
      <w:r>
        <w:rPr>
          <w:lang w:val="fr-FR"/>
        </w:rPr>
        <w:t xml:space="preserve"> </w:t>
      </w:r>
      <w:r>
        <w:rPr>
          <w:lang w:val="fr-FR"/>
        </w:rPr>
        <w:tab/>
        <w:t xml:space="preserve">Règlement (UE) </w:t>
      </w:r>
      <w:r w:rsidR="008C7AF7" w:rsidRPr="008C7AF7">
        <w:rPr>
          <w:rFonts w:eastAsia="MS Mincho"/>
          <w:lang w:val="fr-FR"/>
        </w:rPr>
        <w:t>n</w:t>
      </w:r>
      <w:r w:rsidR="008C7AF7" w:rsidRPr="008C7AF7">
        <w:rPr>
          <w:rFonts w:eastAsia="MS Mincho"/>
          <w:vertAlign w:val="superscript"/>
          <w:lang w:val="fr-FR"/>
        </w:rPr>
        <w:t>o</w:t>
      </w:r>
      <w:r w:rsidR="008C7AF7" w:rsidRPr="008C7AF7">
        <w:rPr>
          <w:lang w:val="fr-FR"/>
        </w:rPr>
        <w:t> </w:t>
      </w:r>
      <w:r>
        <w:rPr>
          <w:lang w:val="fr-FR"/>
        </w:rPr>
        <w:t>910/2014 du Parlement européen et du Conseil du 23 juillet 2014 sur l</w:t>
      </w:r>
      <w:r w:rsidR="00E1216D">
        <w:rPr>
          <w:lang w:val="fr-FR"/>
        </w:rPr>
        <w:t>’</w:t>
      </w:r>
      <w:r>
        <w:rPr>
          <w:lang w:val="fr-FR"/>
        </w:rPr>
        <w:t>identification électronique et les services de confiance pour les transactions électroniques au sein du marché intérieur. Journal officiel de l</w:t>
      </w:r>
      <w:r w:rsidR="00E1216D">
        <w:rPr>
          <w:lang w:val="fr-FR"/>
        </w:rPr>
        <w:t>’</w:t>
      </w:r>
      <w:r>
        <w:rPr>
          <w:lang w:val="fr-FR"/>
        </w:rPr>
        <w:t>Union européenne, L 257/73.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6A" w:rsidRPr="006F4450" w:rsidRDefault="00360C20">
    <w:pPr>
      <w:pStyle w:val="Header"/>
    </w:pPr>
    <w:r>
      <w:fldChar w:fldCharType="begin"/>
    </w:r>
    <w:r>
      <w:instrText xml:space="preserve"> TITLE  \* MERGEFORMAT </w:instrText>
    </w:r>
    <w:r>
      <w:fldChar w:fldCharType="separate"/>
    </w:r>
    <w:r w:rsidR="000C2B44">
      <w:t>ECE/TRANS/WP.15/AC.1/150/Add.1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6A" w:rsidRPr="006F4450" w:rsidRDefault="00360C20" w:rsidP="006F4450">
    <w:pPr>
      <w:pStyle w:val="Header"/>
      <w:jc w:val="right"/>
    </w:pPr>
    <w:r>
      <w:fldChar w:fldCharType="begin"/>
    </w:r>
    <w:r>
      <w:instrText xml:space="preserve"> TITLE  \* MERGEFORMAT </w:instrText>
    </w:r>
    <w:r>
      <w:fldChar w:fldCharType="separate"/>
    </w:r>
    <w:r w:rsidR="000C2B44">
      <w:t>ECE/TRANS/WP.15/AC.1/150/Add.1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C9F0165"/>
    <w:multiLevelType w:val="hybridMultilevel"/>
    <w:tmpl w:val="6916DE06"/>
    <w:lvl w:ilvl="0" w:tplc="44365B6C">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F4"/>
    <w:rsid w:val="00013849"/>
    <w:rsid w:val="00017F94"/>
    <w:rsid w:val="00023842"/>
    <w:rsid w:val="000334F9"/>
    <w:rsid w:val="00045FEB"/>
    <w:rsid w:val="00055489"/>
    <w:rsid w:val="0005550F"/>
    <w:rsid w:val="0006205B"/>
    <w:rsid w:val="0007796D"/>
    <w:rsid w:val="000B11FD"/>
    <w:rsid w:val="000B1776"/>
    <w:rsid w:val="000B436A"/>
    <w:rsid w:val="000B7790"/>
    <w:rsid w:val="000C1CBD"/>
    <w:rsid w:val="000C2B44"/>
    <w:rsid w:val="00111F2F"/>
    <w:rsid w:val="0014365E"/>
    <w:rsid w:val="00143C66"/>
    <w:rsid w:val="00176178"/>
    <w:rsid w:val="00180C6D"/>
    <w:rsid w:val="001F4486"/>
    <w:rsid w:val="001F525A"/>
    <w:rsid w:val="00223272"/>
    <w:rsid w:val="0024779E"/>
    <w:rsid w:val="00257168"/>
    <w:rsid w:val="002744B8"/>
    <w:rsid w:val="002832AC"/>
    <w:rsid w:val="002C697D"/>
    <w:rsid w:val="002D7C93"/>
    <w:rsid w:val="003017B8"/>
    <w:rsid w:val="00305801"/>
    <w:rsid w:val="00360C20"/>
    <w:rsid w:val="003916DE"/>
    <w:rsid w:val="00441C3B"/>
    <w:rsid w:val="00446FE5"/>
    <w:rsid w:val="00452396"/>
    <w:rsid w:val="00460E89"/>
    <w:rsid w:val="004837D8"/>
    <w:rsid w:val="00497BEE"/>
    <w:rsid w:val="004E468C"/>
    <w:rsid w:val="0051188D"/>
    <w:rsid w:val="005505B7"/>
    <w:rsid w:val="00573BE5"/>
    <w:rsid w:val="005867E7"/>
    <w:rsid w:val="00586ED3"/>
    <w:rsid w:val="00596AA9"/>
    <w:rsid w:val="005B1834"/>
    <w:rsid w:val="005D617D"/>
    <w:rsid w:val="006773DB"/>
    <w:rsid w:val="006B24CD"/>
    <w:rsid w:val="006C6F8E"/>
    <w:rsid w:val="006F4450"/>
    <w:rsid w:val="0071601D"/>
    <w:rsid w:val="007722B1"/>
    <w:rsid w:val="007A62E6"/>
    <w:rsid w:val="007F20FA"/>
    <w:rsid w:val="0080684C"/>
    <w:rsid w:val="00871C75"/>
    <w:rsid w:val="008776DC"/>
    <w:rsid w:val="008C7AF7"/>
    <w:rsid w:val="008D4D2F"/>
    <w:rsid w:val="00901254"/>
    <w:rsid w:val="00906DE6"/>
    <w:rsid w:val="009446C0"/>
    <w:rsid w:val="00947C90"/>
    <w:rsid w:val="009705C8"/>
    <w:rsid w:val="009C1CF4"/>
    <w:rsid w:val="009C6415"/>
    <w:rsid w:val="009D49F4"/>
    <w:rsid w:val="009D6F3B"/>
    <w:rsid w:val="009F6B74"/>
    <w:rsid w:val="00A30353"/>
    <w:rsid w:val="00A5705F"/>
    <w:rsid w:val="00AC3823"/>
    <w:rsid w:val="00AE323C"/>
    <w:rsid w:val="00AF0CB5"/>
    <w:rsid w:val="00B00181"/>
    <w:rsid w:val="00B00B0D"/>
    <w:rsid w:val="00B765F7"/>
    <w:rsid w:val="00BA0CA9"/>
    <w:rsid w:val="00BF07C1"/>
    <w:rsid w:val="00C02897"/>
    <w:rsid w:val="00C307FE"/>
    <w:rsid w:val="00C35B91"/>
    <w:rsid w:val="00C604A3"/>
    <w:rsid w:val="00C85595"/>
    <w:rsid w:val="00C97039"/>
    <w:rsid w:val="00CA5BB0"/>
    <w:rsid w:val="00CA7C8E"/>
    <w:rsid w:val="00CE00B0"/>
    <w:rsid w:val="00D22D57"/>
    <w:rsid w:val="00D3439C"/>
    <w:rsid w:val="00D4047C"/>
    <w:rsid w:val="00DA7133"/>
    <w:rsid w:val="00DB1831"/>
    <w:rsid w:val="00DD3BFD"/>
    <w:rsid w:val="00DF4E11"/>
    <w:rsid w:val="00DF6678"/>
    <w:rsid w:val="00E0161F"/>
    <w:rsid w:val="00E0299A"/>
    <w:rsid w:val="00E1216D"/>
    <w:rsid w:val="00E85C74"/>
    <w:rsid w:val="00EA041C"/>
    <w:rsid w:val="00EA6547"/>
    <w:rsid w:val="00EC5062"/>
    <w:rsid w:val="00EF2E22"/>
    <w:rsid w:val="00EF5644"/>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3C10E3-7EFB-40AE-AA30-BBA17ED4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ar">
    <w:name w:val="_ Single Txt_G Car"/>
    <w:rsid w:val="00C85595"/>
    <w:rPr>
      <w:lang w:val="fr-CH" w:eastAsia="en-US" w:bidi="ar-SA"/>
    </w:rPr>
  </w:style>
  <w:style w:type="character" w:customStyle="1" w:styleId="H23GChar">
    <w:name w:val="_ H_2/3_G Char"/>
    <w:link w:val="H23G"/>
    <w:locked/>
    <w:rsid w:val="00013849"/>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4485</Words>
  <Characters>25568</Characters>
  <Application>Microsoft Office Word</Application>
  <DocSecurity>0</DocSecurity>
  <Lines>213</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ECE/TRANS/WP.15/AC.1/150/Add.1</vt:lpstr>
      <vt:lpstr>ECE/TRANS/WP.15/AC.1/150/Add.1</vt:lpstr>
    </vt:vector>
  </TitlesOfParts>
  <Company>DCM</Company>
  <LinksUpToDate>false</LinksUpToDate>
  <CharactersWithSpaces>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ECE/TRANS/WP.15/AC.1/150/Add.1</dc:title>
  <dc:subject/>
  <dc:creator>Sylvie LAMY</dc:creator>
  <cp:keywords/>
  <cp:lastModifiedBy>Christine Barrio-Champeau</cp:lastModifiedBy>
  <cp:revision>2</cp:revision>
  <cp:lastPrinted>2018-07-27T13:30:00Z</cp:lastPrinted>
  <dcterms:created xsi:type="dcterms:W3CDTF">2018-07-27T13:45:00Z</dcterms:created>
  <dcterms:modified xsi:type="dcterms:W3CDTF">2018-07-27T13:45:00Z</dcterms:modified>
</cp:coreProperties>
</file>