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AB0DFB">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AB0DFB" w:rsidP="00AB0DFB">
            <w:pPr>
              <w:jc w:val="right"/>
            </w:pPr>
            <w:r w:rsidRPr="00AB0DFB">
              <w:rPr>
                <w:sz w:val="40"/>
              </w:rPr>
              <w:t>ECE</w:t>
            </w:r>
            <w:r>
              <w:t>/TRANS/WP.15/AC.1/2018/10</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AB0DFB" w:rsidP="00C97039">
            <w:pPr>
              <w:spacing w:before="240"/>
            </w:pPr>
            <w:r>
              <w:t>Distr. générale</w:t>
            </w:r>
          </w:p>
          <w:p w:rsidR="00AB0DFB" w:rsidRDefault="00AB0DFB" w:rsidP="00AB0DFB">
            <w:pPr>
              <w:spacing w:line="240" w:lineRule="exact"/>
            </w:pPr>
            <w:r>
              <w:t>22 décembre 2017</w:t>
            </w:r>
          </w:p>
          <w:p w:rsidR="00AB0DFB" w:rsidRDefault="00AB0DFB" w:rsidP="00AB0DFB">
            <w:pPr>
              <w:spacing w:line="240" w:lineRule="exact"/>
            </w:pPr>
            <w:r>
              <w:t>Français</w:t>
            </w:r>
          </w:p>
          <w:p w:rsidR="00AB0DFB" w:rsidRPr="00DB58B5" w:rsidRDefault="00AB0DFB" w:rsidP="00AB0DFB">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E60B61" w:rsidRPr="0093362A" w:rsidRDefault="00E60B61" w:rsidP="00E60B61">
      <w:pPr>
        <w:spacing w:before="120" w:after="120"/>
        <w:rPr>
          <w:b/>
          <w:sz w:val="32"/>
          <w:szCs w:val="24"/>
        </w:rPr>
      </w:pPr>
      <w:bookmarkStart w:id="1" w:name="bookmark_13"/>
      <w:r w:rsidRPr="007D008B">
        <w:rPr>
          <w:b/>
          <w:sz w:val="24"/>
          <w:lang w:val="fr-FR"/>
        </w:rPr>
        <w:t>Groupe de travail des transports de marchandises dangereuses</w:t>
      </w:r>
      <w:bookmarkEnd w:id="1"/>
    </w:p>
    <w:p w:rsidR="00E60B61" w:rsidRPr="0093362A" w:rsidRDefault="00E60B61" w:rsidP="00E60B61">
      <w:pPr>
        <w:rPr>
          <w:b/>
        </w:rPr>
      </w:pPr>
      <w:bookmarkStart w:id="2" w:name="bookmark_14"/>
      <w:r w:rsidRPr="007D008B">
        <w:rPr>
          <w:b/>
          <w:lang w:val="fr-FR"/>
        </w:rPr>
        <w:t>Réunion commune de la Commission d</w:t>
      </w:r>
      <w:r>
        <w:rPr>
          <w:b/>
          <w:lang w:val="fr-FR"/>
        </w:rPr>
        <w:t>’</w:t>
      </w:r>
      <w:r w:rsidRPr="007D008B">
        <w:rPr>
          <w:b/>
          <w:lang w:val="fr-FR"/>
        </w:rPr>
        <w:t xml:space="preserve">experts du RID </w:t>
      </w:r>
      <w:r w:rsidR="00772C07">
        <w:rPr>
          <w:b/>
          <w:lang w:val="fr-FR"/>
        </w:rPr>
        <w:br/>
      </w:r>
      <w:r w:rsidRPr="007D008B">
        <w:rPr>
          <w:b/>
          <w:lang w:val="fr-FR"/>
        </w:rPr>
        <w:t>et du</w:t>
      </w:r>
      <w:bookmarkStart w:id="3" w:name="bookmark_15"/>
      <w:bookmarkEnd w:id="2"/>
      <w:r w:rsidR="00772C07">
        <w:rPr>
          <w:b/>
          <w:lang w:val="fr-FR"/>
        </w:rPr>
        <w:t xml:space="preserve"> </w:t>
      </w:r>
      <w:r w:rsidRPr="007D008B">
        <w:rPr>
          <w:b/>
          <w:lang w:val="fr-FR"/>
        </w:rPr>
        <w:t xml:space="preserve">Groupe de travail des transports </w:t>
      </w:r>
      <w:r w:rsidR="00772C07">
        <w:rPr>
          <w:b/>
          <w:lang w:val="fr-FR"/>
        </w:rPr>
        <w:br/>
      </w:r>
      <w:r w:rsidRPr="007D008B">
        <w:rPr>
          <w:b/>
          <w:lang w:val="fr-FR"/>
        </w:rPr>
        <w:t>de marchandises dangereuses</w:t>
      </w:r>
      <w:bookmarkEnd w:id="3"/>
    </w:p>
    <w:p w:rsidR="00E60B61" w:rsidRPr="0093362A" w:rsidRDefault="00E60B61" w:rsidP="00E60B61">
      <w:bookmarkStart w:id="4" w:name="bookmark_16"/>
      <w:r>
        <w:rPr>
          <w:lang w:val="fr-FR"/>
        </w:rPr>
        <w:t>Berne, 12-16 mars 2018</w:t>
      </w:r>
      <w:bookmarkEnd w:id="4"/>
    </w:p>
    <w:p w:rsidR="00E60B61" w:rsidRPr="0093362A" w:rsidRDefault="00E60B61" w:rsidP="00E60B61">
      <w:bookmarkStart w:id="5" w:name="bookmark_17"/>
      <w:r>
        <w:rPr>
          <w:lang w:val="fr-FR"/>
        </w:rPr>
        <w:t>Point 5 b) de l’ordre du jour provisoire</w:t>
      </w:r>
      <w:bookmarkEnd w:id="5"/>
    </w:p>
    <w:p w:rsidR="00E60B61" w:rsidRPr="0093362A" w:rsidRDefault="00E60B61" w:rsidP="00E60B61">
      <w:pPr>
        <w:spacing w:line="240" w:lineRule="auto"/>
        <w:rPr>
          <w:b/>
          <w:bCs/>
        </w:rPr>
      </w:pPr>
      <w:bookmarkStart w:id="6" w:name="bookmark_18"/>
      <w:r w:rsidRPr="007D008B">
        <w:rPr>
          <w:b/>
          <w:lang w:val="fr-FR"/>
        </w:rPr>
        <w:t>Propositions diverses d</w:t>
      </w:r>
      <w:r>
        <w:rPr>
          <w:b/>
          <w:lang w:val="fr-FR"/>
        </w:rPr>
        <w:t>’</w:t>
      </w:r>
      <w:r w:rsidRPr="007D008B">
        <w:rPr>
          <w:b/>
          <w:lang w:val="fr-FR"/>
        </w:rPr>
        <w:t>amendements au RID/ADR/ADN</w:t>
      </w:r>
      <w:r w:rsidR="00772C07">
        <w:rPr>
          <w:b/>
          <w:lang w:val="fr-FR"/>
        </w:rPr>
        <w:t> </w:t>
      </w:r>
      <w:r w:rsidRPr="007D008B">
        <w:rPr>
          <w:b/>
          <w:lang w:val="fr-FR"/>
        </w:rPr>
        <w:t xml:space="preserve">: </w:t>
      </w:r>
      <w:r>
        <w:rPr>
          <w:b/>
          <w:lang w:val="fr-FR"/>
        </w:rPr>
        <w:br/>
      </w:r>
      <w:r w:rsidRPr="007D008B">
        <w:rPr>
          <w:b/>
          <w:lang w:val="fr-FR"/>
        </w:rPr>
        <w:t>nouvelles propositions</w:t>
      </w:r>
      <w:bookmarkEnd w:id="6"/>
    </w:p>
    <w:p w:rsidR="00E60B61" w:rsidRPr="0093362A" w:rsidRDefault="00E60B61" w:rsidP="00E60B61">
      <w:pPr>
        <w:pStyle w:val="HChG"/>
      </w:pPr>
      <w:bookmarkStart w:id="7" w:name="bookmark_19"/>
      <w:r>
        <w:rPr>
          <w:lang w:val="fr-FR"/>
        </w:rPr>
        <w:tab/>
      </w:r>
      <w:r>
        <w:rPr>
          <w:lang w:val="fr-FR"/>
        </w:rPr>
        <w:tab/>
        <w:t xml:space="preserve">Recyclage en ligne des conducteurs de véhicules transportant des marchandises dangereuses </w:t>
      </w:r>
      <w:bookmarkStart w:id="8" w:name="OLE_LINK3"/>
      <w:bookmarkStart w:id="9" w:name="OLE_LINK4"/>
      <w:bookmarkEnd w:id="7"/>
      <w:bookmarkEnd w:id="8"/>
      <w:bookmarkEnd w:id="9"/>
    </w:p>
    <w:p w:rsidR="00E60B61" w:rsidRDefault="00E60B61" w:rsidP="00772C07">
      <w:pPr>
        <w:pStyle w:val="H1G"/>
        <w:rPr>
          <w:lang w:val="fr-FR"/>
        </w:rPr>
      </w:pPr>
      <w:bookmarkStart w:id="10" w:name="bookmark_20"/>
      <w:r>
        <w:rPr>
          <w:lang w:val="fr-FR"/>
        </w:rPr>
        <w:tab/>
      </w:r>
      <w:r>
        <w:rPr>
          <w:lang w:val="fr-FR"/>
        </w:rPr>
        <w:tab/>
        <w:t>Communication de l’Union internationale des transports routiers (IRU)</w:t>
      </w:r>
      <w:r w:rsidRPr="00772C07">
        <w:rPr>
          <w:rStyle w:val="FootnoteReference"/>
          <w:b w:val="0"/>
          <w:sz w:val="20"/>
          <w:vertAlign w:val="baseline"/>
          <w:lang w:val="fr-FR"/>
        </w:rPr>
        <w:footnoteReference w:customMarkFollows="1" w:id="2"/>
        <w:t>*</w:t>
      </w:r>
      <w:r>
        <w:rPr>
          <w:lang w:val="fr-FR"/>
        </w:rPr>
        <w:t xml:space="preserve"> </w:t>
      </w:r>
      <w:bookmarkEnd w:id="10"/>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772C07" w:rsidTr="00216E0F">
        <w:trPr>
          <w:jc w:val="center"/>
        </w:trPr>
        <w:tc>
          <w:tcPr>
            <w:tcW w:w="9637" w:type="dxa"/>
            <w:shd w:val="clear" w:color="auto" w:fill="auto"/>
          </w:tcPr>
          <w:p w:rsidR="00772C07" w:rsidRPr="000001E7" w:rsidRDefault="00772C07" w:rsidP="00216E0F">
            <w:pPr>
              <w:spacing w:before="240" w:after="120"/>
              <w:ind w:left="255"/>
              <w:rPr>
                <w:i/>
                <w:sz w:val="24"/>
              </w:rPr>
            </w:pPr>
            <w:r w:rsidRPr="000001E7">
              <w:rPr>
                <w:i/>
                <w:sz w:val="24"/>
              </w:rPr>
              <w:t>Résumé</w:t>
            </w:r>
          </w:p>
        </w:tc>
      </w:tr>
      <w:tr w:rsidR="00772C07" w:rsidTr="00216E0F">
        <w:trPr>
          <w:jc w:val="center"/>
        </w:trPr>
        <w:tc>
          <w:tcPr>
            <w:tcW w:w="9637" w:type="dxa"/>
            <w:shd w:val="clear" w:color="auto" w:fill="auto"/>
          </w:tcPr>
          <w:p w:rsidR="00772C07" w:rsidRDefault="00EB6534" w:rsidP="00614D28">
            <w:pPr>
              <w:pStyle w:val="SingleTxtG"/>
              <w:ind w:left="3402" w:hanging="2268"/>
            </w:pPr>
            <w:r w:rsidRPr="003A56F9">
              <w:rPr>
                <w:b/>
              </w:rPr>
              <w:t>Résumé analytique :</w:t>
            </w:r>
            <w:r>
              <w:tab/>
            </w:r>
            <w:r w:rsidR="003A56F9">
              <w:rPr>
                <w:lang w:val="fr-FR"/>
              </w:rPr>
              <w:t>Prévoir une formation de recyclage en ligne pour le renouvellement du certificat de formation ADR/ADN.</w:t>
            </w:r>
          </w:p>
        </w:tc>
      </w:tr>
      <w:tr w:rsidR="00772C07" w:rsidTr="00216E0F">
        <w:trPr>
          <w:jc w:val="center"/>
        </w:trPr>
        <w:tc>
          <w:tcPr>
            <w:tcW w:w="9637" w:type="dxa"/>
            <w:shd w:val="clear" w:color="auto" w:fill="auto"/>
          </w:tcPr>
          <w:p w:rsidR="00772C07" w:rsidRDefault="00EB6534" w:rsidP="00614D28">
            <w:pPr>
              <w:pStyle w:val="SingleTxtG"/>
              <w:ind w:left="3402" w:hanging="2268"/>
            </w:pPr>
            <w:r w:rsidRPr="003A56F9">
              <w:rPr>
                <w:b/>
              </w:rPr>
              <w:t>Mesure à prendre :</w:t>
            </w:r>
            <w:r>
              <w:tab/>
            </w:r>
            <w:r w:rsidR="003A56F9" w:rsidRPr="00055761">
              <w:rPr>
                <w:spacing w:val="-3"/>
                <w:lang w:val="fr-FR"/>
              </w:rPr>
              <w:t>Modi</w:t>
            </w:r>
            <w:r w:rsidR="00614D28" w:rsidRPr="00055761">
              <w:rPr>
                <w:spacing w:val="-3"/>
                <w:lang w:val="fr-FR"/>
              </w:rPr>
              <w:t xml:space="preserve">fier les paragraphes 8.2.2.5.2 </w:t>
            </w:r>
            <w:r w:rsidR="003A56F9" w:rsidRPr="00055761">
              <w:rPr>
                <w:spacing w:val="-3"/>
                <w:lang w:val="fr-FR"/>
              </w:rPr>
              <w:t>de l’ADR et 8.2.2.5 de</w:t>
            </w:r>
            <w:r w:rsidR="00412406" w:rsidRPr="00055761">
              <w:rPr>
                <w:spacing w:val="-3"/>
                <w:lang w:val="fr-FR"/>
              </w:rPr>
              <w:t xml:space="preserve"> </w:t>
            </w:r>
            <w:r w:rsidR="003A56F9" w:rsidRPr="00055761">
              <w:rPr>
                <w:spacing w:val="-3"/>
                <w:lang w:val="fr-FR"/>
              </w:rPr>
              <w:t>l’ADN.</w:t>
            </w:r>
          </w:p>
        </w:tc>
      </w:tr>
      <w:tr w:rsidR="00772C07" w:rsidTr="00216E0F">
        <w:trPr>
          <w:jc w:val="center"/>
        </w:trPr>
        <w:tc>
          <w:tcPr>
            <w:tcW w:w="9637" w:type="dxa"/>
            <w:shd w:val="clear" w:color="auto" w:fill="auto"/>
          </w:tcPr>
          <w:p w:rsidR="00772C07" w:rsidRDefault="00EB6534" w:rsidP="00614D28">
            <w:pPr>
              <w:pStyle w:val="SingleTxtG"/>
              <w:ind w:left="3402" w:hanging="2268"/>
            </w:pPr>
            <w:r w:rsidRPr="003A56F9">
              <w:rPr>
                <w:b/>
              </w:rPr>
              <w:t>Document de référence :</w:t>
            </w:r>
            <w:r>
              <w:tab/>
            </w:r>
            <w:r w:rsidR="003A56F9">
              <w:rPr>
                <w:lang w:val="fr-FR"/>
              </w:rPr>
              <w:t>ECE/TRANS/WP.15/2017/17</w:t>
            </w:r>
            <w:r w:rsidR="00614D28">
              <w:rPr>
                <w:lang w:val="fr-FR"/>
              </w:rPr>
              <w:t>.</w:t>
            </w:r>
          </w:p>
        </w:tc>
      </w:tr>
      <w:tr w:rsidR="00772C07" w:rsidTr="00216E0F">
        <w:trPr>
          <w:jc w:val="center"/>
        </w:trPr>
        <w:tc>
          <w:tcPr>
            <w:tcW w:w="9637" w:type="dxa"/>
            <w:shd w:val="clear" w:color="auto" w:fill="auto"/>
          </w:tcPr>
          <w:p w:rsidR="00772C07" w:rsidRDefault="00772C07" w:rsidP="00216E0F"/>
        </w:tc>
      </w:tr>
    </w:tbl>
    <w:p w:rsidR="00772C07" w:rsidRPr="00772C07" w:rsidRDefault="00772C07" w:rsidP="00772C07">
      <w:pPr>
        <w:rPr>
          <w:lang w:val="fr-FR"/>
        </w:rPr>
      </w:pPr>
    </w:p>
    <w:p w:rsidR="00E60B61" w:rsidRPr="00F50D40" w:rsidRDefault="000E7451" w:rsidP="000E7451">
      <w:pPr>
        <w:pStyle w:val="HChG"/>
      </w:pPr>
      <w:r>
        <w:rPr>
          <w:lang w:val="fr-FR"/>
        </w:rPr>
        <w:br w:type="page"/>
      </w:r>
      <w:bookmarkStart w:id="12" w:name="bookmark_26"/>
      <w:r w:rsidR="00E60B61">
        <w:rPr>
          <w:lang w:val="fr-FR"/>
        </w:rPr>
        <w:lastRenderedPageBreak/>
        <w:tab/>
      </w:r>
      <w:r w:rsidR="00E60B61">
        <w:rPr>
          <w:lang w:val="fr-FR"/>
        </w:rPr>
        <w:tab/>
        <w:t>Introduction</w:t>
      </w:r>
      <w:bookmarkEnd w:id="12"/>
    </w:p>
    <w:p w:rsidR="00E60B61" w:rsidRPr="0093362A" w:rsidRDefault="00B7761C" w:rsidP="00B7761C">
      <w:pPr>
        <w:pStyle w:val="SingleTxtG"/>
      </w:pPr>
      <w:bookmarkStart w:id="13" w:name="bookmark_27"/>
      <w:r w:rsidRPr="0093362A">
        <w:t>1.</w:t>
      </w:r>
      <w:r w:rsidRPr="0093362A">
        <w:tab/>
      </w:r>
      <w:r w:rsidR="00E60B61">
        <w:rPr>
          <w:lang w:val="fr-FR"/>
        </w:rPr>
        <w:t xml:space="preserve">Les prescriptions énoncées au chapitre 8.2 de l’ADR/ADN exigent que les conducteurs de véhicules transportant des marchandises dangereuses suivent un cours de formation de base et réussissent un examen s’y rapportant. </w:t>
      </w:r>
      <w:bookmarkEnd w:id="13"/>
    </w:p>
    <w:p w:rsidR="00E60B61" w:rsidRPr="0093362A" w:rsidRDefault="00B7761C" w:rsidP="00B7761C">
      <w:pPr>
        <w:pStyle w:val="SingleTxtG"/>
      </w:pPr>
      <w:bookmarkStart w:id="14" w:name="bookmark_28"/>
      <w:r w:rsidRPr="0093362A">
        <w:t>2.</w:t>
      </w:r>
      <w:r w:rsidRPr="0093362A">
        <w:tab/>
      </w:r>
      <w:r w:rsidR="00E60B61">
        <w:rPr>
          <w:lang w:val="fr-FR"/>
        </w:rPr>
        <w:t>Avant douze mois avant la date d’expiration du certificat, les conducteurs experts doivent subir avec succès un examen dans le cadre d’un programme de recyclage, comme indiqué aux paragraphes 8.2.2.5 et 8.2.2.7.1.6 de l’ADR et 8.2.2.5 et 8.2.2.7.1.5 de l’ADN.</w:t>
      </w:r>
      <w:bookmarkEnd w:id="14"/>
    </w:p>
    <w:p w:rsidR="00E60B61" w:rsidRPr="0093362A" w:rsidRDefault="00B7761C" w:rsidP="00B7761C">
      <w:pPr>
        <w:pStyle w:val="SingleTxtG"/>
      </w:pPr>
      <w:bookmarkStart w:id="15" w:name="bookmark_29"/>
      <w:r w:rsidRPr="0093362A">
        <w:t>3.</w:t>
      </w:r>
      <w:r w:rsidRPr="0093362A">
        <w:tab/>
      </w:r>
      <w:r w:rsidR="00E60B61">
        <w:rPr>
          <w:lang w:val="fr-FR"/>
        </w:rPr>
        <w:t>La durée minimale du cours de formation de base est de 18 unités d’enseignement, comme spécifié au paragraphe 8.2.2.4.1, tandis que le programme de recyclage de deux jours</w:t>
      </w:r>
      <w:r>
        <w:rPr>
          <w:lang w:val="fr-FR"/>
        </w:rPr>
        <w:t xml:space="preserve"> décrit au paragraphe 8.2.2.5.2</w:t>
      </w:r>
      <w:r w:rsidR="00E60B61">
        <w:rPr>
          <w:lang w:val="fr-FR"/>
        </w:rPr>
        <w:t xml:space="preserve"> correspond à 16 unités d’enseignement, comme spécifié au paragraphe 8.2.2.3.7 de l’ADR.</w:t>
      </w:r>
      <w:bookmarkEnd w:id="15"/>
    </w:p>
    <w:p w:rsidR="00E60B61" w:rsidRPr="0093362A" w:rsidRDefault="00B7761C" w:rsidP="00B7761C">
      <w:pPr>
        <w:pStyle w:val="SingleTxtG"/>
      </w:pPr>
      <w:bookmarkStart w:id="16" w:name="bookmark_30"/>
      <w:r w:rsidRPr="0093362A">
        <w:t>4.</w:t>
      </w:r>
      <w:r w:rsidRPr="0093362A">
        <w:tab/>
      </w:r>
      <w:r w:rsidR="00E60B61">
        <w:rPr>
          <w:lang w:val="fr-FR"/>
        </w:rPr>
        <w:t>En général grâce à des technologies de pointe, de nouvelles possibilités sont envisagées dans tous les secteurs pour les transporteurs, y compris en ce qui concerne les cours de formation. Pour améliorer et faciliter le professionnalisme de l’enseignement pour toutes les parties, l’IRU a pour objectif de simplifier l’accès à la formation grâce à l’apprentissage en ligne.</w:t>
      </w:r>
      <w:bookmarkEnd w:id="16"/>
    </w:p>
    <w:p w:rsidR="00E60B61" w:rsidRPr="007530DB" w:rsidRDefault="00E60B61" w:rsidP="00B7761C">
      <w:pPr>
        <w:pStyle w:val="HChG"/>
      </w:pPr>
      <w:bookmarkStart w:id="17" w:name="bookmark_31"/>
      <w:r>
        <w:rPr>
          <w:lang w:val="fr-FR"/>
        </w:rPr>
        <w:tab/>
      </w:r>
      <w:r>
        <w:rPr>
          <w:lang w:val="fr-FR"/>
        </w:rPr>
        <w:tab/>
        <w:t>Cadre général</w:t>
      </w:r>
      <w:bookmarkEnd w:id="17"/>
    </w:p>
    <w:p w:rsidR="00E60B61" w:rsidRPr="0093362A" w:rsidRDefault="00B7761C" w:rsidP="00B7761C">
      <w:pPr>
        <w:pStyle w:val="SingleTxtG"/>
      </w:pPr>
      <w:bookmarkStart w:id="18" w:name="bookmark_32"/>
      <w:r w:rsidRPr="0093362A">
        <w:t>5.</w:t>
      </w:r>
      <w:r w:rsidRPr="0093362A">
        <w:tab/>
      </w:r>
      <w:r w:rsidR="00E60B61">
        <w:rPr>
          <w:lang w:val="fr-FR"/>
        </w:rPr>
        <w:t>Il a été confirmé que, s’agissant de la formation continue des conducteurs de véhicules transportant des marchandises dangereuses, la formation en ligne est une possibilité. Les conducteurs auront donc le choix soit de suivre les deux journées de cours en personne à l’institution de formation, soit de suivre une journée seulement en personne et l’autre journée en ligne.</w:t>
      </w:r>
      <w:bookmarkEnd w:id="18"/>
    </w:p>
    <w:p w:rsidR="00E60B61" w:rsidRPr="0093362A" w:rsidRDefault="00E60B61" w:rsidP="008A0BC9">
      <w:pPr>
        <w:pStyle w:val="SingleTxtG"/>
        <w:keepNext/>
      </w:pPr>
      <w:bookmarkStart w:id="19" w:name="bookmark_33"/>
      <w:r>
        <w:rPr>
          <w:lang w:val="fr-FR"/>
        </w:rPr>
        <w:t>6.</w:t>
      </w:r>
      <w:r>
        <w:rPr>
          <w:lang w:val="fr-FR"/>
        </w:rPr>
        <w:tab/>
        <w:t>L’IRU a analysé les éléments suivants :</w:t>
      </w:r>
      <w:bookmarkEnd w:id="19"/>
    </w:p>
    <w:p w:rsidR="00E60B61" w:rsidRPr="0093362A" w:rsidRDefault="00E60B61" w:rsidP="00B7761C">
      <w:pPr>
        <w:pStyle w:val="Bullet1G"/>
      </w:pPr>
      <w:bookmarkStart w:id="20" w:name="bookmark_34"/>
      <w:r>
        <w:rPr>
          <w:lang w:val="fr-FR"/>
        </w:rPr>
        <w:t>Les conducteurs doivent être présents pendant deux jours pour un cours de recyclage</w:t>
      </w:r>
      <w:r w:rsidR="008A0BC9">
        <w:rPr>
          <w:lang w:val="fr-FR"/>
        </w:rPr>
        <w:t> ;</w:t>
      </w:r>
      <w:r>
        <w:rPr>
          <w:lang w:val="fr-FR"/>
        </w:rPr>
        <w:t xml:space="preserve"> </w:t>
      </w:r>
      <w:bookmarkEnd w:id="20"/>
    </w:p>
    <w:p w:rsidR="00E60B61" w:rsidRPr="0093362A" w:rsidRDefault="00E60B61" w:rsidP="00B7761C">
      <w:pPr>
        <w:pStyle w:val="Bullet1G"/>
      </w:pPr>
      <w:bookmarkStart w:id="21" w:name="bookmark_35"/>
      <w:r>
        <w:rPr>
          <w:lang w:val="fr-FR"/>
        </w:rPr>
        <w:t>Une partie importante des cours de recyclage porte sur la théorie, qui en moyenne, selon les Parties contractantes, représente entre une journée et une journée et demie.</w:t>
      </w:r>
      <w:bookmarkEnd w:id="21"/>
    </w:p>
    <w:p w:rsidR="00E60B61" w:rsidRPr="0093362A" w:rsidRDefault="00E60B61" w:rsidP="00E60B61">
      <w:pPr>
        <w:pStyle w:val="SingleTxtG"/>
      </w:pPr>
      <w:bookmarkStart w:id="22" w:name="bookmark_36"/>
      <w:r>
        <w:rPr>
          <w:lang w:val="fr-FR"/>
        </w:rPr>
        <w:t>7.</w:t>
      </w:r>
      <w:r>
        <w:rPr>
          <w:lang w:val="fr-FR"/>
        </w:rPr>
        <w:tab/>
        <w:t>Par conséquent, l’IRU propose de modifier de nouveau le cours de recyclage, afin d’améliorer les cours théoriques</w:t>
      </w:r>
      <w:r w:rsidR="00B7761C">
        <w:rPr>
          <w:lang w:val="fr-FR"/>
        </w:rPr>
        <w:t xml:space="preserve"> et élargir </w:t>
      </w:r>
      <w:r>
        <w:rPr>
          <w:lang w:val="fr-FR"/>
        </w:rPr>
        <w:t>leur portée, et, à terme, offrir aux conducteurs des exercices de meilleure qualité et plus axés sur la pratique grâce à l’utilisation de méthodes d’apprentissage en ligne.</w:t>
      </w:r>
      <w:bookmarkEnd w:id="22"/>
    </w:p>
    <w:p w:rsidR="00E60B61" w:rsidRPr="0093362A" w:rsidRDefault="00E60B61" w:rsidP="00E60B61">
      <w:pPr>
        <w:pStyle w:val="SingleTxtG"/>
      </w:pPr>
      <w:bookmarkStart w:id="23" w:name="bookmark_37"/>
      <w:r>
        <w:rPr>
          <w:lang w:val="fr-FR"/>
        </w:rPr>
        <w:t>8.</w:t>
      </w:r>
      <w:r>
        <w:rPr>
          <w:lang w:val="fr-FR"/>
        </w:rPr>
        <w:tab/>
        <w:t>Dans un premier temps, l’apprentissage en ligne ne doit être envisagé que pour la journée de théorie du cours de recyclage (huit unités d’enseignement).</w:t>
      </w:r>
      <w:bookmarkEnd w:id="23"/>
    </w:p>
    <w:p w:rsidR="00E60B61" w:rsidRPr="0093362A" w:rsidRDefault="00E60B61" w:rsidP="00E60B61">
      <w:pPr>
        <w:pStyle w:val="SingleTxtG"/>
      </w:pPr>
      <w:bookmarkStart w:id="24" w:name="bookmark_38"/>
      <w:r>
        <w:rPr>
          <w:lang w:val="fr-FR"/>
        </w:rPr>
        <w:t>9.</w:t>
      </w:r>
      <w:r>
        <w:rPr>
          <w:lang w:val="fr-FR"/>
        </w:rPr>
        <w:tab/>
        <w:t>Les instituts de formation mettant en œuvre cette procédure pour leurs clients (à savoir, les conducteurs) doivent garantir, avant le début de la dernière journée de cours de recyclage (exercices pratiques), que les conducteurs aient réussi l’examen pour qu’ils puissent suivre le cours pratique. L’examen doit porter sur les points de théorie figurant au paragraphe 8.2.2.3.2 et doit durer au moins 30 minutes.</w:t>
      </w:r>
      <w:bookmarkEnd w:id="24"/>
    </w:p>
    <w:p w:rsidR="00E60B61" w:rsidRPr="0093362A" w:rsidRDefault="00E60B61" w:rsidP="00E60B61">
      <w:pPr>
        <w:pStyle w:val="SingleTxtG"/>
      </w:pPr>
      <w:bookmarkStart w:id="25" w:name="bookmark_39"/>
      <w:r>
        <w:rPr>
          <w:lang w:val="fr-FR"/>
        </w:rPr>
        <w:t>10.</w:t>
      </w:r>
      <w:r>
        <w:rPr>
          <w:lang w:val="fr-FR"/>
        </w:rPr>
        <w:tab/>
        <w:t xml:space="preserve">Si les conducteurs ne réussissent pas l’examen portant sur le cours de recyclage en ligne, ils devront reprendre le cours d’apprentissage électronique </w:t>
      </w:r>
      <w:r w:rsidR="008A0BC9">
        <w:rPr>
          <w:lang w:val="fr-FR"/>
        </w:rPr>
        <w:t>−</w:t>
      </w:r>
      <w:r>
        <w:rPr>
          <w:lang w:val="fr-FR"/>
        </w:rPr>
        <w:t xml:space="preserve"> à domicile ou dans un institut de formation </w:t>
      </w:r>
      <w:r w:rsidR="008A0BC9">
        <w:rPr>
          <w:lang w:val="fr-FR"/>
        </w:rPr>
        <w:t>−</w:t>
      </w:r>
      <w:r>
        <w:rPr>
          <w:lang w:val="fr-FR"/>
        </w:rPr>
        <w:t xml:space="preserve"> ou suivre un cours de perfectionnement standard en vue d’obtenir le certificat de formation de conducteur selon le modèle du paragraphe 8.2.2.8.5.</w:t>
      </w:r>
      <w:bookmarkEnd w:id="25"/>
    </w:p>
    <w:p w:rsidR="00E60B61" w:rsidRPr="0093362A" w:rsidRDefault="00E60B61" w:rsidP="00B7761C">
      <w:pPr>
        <w:pStyle w:val="SingleTxtG"/>
        <w:keepNext/>
      </w:pPr>
      <w:bookmarkStart w:id="26" w:name="bookmark_40"/>
      <w:r>
        <w:rPr>
          <w:lang w:val="fr-FR"/>
        </w:rPr>
        <w:t>11.</w:t>
      </w:r>
      <w:r>
        <w:rPr>
          <w:lang w:val="fr-FR"/>
        </w:rPr>
        <w:tab/>
        <w:t>Compte tenu</w:t>
      </w:r>
      <w:r w:rsidR="00B7761C">
        <w:rPr>
          <w:lang w:val="fr-FR"/>
        </w:rPr>
        <w:t xml:space="preserve"> du paragraphe </w:t>
      </w:r>
      <w:r>
        <w:rPr>
          <w:lang w:val="fr-FR"/>
        </w:rPr>
        <w:t>8.2.2.3.2, l’apprentissage en ligne du cours de recyclage doit en principe porter sur les thèmes suivants :</w:t>
      </w:r>
      <w:bookmarkEnd w:id="26"/>
    </w:p>
    <w:p w:rsidR="00E60B61" w:rsidRPr="0093362A" w:rsidRDefault="00E60B61" w:rsidP="00B7761C">
      <w:pPr>
        <w:pStyle w:val="SingleTxtG"/>
        <w:ind w:firstLine="567"/>
      </w:pPr>
      <w:bookmarkStart w:id="27" w:name="bookmark_41"/>
      <w:r>
        <w:rPr>
          <w:lang w:val="fr-FR"/>
        </w:rPr>
        <w:t>a)</w:t>
      </w:r>
      <w:r>
        <w:rPr>
          <w:lang w:val="fr-FR"/>
        </w:rPr>
        <w:tab/>
        <w:t>Prescriptions générales applicables au transport des marchandises dangereuses</w:t>
      </w:r>
      <w:r w:rsidR="00AB636F">
        <w:rPr>
          <w:lang w:val="fr-FR"/>
        </w:rPr>
        <w:t> </w:t>
      </w:r>
      <w:r>
        <w:rPr>
          <w:lang w:val="fr-FR"/>
        </w:rPr>
        <w:t>;</w:t>
      </w:r>
      <w:bookmarkEnd w:id="27"/>
    </w:p>
    <w:p w:rsidR="00E60B61" w:rsidRPr="0093362A" w:rsidRDefault="00E60B61" w:rsidP="00AB636F">
      <w:pPr>
        <w:pStyle w:val="SingleTxtG"/>
        <w:ind w:firstLine="567"/>
      </w:pPr>
      <w:bookmarkStart w:id="28" w:name="bookmark_42"/>
      <w:r>
        <w:rPr>
          <w:lang w:val="fr-FR"/>
        </w:rPr>
        <w:t>b)</w:t>
      </w:r>
      <w:r>
        <w:rPr>
          <w:lang w:val="fr-FR"/>
        </w:rPr>
        <w:tab/>
        <w:t>Principaux types de risques</w:t>
      </w:r>
      <w:bookmarkEnd w:id="28"/>
      <w:r w:rsidR="00AB636F">
        <w:rPr>
          <w:lang w:val="fr-FR"/>
        </w:rPr>
        <w:t> ;</w:t>
      </w:r>
    </w:p>
    <w:p w:rsidR="00E60B61" w:rsidRPr="0093362A" w:rsidRDefault="00E60B61" w:rsidP="00AB636F">
      <w:pPr>
        <w:pStyle w:val="SingleTxtG"/>
        <w:ind w:firstLine="567"/>
      </w:pPr>
      <w:bookmarkStart w:id="29" w:name="bookmark_43"/>
      <w:r>
        <w:rPr>
          <w:lang w:val="fr-FR"/>
        </w:rPr>
        <w:lastRenderedPageBreak/>
        <w:t>c)</w:t>
      </w:r>
      <w:r>
        <w:rPr>
          <w:lang w:val="fr-FR"/>
        </w:rPr>
        <w:tab/>
        <w:t>Information relative à la protection de l’environnement par le contrôle du transfert de déchets</w:t>
      </w:r>
      <w:bookmarkEnd w:id="29"/>
      <w:r w:rsidR="00AB636F">
        <w:rPr>
          <w:lang w:val="fr-FR"/>
        </w:rPr>
        <w:t> ;</w:t>
      </w:r>
    </w:p>
    <w:p w:rsidR="00E60B61" w:rsidRPr="0093362A" w:rsidRDefault="00E60B61" w:rsidP="00AB636F">
      <w:pPr>
        <w:pStyle w:val="SingleTxtG"/>
        <w:ind w:firstLine="567"/>
      </w:pPr>
      <w:bookmarkStart w:id="30" w:name="bookmark_44"/>
      <w:r>
        <w:rPr>
          <w:lang w:val="fr-FR"/>
        </w:rPr>
        <w:t>f)</w:t>
      </w:r>
      <w:r>
        <w:rPr>
          <w:lang w:val="fr-FR"/>
        </w:rPr>
        <w:tab/>
        <w:t>Marquage, étiquetage, placardage et signalisation orange</w:t>
      </w:r>
      <w:bookmarkEnd w:id="30"/>
      <w:r w:rsidR="00AB636F">
        <w:rPr>
          <w:lang w:val="fr-FR"/>
        </w:rPr>
        <w:t> ;</w:t>
      </w:r>
    </w:p>
    <w:p w:rsidR="00E60B61" w:rsidRPr="0093362A" w:rsidRDefault="00E60B61" w:rsidP="00AB636F">
      <w:pPr>
        <w:pStyle w:val="SingleTxtG"/>
        <w:ind w:firstLine="567"/>
      </w:pPr>
      <w:bookmarkStart w:id="31" w:name="bookmark_45"/>
      <w:r>
        <w:rPr>
          <w:lang w:val="fr-FR"/>
        </w:rPr>
        <w:t>h)</w:t>
      </w:r>
      <w:r>
        <w:rPr>
          <w:lang w:val="fr-FR"/>
        </w:rPr>
        <w:tab/>
        <w:t>Objet et fonctionnement de l’équipement technique des véhicules</w:t>
      </w:r>
      <w:bookmarkEnd w:id="31"/>
      <w:r w:rsidR="00AB636F">
        <w:rPr>
          <w:lang w:val="fr-FR"/>
        </w:rPr>
        <w:t> ;</w:t>
      </w:r>
    </w:p>
    <w:p w:rsidR="00E60B61" w:rsidRPr="0093362A" w:rsidRDefault="00E60B61" w:rsidP="00AB636F">
      <w:pPr>
        <w:pStyle w:val="SingleTxtG"/>
        <w:ind w:firstLine="567"/>
      </w:pPr>
      <w:bookmarkStart w:id="32" w:name="bookmark_46"/>
      <w:r>
        <w:rPr>
          <w:lang w:val="fr-FR"/>
        </w:rPr>
        <w:t xml:space="preserve">i) </w:t>
      </w:r>
      <w:r>
        <w:rPr>
          <w:lang w:val="fr-FR"/>
        </w:rPr>
        <w:tab/>
        <w:t>Interdictions de chargement en commun sur un même véhicule ou dans un conteneur</w:t>
      </w:r>
      <w:bookmarkEnd w:id="32"/>
      <w:r w:rsidR="00AB636F">
        <w:rPr>
          <w:lang w:val="fr-FR"/>
        </w:rPr>
        <w:t> ;</w:t>
      </w:r>
    </w:p>
    <w:p w:rsidR="00E60B61" w:rsidRPr="0093362A" w:rsidRDefault="00E60B61" w:rsidP="00AB636F">
      <w:pPr>
        <w:pStyle w:val="SingleTxtG"/>
        <w:ind w:firstLine="567"/>
      </w:pPr>
      <w:bookmarkStart w:id="33" w:name="bookmark_47"/>
      <w:r>
        <w:rPr>
          <w:lang w:val="fr-FR"/>
        </w:rPr>
        <w:t>j)</w:t>
      </w:r>
      <w:r>
        <w:rPr>
          <w:lang w:val="fr-FR"/>
        </w:rPr>
        <w:tab/>
        <w:t>Précautions à prendre lors du chargement et du déchargement des marchandises dangereuses</w:t>
      </w:r>
      <w:bookmarkEnd w:id="33"/>
      <w:r w:rsidR="00AB636F">
        <w:rPr>
          <w:lang w:val="fr-FR"/>
        </w:rPr>
        <w:t> ;</w:t>
      </w:r>
    </w:p>
    <w:p w:rsidR="00E60B61" w:rsidRPr="0093362A" w:rsidRDefault="00E60B61" w:rsidP="00AB636F">
      <w:pPr>
        <w:pStyle w:val="SingleTxtG"/>
        <w:ind w:firstLine="567"/>
      </w:pPr>
      <w:bookmarkStart w:id="34" w:name="bookmark_48"/>
      <w:r>
        <w:rPr>
          <w:lang w:val="fr-FR"/>
        </w:rPr>
        <w:t>k)</w:t>
      </w:r>
      <w:r>
        <w:rPr>
          <w:lang w:val="fr-FR"/>
        </w:rPr>
        <w:tab/>
        <w:t>Informations générales concernant la responsabilité civile</w:t>
      </w:r>
      <w:bookmarkEnd w:id="34"/>
      <w:r w:rsidR="00AB636F">
        <w:rPr>
          <w:lang w:val="fr-FR"/>
        </w:rPr>
        <w:t> ;</w:t>
      </w:r>
    </w:p>
    <w:p w:rsidR="00E60B61" w:rsidRPr="0093362A" w:rsidRDefault="00E60B61" w:rsidP="00AB636F">
      <w:pPr>
        <w:pStyle w:val="SingleTxtG"/>
        <w:ind w:firstLine="567"/>
      </w:pPr>
      <w:bookmarkStart w:id="35" w:name="bookmark_49"/>
      <w:r>
        <w:rPr>
          <w:lang w:val="fr-FR"/>
        </w:rPr>
        <w:t xml:space="preserve">l) </w:t>
      </w:r>
      <w:r>
        <w:rPr>
          <w:lang w:val="fr-FR"/>
        </w:rPr>
        <w:tab/>
        <w:t>Information sur les opérations de transport multimodal</w:t>
      </w:r>
      <w:bookmarkEnd w:id="35"/>
      <w:r w:rsidR="00AB636F">
        <w:rPr>
          <w:lang w:val="fr-FR"/>
        </w:rPr>
        <w:t> ;</w:t>
      </w:r>
    </w:p>
    <w:p w:rsidR="00E60B61" w:rsidRPr="0093362A" w:rsidRDefault="00E60B61" w:rsidP="00B7761C">
      <w:pPr>
        <w:pStyle w:val="SingleTxtG"/>
        <w:ind w:firstLine="567"/>
      </w:pPr>
      <w:bookmarkStart w:id="36" w:name="bookmark_50"/>
      <w:r>
        <w:rPr>
          <w:lang w:val="fr-FR"/>
        </w:rPr>
        <w:t>n)</w:t>
      </w:r>
      <w:r>
        <w:rPr>
          <w:lang w:val="fr-FR"/>
        </w:rPr>
        <w:tab/>
        <w:t>Restrictions à la circulation dans les tunnels et instructions sur le comportement dans les tunnels (prévention des incidents, sécurité, mesures à prendre en cas d’incendie ou d’autres situations d’</w:t>
      </w:r>
      <w:r w:rsidR="00AB636F">
        <w:rPr>
          <w:lang w:val="fr-FR"/>
        </w:rPr>
        <w:t>urgences, etc.) </w:t>
      </w:r>
      <w:r>
        <w:rPr>
          <w:lang w:val="fr-FR"/>
        </w:rPr>
        <w:t>;</w:t>
      </w:r>
      <w:bookmarkEnd w:id="36"/>
    </w:p>
    <w:p w:rsidR="00E60B61" w:rsidRPr="0093362A" w:rsidRDefault="00E60B61" w:rsidP="00B7761C">
      <w:pPr>
        <w:pStyle w:val="SingleTxtG"/>
        <w:ind w:firstLine="567"/>
      </w:pPr>
      <w:bookmarkStart w:id="37" w:name="bookmark_51"/>
      <w:r>
        <w:rPr>
          <w:lang w:val="fr-FR"/>
        </w:rPr>
        <w:t>o)</w:t>
      </w:r>
      <w:r>
        <w:rPr>
          <w:lang w:val="fr-FR"/>
        </w:rPr>
        <w:tab/>
        <w:t>Sensibilisation à la sûreté.</w:t>
      </w:r>
      <w:bookmarkEnd w:id="37"/>
    </w:p>
    <w:p w:rsidR="00E60B61" w:rsidRPr="0093362A" w:rsidRDefault="00E60B61" w:rsidP="00E60B61">
      <w:pPr>
        <w:pStyle w:val="SingleTxtG"/>
      </w:pPr>
      <w:bookmarkStart w:id="38" w:name="bookmark_52"/>
      <w:r>
        <w:rPr>
          <w:lang w:val="fr-FR"/>
        </w:rPr>
        <w:t>12.</w:t>
      </w:r>
      <w:r>
        <w:rPr>
          <w:lang w:val="fr-FR"/>
        </w:rPr>
        <w:tab/>
        <w:t>À la fin du cours de recyclage, les participants doivent passer l’examen conformément aux prescriptions du paragraphe 8.2.2.7.1.6.</w:t>
      </w:r>
      <w:bookmarkEnd w:id="38"/>
    </w:p>
    <w:p w:rsidR="00E60B61" w:rsidRPr="0093362A" w:rsidRDefault="00E60B61" w:rsidP="00E60B61">
      <w:pPr>
        <w:pStyle w:val="HChG"/>
      </w:pPr>
      <w:bookmarkStart w:id="39" w:name="bookmark_53"/>
      <w:r>
        <w:rPr>
          <w:lang w:val="fr-FR"/>
        </w:rPr>
        <w:tab/>
      </w:r>
      <w:r>
        <w:rPr>
          <w:lang w:val="fr-FR"/>
        </w:rPr>
        <w:tab/>
      </w:r>
      <w:r>
        <w:rPr>
          <w:bCs/>
          <w:lang w:val="fr-FR"/>
        </w:rPr>
        <w:t>Proposition</w:t>
      </w:r>
      <w:bookmarkEnd w:id="39"/>
    </w:p>
    <w:p w:rsidR="00E60B61" w:rsidRPr="0093362A" w:rsidRDefault="00E60B61" w:rsidP="00E60B61">
      <w:pPr>
        <w:pStyle w:val="SingleTxtG"/>
      </w:pPr>
      <w:bookmarkStart w:id="40" w:name="bookmark_54"/>
      <w:r>
        <w:rPr>
          <w:lang w:val="fr-FR"/>
        </w:rPr>
        <w:t>13.</w:t>
      </w:r>
      <w:r>
        <w:rPr>
          <w:lang w:val="fr-FR"/>
        </w:rPr>
        <w:tab/>
        <w:t>L’IRU propose de modifier le paragraphe 8.2.2.5.2 de l’ADR en y ajoutant le passage en caractères gras, comme suit :</w:t>
      </w:r>
      <w:bookmarkEnd w:id="40"/>
    </w:p>
    <w:p w:rsidR="00E60B61" w:rsidRPr="0093362A" w:rsidRDefault="00E60B61" w:rsidP="00E60B61">
      <w:pPr>
        <w:pStyle w:val="SingleTxtG"/>
      </w:pPr>
      <w:bookmarkStart w:id="41" w:name="bookmark_55"/>
      <w:r>
        <w:rPr>
          <w:lang w:val="fr-FR"/>
        </w:rPr>
        <w:t>14.</w:t>
      </w:r>
      <w:r>
        <w:rPr>
          <w:lang w:val="fr-FR"/>
        </w:rPr>
        <w:tab/>
        <w:t>«</w:t>
      </w:r>
      <w:r w:rsidR="00AB636F">
        <w:rPr>
          <w:lang w:val="fr-FR"/>
        </w:rPr>
        <w:t> </w:t>
      </w:r>
      <w:r>
        <w:rPr>
          <w:lang w:val="fr-FR"/>
        </w:rPr>
        <w:t>8.2.2.5.2</w:t>
      </w:r>
      <w:r>
        <w:rPr>
          <w:lang w:val="fr-FR"/>
        </w:rPr>
        <w:tab/>
        <w:t>La durée de la formation de recyclage, y compris les travaux pratiques individuels, doit être d’au moins deux jours pour les cours de formation polyvalents</w:t>
      </w:r>
      <w:r>
        <w:rPr>
          <w:b/>
          <w:bCs/>
          <w:lang w:val="fr-FR"/>
        </w:rPr>
        <w:t>, dont éventuellement une journée d’apprentissage en ligne</w:t>
      </w:r>
      <w:r>
        <w:rPr>
          <w:lang w:val="fr-FR"/>
        </w:rPr>
        <w:t xml:space="preserve"> ou, pour les cours de formation individuels, au moins la moitié de la durée prévue au 8.2.2.4.1 pour les cours de formation de base initiale ou les cours de spécialisation initiale correspondants.</w:t>
      </w:r>
      <w:r w:rsidR="0038039C">
        <w:rPr>
          <w:lang w:val="fr-FR"/>
        </w:rPr>
        <w:t> </w:t>
      </w:r>
      <w:r>
        <w:rPr>
          <w:lang w:val="fr-FR"/>
        </w:rPr>
        <w:t>»</w:t>
      </w:r>
      <w:bookmarkEnd w:id="41"/>
    </w:p>
    <w:p w:rsidR="00E60B61" w:rsidRPr="0093362A" w:rsidRDefault="00E60B61" w:rsidP="00C0306A">
      <w:pPr>
        <w:pStyle w:val="SingleTxtG"/>
        <w:keepNext/>
      </w:pPr>
      <w:bookmarkStart w:id="42" w:name="bookmark_56"/>
      <w:r>
        <w:rPr>
          <w:lang w:val="fr-FR"/>
        </w:rPr>
        <w:t>15.</w:t>
      </w:r>
      <w:r>
        <w:rPr>
          <w:lang w:val="fr-FR"/>
        </w:rPr>
        <w:tab/>
        <w:t>L’IRU propose de modifier le début du paragraphe 8.2.2.5 de l’ADN, comme suit :</w:t>
      </w:r>
      <w:bookmarkEnd w:id="42"/>
    </w:p>
    <w:p w:rsidR="00E60B61" w:rsidRPr="0093362A" w:rsidRDefault="00E60B61" w:rsidP="0038039C">
      <w:pPr>
        <w:pStyle w:val="SingleTxtG"/>
        <w:ind w:left="2268" w:hanging="1134"/>
      </w:pPr>
      <w:bookmarkStart w:id="43" w:name="bookmark_57"/>
      <w:r>
        <w:rPr>
          <w:lang w:val="fr-FR"/>
        </w:rPr>
        <w:t>«</w:t>
      </w:r>
      <w:r w:rsidR="0038039C">
        <w:rPr>
          <w:lang w:val="fr-FR"/>
        </w:rPr>
        <w:t> </w:t>
      </w:r>
      <w:r>
        <w:rPr>
          <w:lang w:val="fr-FR"/>
        </w:rPr>
        <w:t>8.2.2.5</w:t>
      </w:r>
      <w:r>
        <w:rPr>
          <w:lang w:val="fr-FR"/>
        </w:rPr>
        <w:tab/>
        <w:t>Planning du cours de recyclage</w:t>
      </w:r>
      <w:bookmarkEnd w:id="43"/>
    </w:p>
    <w:p w:rsidR="00E60B61" w:rsidRPr="0093362A" w:rsidRDefault="00E60B61" w:rsidP="0038039C">
      <w:pPr>
        <w:pStyle w:val="SingleTxtG"/>
        <w:ind w:left="2268"/>
      </w:pPr>
      <w:bookmarkStart w:id="44" w:name="bookmark_58"/>
      <w:r>
        <w:rPr>
          <w:lang w:val="fr-FR"/>
        </w:rPr>
        <w:t>Les cours de recyclage doivent avoir lieu avant l’expiration du délai visé au 8.2.1.4, 8.2.1.6 ou 8.2.1.8.</w:t>
      </w:r>
      <w:bookmarkEnd w:id="44"/>
    </w:p>
    <w:p w:rsidR="00E60B61" w:rsidRDefault="00E60B61" w:rsidP="0038039C">
      <w:pPr>
        <w:pStyle w:val="SingleTxtG"/>
        <w:ind w:left="2268"/>
        <w:rPr>
          <w:lang w:val="fr-FR"/>
        </w:rPr>
      </w:pPr>
      <w:bookmarkStart w:id="45" w:name="bookmark_59"/>
      <w:r>
        <w:rPr>
          <w:lang w:val="fr-FR"/>
        </w:rPr>
        <w:t>Les durées minimales de formation suivantes</w:t>
      </w:r>
      <w:r>
        <w:rPr>
          <w:b/>
          <w:bCs/>
          <w:lang w:val="fr-FR"/>
        </w:rPr>
        <w:t>, qui peuvent être composées pour moitié de sessions d’apprentissage en ligne,</w:t>
      </w:r>
      <w:r w:rsidR="00C0306A">
        <w:rPr>
          <w:lang w:val="fr-FR"/>
        </w:rPr>
        <w:t xml:space="preserve"> sont à respecter</w:t>
      </w:r>
      <w:r>
        <w:rPr>
          <w:lang w:val="fr-FR"/>
        </w:rPr>
        <w:t>.</w:t>
      </w:r>
      <w:r w:rsidR="00C0306A">
        <w:rPr>
          <w:lang w:val="fr-FR"/>
        </w:rPr>
        <w:t> </w:t>
      </w:r>
      <w:r>
        <w:rPr>
          <w:lang w:val="fr-FR"/>
        </w:rPr>
        <w:t>».</w:t>
      </w:r>
    </w:p>
    <w:p w:rsidR="00E60B61" w:rsidRPr="0093362A" w:rsidRDefault="00E60B61" w:rsidP="00E60B61">
      <w:pPr>
        <w:pStyle w:val="SingleTxtG"/>
      </w:pPr>
      <w:r>
        <w:rPr>
          <w:lang w:val="fr-FR"/>
        </w:rPr>
        <w:t>La suite demeure inchangée.</w:t>
      </w:r>
      <w:bookmarkEnd w:id="45"/>
    </w:p>
    <w:p w:rsidR="00E60B61" w:rsidRPr="0093362A" w:rsidRDefault="00E60B61" w:rsidP="00C0306A">
      <w:pPr>
        <w:pStyle w:val="HChG"/>
      </w:pPr>
      <w:bookmarkStart w:id="46" w:name="bookmark_60"/>
      <w:r>
        <w:rPr>
          <w:lang w:val="fr-FR"/>
        </w:rPr>
        <w:tab/>
      </w:r>
      <w:r>
        <w:rPr>
          <w:lang w:val="fr-FR"/>
        </w:rPr>
        <w:tab/>
        <w:t>Justification</w:t>
      </w:r>
      <w:bookmarkEnd w:id="46"/>
    </w:p>
    <w:p w:rsidR="00E60B61" w:rsidRPr="0093362A" w:rsidRDefault="00C0306A" w:rsidP="00C0306A">
      <w:pPr>
        <w:pStyle w:val="SingleTxtG"/>
        <w:ind w:left="2268" w:hanging="1134"/>
      </w:pPr>
      <w:bookmarkStart w:id="47" w:name="bookmark_61"/>
      <w:r>
        <w:rPr>
          <w:lang w:val="fr-FR"/>
        </w:rPr>
        <w:t>Sécurité </w:t>
      </w:r>
      <w:r w:rsidR="00E60B61">
        <w:rPr>
          <w:lang w:val="fr-FR"/>
        </w:rPr>
        <w:t xml:space="preserve">: </w:t>
      </w:r>
      <w:r w:rsidR="00E60B61">
        <w:rPr>
          <w:lang w:val="fr-FR"/>
        </w:rPr>
        <w:tab/>
        <w:t>Des textes clairs aideront le conducteur à faire preuve de prévoyance, moderniseront la formation continue des conducteurs impliqués dans le transport de marchandises dangereuses par route, et amélioreront la sécurité des transports, conformément aux dispositions applicables.</w:t>
      </w:r>
      <w:bookmarkEnd w:id="47"/>
    </w:p>
    <w:p w:rsidR="00F9573C" w:rsidRDefault="00E60B61" w:rsidP="00C0306A">
      <w:pPr>
        <w:pStyle w:val="SingleTxtG"/>
        <w:ind w:left="2268" w:hanging="1134"/>
        <w:rPr>
          <w:lang w:val="fr-FR"/>
        </w:rPr>
      </w:pPr>
      <w:bookmarkStart w:id="48" w:name="bookmark_62"/>
      <w:r>
        <w:rPr>
          <w:lang w:val="fr-FR"/>
        </w:rPr>
        <w:t>Faisabilité</w:t>
      </w:r>
      <w:r w:rsidR="00C0306A">
        <w:rPr>
          <w:lang w:val="fr-FR"/>
        </w:rPr>
        <w:t> </w:t>
      </w:r>
      <w:r>
        <w:rPr>
          <w:lang w:val="fr-FR"/>
        </w:rPr>
        <w:t xml:space="preserve">: </w:t>
      </w:r>
      <w:r>
        <w:rPr>
          <w:lang w:val="fr-FR"/>
        </w:rPr>
        <w:tab/>
        <w:t>Le contenu de la formation, le mécanisme de leur application, ainsi que les obligations des parties respectivement con</w:t>
      </w:r>
      <w:r w:rsidR="00C0306A">
        <w:rPr>
          <w:lang w:val="fr-FR"/>
        </w:rPr>
        <w:t>c</w:t>
      </w:r>
      <w:r>
        <w:rPr>
          <w:lang w:val="fr-FR"/>
        </w:rPr>
        <w:t>ernées, sont clairement définis.</w:t>
      </w:r>
      <w:bookmarkEnd w:id="48"/>
    </w:p>
    <w:p w:rsidR="00C0306A" w:rsidRPr="00C0306A" w:rsidRDefault="00C0306A" w:rsidP="00C0306A">
      <w:pPr>
        <w:pStyle w:val="SingleTxtG"/>
        <w:spacing w:before="240" w:after="0"/>
        <w:jc w:val="center"/>
        <w:rPr>
          <w:u w:val="single"/>
        </w:rPr>
      </w:pPr>
      <w:r>
        <w:rPr>
          <w:u w:val="single"/>
        </w:rPr>
        <w:tab/>
      </w:r>
      <w:r>
        <w:rPr>
          <w:u w:val="single"/>
        </w:rPr>
        <w:tab/>
      </w:r>
      <w:r>
        <w:rPr>
          <w:u w:val="single"/>
        </w:rPr>
        <w:tab/>
      </w:r>
    </w:p>
    <w:sectPr w:rsidR="00C0306A" w:rsidRPr="00C0306A" w:rsidSect="00AB0DF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BCC" w:rsidRDefault="00AF3BCC" w:rsidP="00F95C08">
      <w:pPr>
        <w:spacing w:line="240" w:lineRule="auto"/>
      </w:pPr>
    </w:p>
  </w:endnote>
  <w:endnote w:type="continuationSeparator" w:id="0">
    <w:p w:rsidR="00AF3BCC" w:rsidRPr="00AC3823" w:rsidRDefault="00AF3BCC" w:rsidP="00AC3823">
      <w:pPr>
        <w:pStyle w:val="Footer"/>
      </w:pPr>
    </w:p>
  </w:endnote>
  <w:endnote w:type="continuationNotice" w:id="1">
    <w:p w:rsidR="00AF3BCC" w:rsidRDefault="00AF3BC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DFB" w:rsidRPr="00AB0DFB" w:rsidRDefault="00AB0DFB" w:rsidP="00AB0DFB">
    <w:pPr>
      <w:pStyle w:val="Footer"/>
      <w:tabs>
        <w:tab w:val="right" w:pos="9638"/>
      </w:tabs>
    </w:pPr>
    <w:r w:rsidRPr="00AB0DFB">
      <w:rPr>
        <w:b/>
        <w:sz w:val="18"/>
      </w:rPr>
      <w:fldChar w:fldCharType="begin"/>
    </w:r>
    <w:r w:rsidRPr="00AB0DFB">
      <w:rPr>
        <w:b/>
        <w:sz w:val="18"/>
      </w:rPr>
      <w:instrText xml:space="preserve"> PAGE  \* MERGEFORMAT </w:instrText>
    </w:r>
    <w:r w:rsidRPr="00AB0DFB">
      <w:rPr>
        <w:b/>
        <w:sz w:val="18"/>
      </w:rPr>
      <w:fldChar w:fldCharType="separate"/>
    </w:r>
    <w:r w:rsidR="00E303C8">
      <w:rPr>
        <w:b/>
        <w:noProof/>
        <w:sz w:val="18"/>
      </w:rPr>
      <w:t>2</w:t>
    </w:r>
    <w:r w:rsidRPr="00AB0DFB">
      <w:rPr>
        <w:b/>
        <w:sz w:val="18"/>
      </w:rPr>
      <w:fldChar w:fldCharType="end"/>
    </w:r>
    <w:r>
      <w:rPr>
        <w:b/>
        <w:sz w:val="18"/>
      </w:rPr>
      <w:tab/>
    </w:r>
    <w:r>
      <w:t>GE.17-23127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DFB" w:rsidRPr="00AB0DFB" w:rsidRDefault="00AB0DFB" w:rsidP="00AB0DFB">
    <w:pPr>
      <w:pStyle w:val="Footer"/>
      <w:tabs>
        <w:tab w:val="right" w:pos="9638"/>
      </w:tabs>
      <w:rPr>
        <w:b/>
        <w:sz w:val="18"/>
      </w:rPr>
    </w:pPr>
    <w:r>
      <w:t>GE.17-23127</w:t>
    </w:r>
    <w:r>
      <w:tab/>
    </w:r>
    <w:r w:rsidRPr="00AB0DFB">
      <w:rPr>
        <w:b/>
        <w:sz w:val="18"/>
      </w:rPr>
      <w:fldChar w:fldCharType="begin"/>
    </w:r>
    <w:r w:rsidRPr="00AB0DFB">
      <w:rPr>
        <w:b/>
        <w:sz w:val="18"/>
      </w:rPr>
      <w:instrText xml:space="preserve"> PAGE  \* MERGEFORMAT </w:instrText>
    </w:r>
    <w:r w:rsidRPr="00AB0DFB">
      <w:rPr>
        <w:b/>
        <w:sz w:val="18"/>
      </w:rPr>
      <w:fldChar w:fldCharType="separate"/>
    </w:r>
    <w:r w:rsidR="00E303C8">
      <w:rPr>
        <w:b/>
        <w:noProof/>
        <w:sz w:val="18"/>
      </w:rPr>
      <w:t>3</w:t>
    </w:r>
    <w:r w:rsidRPr="00AB0DF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AB0DFB" w:rsidRDefault="00AB0DFB" w:rsidP="00AB0DFB">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17-23127  (F)    090118    090118</w:t>
    </w:r>
    <w:r>
      <w:rPr>
        <w:sz w:val="20"/>
      </w:rPr>
      <w:br/>
    </w:r>
    <w:r w:rsidRPr="00AB0DFB">
      <w:rPr>
        <w:rFonts w:ascii="C39T30Lfz" w:hAnsi="C39T30Lfz"/>
        <w:sz w:val="56"/>
      </w:rPr>
      <w:t></w:t>
    </w:r>
    <w:r w:rsidRPr="00AB0DFB">
      <w:rPr>
        <w:rFonts w:ascii="C39T30Lfz" w:hAnsi="C39T30Lfz"/>
        <w:sz w:val="56"/>
      </w:rPr>
      <w:t></w:t>
    </w:r>
    <w:r w:rsidRPr="00AB0DFB">
      <w:rPr>
        <w:rFonts w:ascii="C39T30Lfz" w:hAnsi="C39T30Lfz"/>
        <w:sz w:val="56"/>
      </w:rPr>
      <w:t></w:t>
    </w:r>
    <w:r w:rsidRPr="00AB0DFB">
      <w:rPr>
        <w:rFonts w:ascii="C39T30Lfz" w:hAnsi="C39T30Lfz"/>
        <w:sz w:val="56"/>
      </w:rPr>
      <w:t></w:t>
    </w:r>
    <w:r w:rsidRPr="00AB0DFB">
      <w:rPr>
        <w:rFonts w:ascii="C39T30Lfz" w:hAnsi="C39T30Lfz"/>
        <w:sz w:val="56"/>
      </w:rPr>
      <w:t></w:t>
    </w:r>
    <w:r w:rsidRPr="00AB0DFB">
      <w:rPr>
        <w:rFonts w:ascii="C39T30Lfz" w:hAnsi="C39T30Lfz"/>
        <w:sz w:val="56"/>
      </w:rPr>
      <w:t></w:t>
    </w:r>
    <w:r w:rsidRPr="00AB0DFB">
      <w:rPr>
        <w:rFonts w:ascii="C39T30Lfz" w:hAnsi="C39T30Lfz"/>
        <w:sz w:val="56"/>
      </w:rPr>
      <w:t></w:t>
    </w:r>
    <w:r w:rsidRPr="00AB0DFB">
      <w:rPr>
        <w:rFonts w:ascii="C39T30Lfz" w:hAnsi="C39T30Lfz"/>
        <w:sz w:val="56"/>
      </w:rPr>
      <w:t></w:t>
    </w:r>
    <w:r w:rsidRPr="00AB0DFB">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5/AC.1/2018/10&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1/2018/10&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BCC" w:rsidRPr="00AC3823" w:rsidRDefault="00AF3BCC" w:rsidP="00AC3823">
      <w:pPr>
        <w:pStyle w:val="Footer"/>
        <w:tabs>
          <w:tab w:val="right" w:pos="2155"/>
        </w:tabs>
        <w:spacing w:after="80" w:line="240" w:lineRule="atLeast"/>
        <w:ind w:left="680"/>
        <w:rPr>
          <w:u w:val="single"/>
        </w:rPr>
      </w:pPr>
      <w:r>
        <w:rPr>
          <w:u w:val="single"/>
        </w:rPr>
        <w:tab/>
      </w:r>
    </w:p>
  </w:footnote>
  <w:footnote w:type="continuationSeparator" w:id="0">
    <w:p w:rsidR="00AF3BCC" w:rsidRPr="00AC3823" w:rsidRDefault="00AF3BCC" w:rsidP="00AC3823">
      <w:pPr>
        <w:pStyle w:val="Footer"/>
        <w:tabs>
          <w:tab w:val="right" w:pos="2155"/>
        </w:tabs>
        <w:spacing w:after="80" w:line="240" w:lineRule="atLeast"/>
        <w:ind w:left="680"/>
        <w:rPr>
          <w:u w:val="single"/>
        </w:rPr>
      </w:pPr>
      <w:r>
        <w:rPr>
          <w:u w:val="single"/>
        </w:rPr>
        <w:tab/>
      </w:r>
    </w:p>
  </w:footnote>
  <w:footnote w:type="continuationNotice" w:id="1">
    <w:p w:rsidR="00AF3BCC" w:rsidRPr="00AC3823" w:rsidRDefault="00AF3BCC">
      <w:pPr>
        <w:spacing w:line="240" w:lineRule="auto"/>
        <w:rPr>
          <w:sz w:val="2"/>
          <w:szCs w:val="2"/>
        </w:rPr>
      </w:pPr>
    </w:p>
  </w:footnote>
  <w:footnote w:id="2">
    <w:p w:rsidR="00E60B61" w:rsidRPr="0093362A" w:rsidRDefault="00E60B61" w:rsidP="00E60B61">
      <w:pPr>
        <w:pStyle w:val="FootnoteText"/>
      </w:pPr>
      <w:bookmarkStart w:id="11" w:name="footnoteBookmark_21"/>
      <w:r>
        <w:rPr>
          <w:lang w:val="fr-FR"/>
        </w:rPr>
        <w:tab/>
        <w:t xml:space="preserve">* </w:t>
      </w:r>
      <w:r>
        <w:rPr>
          <w:lang w:val="fr-FR"/>
        </w:rPr>
        <w:tab/>
        <w:t>Conformément au programme de travail du Comité des transports intérieurs pour 2018-2019 (ECE/TRANS/WP.15/237, annexe V (9.2)).</w:t>
      </w:r>
      <w:bookmarkEnd w:id="1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DFB" w:rsidRPr="00AB0DFB" w:rsidRDefault="00E303C8">
    <w:pPr>
      <w:pStyle w:val="Header"/>
    </w:pPr>
    <w:r>
      <w:fldChar w:fldCharType="begin"/>
    </w:r>
    <w:r>
      <w:instrText xml:space="preserve"> TITLE  \* MERGEFORMAT </w:instrText>
    </w:r>
    <w:r>
      <w:fldChar w:fldCharType="separate"/>
    </w:r>
    <w:r w:rsidR="00F50A08">
      <w:t>ECE/TRANS/WP.15/AC.1/2018/10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DFB" w:rsidRPr="00AB0DFB" w:rsidRDefault="00E303C8" w:rsidP="00AB0DFB">
    <w:pPr>
      <w:pStyle w:val="Header"/>
      <w:jc w:val="right"/>
    </w:pPr>
    <w:r>
      <w:fldChar w:fldCharType="begin"/>
    </w:r>
    <w:r>
      <w:instrText xml:space="preserve"> TITLE  \* MERGEFORMAT </w:instrText>
    </w:r>
    <w:r>
      <w:fldChar w:fldCharType="separate"/>
    </w:r>
    <w:r w:rsidR="00F50A08">
      <w:t>ECE/TRANS/WP.15/AC.1/2018/10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5A8B569B"/>
    <w:multiLevelType w:val="hybridMultilevel"/>
    <w:tmpl w:val="D268740A"/>
    <w:lvl w:ilvl="0" w:tplc="8C844F48">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5F156885"/>
    <w:multiLevelType w:val="hybridMultilevel"/>
    <w:tmpl w:val="0FE4F17C"/>
    <w:lvl w:ilvl="0" w:tplc="19DC7DDC">
      <w:start w:val="1"/>
      <w:numFmt w:val="bullet"/>
      <w:lvlText w:val=""/>
      <w:lvlJc w:val="left"/>
      <w:pPr>
        <w:ind w:left="1689" w:hanging="555"/>
      </w:pPr>
      <w:rPr>
        <w:rFonts w:ascii="Symbol" w:hAnsi="Symbol"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4"/>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1"/>
  </w:num>
  <w:num w:numId="16">
    <w:abstractNumId w:val="10"/>
  </w:num>
  <w:num w:numId="17">
    <w:abstractNumId w:val="12"/>
    <w:lvlOverride w:ilvl="0">
      <w:lvl w:ilvl="0" w:tplc="8C844F48">
        <w:start w:val="1"/>
        <w:numFmt w:val="decimal"/>
        <w:lvlText w:val="%1."/>
        <w:lvlJc w:val="left"/>
        <w:pPr>
          <w:ind w:left="1689" w:hanging="555"/>
        </w:pPr>
        <w:rPr>
          <w:rFonts w:hint="default"/>
        </w:rPr>
      </w:lvl>
    </w:lvlOverride>
  </w:num>
  <w:num w:numId="18">
    <w:abstractNumId w:val="13"/>
    <w:lvlOverride w:ilvl="0">
      <w:lvl w:ilvl="0" w:tplc="19DC7DDC">
        <w:start w:val="1"/>
        <w:numFmt w:val="bullet"/>
        <w:lvlText w:val=""/>
        <w:lvlJc w:val="left"/>
        <w:pPr>
          <w:ind w:left="1689" w:hanging="555"/>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BCC"/>
    <w:rsid w:val="00017F94"/>
    <w:rsid w:val="00023842"/>
    <w:rsid w:val="000334F9"/>
    <w:rsid w:val="00045FEB"/>
    <w:rsid w:val="00055761"/>
    <w:rsid w:val="0007796D"/>
    <w:rsid w:val="000B7790"/>
    <w:rsid w:val="000E7451"/>
    <w:rsid w:val="00111F2F"/>
    <w:rsid w:val="0014365E"/>
    <w:rsid w:val="00143C66"/>
    <w:rsid w:val="00176178"/>
    <w:rsid w:val="001F525A"/>
    <w:rsid w:val="00223272"/>
    <w:rsid w:val="0024779E"/>
    <w:rsid w:val="00257168"/>
    <w:rsid w:val="002744B8"/>
    <w:rsid w:val="002832AC"/>
    <w:rsid w:val="002D7C93"/>
    <w:rsid w:val="00305801"/>
    <w:rsid w:val="0038039C"/>
    <w:rsid w:val="003916DE"/>
    <w:rsid w:val="003A56F9"/>
    <w:rsid w:val="00412406"/>
    <w:rsid w:val="00441C3B"/>
    <w:rsid w:val="00446FE5"/>
    <w:rsid w:val="00452396"/>
    <w:rsid w:val="004837D8"/>
    <w:rsid w:val="004E468C"/>
    <w:rsid w:val="005505B7"/>
    <w:rsid w:val="00573BE5"/>
    <w:rsid w:val="00586ED3"/>
    <w:rsid w:val="00596AA9"/>
    <w:rsid w:val="00614D28"/>
    <w:rsid w:val="0071601D"/>
    <w:rsid w:val="00772C07"/>
    <w:rsid w:val="00781F45"/>
    <w:rsid w:val="007A62E6"/>
    <w:rsid w:val="007F20FA"/>
    <w:rsid w:val="0080684C"/>
    <w:rsid w:val="00871C75"/>
    <w:rsid w:val="008776DC"/>
    <w:rsid w:val="008A0BC9"/>
    <w:rsid w:val="009446C0"/>
    <w:rsid w:val="009705C8"/>
    <w:rsid w:val="009C1CF4"/>
    <w:rsid w:val="009F6B74"/>
    <w:rsid w:val="00A30353"/>
    <w:rsid w:val="00AB0DFB"/>
    <w:rsid w:val="00AB636F"/>
    <w:rsid w:val="00AC3823"/>
    <w:rsid w:val="00AE323C"/>
    <w:rsid w:val="00AF0CB5"/>
    <w:rsid w:val="00AF3BCC"/>
    <w:rsid w:val="00B00181"/>
    <w:rsid w:val="00B00B0D"/>
    <w:rsid w:val="00B765F7"/>
    <w:rsid w:val="00B7761C"/>
    <w:rsid w:val="00BA0CA9"/>
    <w:rsid w:val="00C02897"/>
    <w:rsid w:val="00C0306A"/>
    <w:rsid w:val="00C77116"/>
    <w:rsid w:val="00C97039"/>
    <w:rsid w:val="00D3439C"/>
    <w:rsid w:val="00D61AA7"/>
    <w:rsid w:val="00DB1831"/>
    <w:rsid w:val="00DD3BFD"/>
    <w:rsid w:val="00DF6678"/>
    <w:rsid w:val="00E0299A"/>
    <w:rsid w:val="00E303C8"/>
    <w:rsid w:val="00E60B61"/>
    <w:rsid w:val="00E85C74"/>
    <w:rsid w:val="00EA6547"/>
    <w:rsid w:val="00EB6534"/>
    <w:rsid w:val="00EF2E22"/>
    <w:rsid w:val="00F35BAF"/>
    <w:rsid w:val="00F50A08"/>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A71F62B-3A2F-4C40-A760-96F2D7204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E60B61"/>
    <w:rPr>
      <w:rFonts w:ascii="Times New Roman" w:eastAsiaTheme="minorHAnsi" w:hAnsi="Times New Roman" w:cs="Times New Roman"/>
      <w:sz w:val="20"/>
      <w:szCs w:val="20"/>
      <w:lang w:eastAsia="en-US"/>
    </w:rPr>
  </w:style>
  <w:style w:type="character" w:customStyle="1" w:styleId="HChGChar">
    <w:name w:val="_ H _Ch_G Char"/>
    <w:link w:val="HChG"/>
    <w:rsid w:val="00E60B61"/>
    <w:rPr>
      <w:rFonts w:ascii="Times New Roman" w:eastAsiaTheme="minorHAnsi" w:hAnsi="Times New Roman" w:cs="Times New Roman"/>
      <w:b/>
      <w:sz w:val="28"/>
      <w:szCs w:val="20"/>
      <w:lang w:eastAsia="en-US"/>
    </w:rPr>
  </w:style>
  <w:style w:type="character" w:customStyle="1" w:styleId="H1GChar">
    <w:name w:val="_ H_1_G Char"/>
    <w:link w:val="H1G"/>
    <w:rsid w:val="00E60B61"/>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995</Words>
  <Characters>5676</Characters>
  <Application>Microsoft Office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ECE/TRANS/WP.15/AC.1/2018/10</vt:lpstr>
      <vt:lpstr>ECE/TRANS/WP.15/AC.1/2018/10</vt:lpstr>
    </vt:vector>
  </TitlesOfParts>
  <Company>DCM</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ECE/TRANS/WP.15/AC.1/2018/10</dc:title>
  <dc:subject/>
  <dc:creator>Nath VITTOZ</dc:creator>
  <cp:keywords/>
  <cp:lastModifiedBy>Christine Barrio-Champeau</cp:lastModifiedBy>
  <cp:revision>2</cp:revision>
  <cp:lastPrinted>2018-01-09T09:03:00Z</cp:lastPrinted>
  <dcterms:created xsi:type="dcterms:W3CDTF">2018-01-10T08:50:00Z</dcterms:created>
  <dcterms:modified xsi:type="dcterms:W3CDTF">2018-01-10T08:50:00Z</dcterms:modified>
</cp:coreProperties>
</file>