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A" w:rsidRPr="00042212"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42212">
        <w:rPr>
          <w:rFonts w:ascii="Arial" w:eastAsia="Arial" w:hAnsi="Arial" w:cs="Arial"/>
          <w:bCs/>
          <w:noProof/>
          <w:szCs w:val="24"/>
          <w:lang w:val="en-GB" w:eastAsia="en-GB"/>
        </w:rPr>
        <w:drawing>
          <wp:anchor distT="0" distB="0" distL="114300" distR="114300" simplePos="0" relativeHeight="251659264" behindDoc="0" locked="0" layoutInCell="1" allowOverlap="1" wp14:anchorId="3CDC0192" wp14:editId="5F3525A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42212">
        <w:rPr>
          <w:rFonts w:ascii="Arial" w:eastAsia="Arial" w:hAnsi="Arial" w:cs="Arial"/>
          <w:bCs/>
          <w:szCs w:val="24"/>
          <w:lang w:eastAsia="de-DE"/>
        </w:rPr>
        <w:t>CCNR-ZKR/ADN/WP.15/AC.2/2018/</w:t>
      </w:r>
      <w:r w:rsidR="007944DA" w:rsidRPr="00042212">
        <w:rPr>
          <w:rFonts w:ascii="Arial" w:eastAsia="Arial" w:hAnsi="Arial" w:cs="Arial"/>
          <w:bCs/>
          <w:szCs w:val="24"/>
          <w:lang w:eastAsia="de-DE"/>
        </w:rPr>
        <w:t>5</w:t>
      </w:r>
    </w:p>
    <w:p w:rsidR="00F8067A" w:rsidRPr="00042212"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42212">
        <w:rPr>
          <w:rFonts w:ascii="Arial" w:hAnsi="Arial" w:cs="Arial"/>
          <w:sz w:val="16"/>
          <w:szCs w:val="24"/>
          <w:lang w:eastAsia="de-DE"/>
        </w:rPr>
        <w:t>Allgemeine Verteilung</w:t>
      </w:r>
    </w:p>
    <w:p w:rsidR="00F8067A" w:rsidRPr="00042212" w:rsidRDefault="009D2885"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042212">
        <w:rPr>
          <w:rFonts w:ascii="Arial" w:eastAsia="Arial" w:hAnsi="Arial" w:cs="Arial"/>
          <w:szCs w:val="24"/>
          <w:lang w:eastAsia="de-DE"/>
        </w:rPr>
        <w:t>20</w:t>
      </w:r>
      <w:r w:rsidR="00F8067A" w:rsidRPr="00042212">
        <w:rPr>
          <w:rFonts w:ascii="Arial" w:eastAsia="Arial" w:hAnsi="Arial" w:cs="Arial"/>
          <w:szCs w:val="24"/>
          <w:lang w:eastAsia="de-DE"/>
        </w:rPr>
        <w:t>. Oktober 2017</w:t>
      </w:r>
    </w:p>
    <w:p w:rsidR="00F8067A" w:rsidRPr="00042212"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042212">
        <w:rPr>
          <w:rFonts w:ascii="Arial" w:eastAsia="Arial" w:hAnsi="Arial" w:cs="Arial"/>
          <w:sz w:val="16"/>
          <w:szCs w:val="24"/>
          <w:lang w:eastAsia="de-DE"/>
        </w:rPr>
        <w:t xml:space="preserve">Or. </w:t>
      </w:r>
      <w:r w:rsidR="007944DA" w:rsidRPr="00042212">
        <w:rPr>
          <w:rFonts w:ascii="Arial" w:eastAsia="Arial" w:hAnsi="Arial" w:cs="Arial"/>
          <w:sz w:val="16"/>
          <w:szCs w:val="24"/>
          <w:lang w:eastAsia="de-DE"/>
        </w:rPr>
        <w:t>FRANZÖSISCH</w:t>
      </w:r>
    </w:p>
    <w:p w:rsidR="00F8067A" w:rsidRPr="00042212"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042212"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042212"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42212">
        <w:rPr>
          <w:rFonts w:ascii="Arial" w:hAnsi="Arial"/>
          <w:noProof/>
          <w:sz w:val="16"/>
          <w:szCs w:val="24"/>
        </w:rPr>
        <w:t>GEMEINSAME EXPERTENTAGUNG FÜR DIE DEM</w:t>
      </w:r>
    </w:p>
    <w:p w:rsidR="00F8067A" w:rsidRPr="00042212"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42212">
        <w:rPr>
          <w:rFonts w:ascii="Arial" w:hAnsi="Arial"/>
          <w:noProof/>
          <w:sz w:val="16"/>
          <w:szCs w:val="24"/>
        </w:rPr>
        <w:t>ÜBEREINKOMMEN ÜBER DIE INTERNATIONALE BEFÖRDERUNG</w:t>
      </w:r>
    </w:p>
    <w:p w:rsidR="00F8067A" w:rsidRPr="00042212"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42212">
        <w:rPr>
          <w:rFonts w:ascii="Arial" w:hAnsi="Arial"/>
          <w:noProof/>
          <w:sz w:val="16"/>
          <w:szCs w:val="24"/>
        </w:rPr>
        <w:t>VON GEFÄHRLICHEN GÜTERN AUF BINNENWASSERSTRASSEN</w:t>
      </w:r>
    </w:p>
    <w:p w:rsidR="00F8067A" w:rsidRPr="00042212"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42212">
        <w:rPr>
          <w:rFonts w:ascii="Arial" w:hAnsi="Arial"/>
          <w:noProof/>
          <w:sz w:val="16"/>
          <w:szCs w:val="24"/>
        </w:rPr>
        <w:t>BEIGEFÜGTE VERORDNUNG (ADN)</w:t>
      </w:r>
    </w:p>
    <w:p w:rsidR="00F8067A" w:rsidRPr="00042212"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42212">
        <w:rPr>
          <w:rFonts w:ascii="Arial" w:hAnsi="Arial"/>
          <w:noProof/>
          <w:sz w:val="16"/>
          <w:szCs w:val="24"/>
        </w:rPr>
        <w:t>(SICHERHEITSAUSSCHUSS)</w:t>
      </w:r>
    </w:p>
    <w:p w:rsidR="00F8067A" w:rsidRPr="00042212" w:rsidRDefault="00F8067A" w:rsidP="00F8067A">
      <w:pPr>
        <w:widowControl/>
        <w:tabs>
          <w:tab w:val="left" w:pos="2977"/>
        </w:tabs>
        <w:overflowPunct/>
        <w:autoSpaceDE/>
        <w:autoSpaceDN/>
        <w:adjustRightInd/>
        <w:snapToGrid w:val="0"/>
        <w:ind w:left="3960" w:firstLine="0"/>
        <w:jc w:val="left"/>
        <w:textAlignment w:val="auto"/>
        <w:rPr>
          <w:rFonts w:ascii="Arial" w:hAnsi="Arial"/>
          <w:sz w:val="16"/>
          <w:szCs w:val="24"/>
        </w:rPr>
      </w:pPr>
      <w:r w:rsidRPr="00042212">
        <w:rPr>
          <w:rFonts w:ascii="Arial" w:hAnsi="Arial"/>
          <w:sz w:val="16"/>
          <w:szCs w:val="24"/>
        </w:rPr>
        <w:t>(32. Tagung, Genf, 22. bis 26. Januar 2018)</w:t>
      </w:r>
    </w:p>
    <w:p w:rsidR="00F8067A" w:rsidRPr="00042212" w:rsidRDefault="00F8067A" w:rsidP="00F8067A">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42212">
        <w:rPr>
          <w:rFonts w:ascii="Arial" w:hAnsi="Arial" w:cs="Arial"/>
          <w:sz w:val="16"/>
          <w:szCs w:val="16"/>
          <w:lang w:eastAsia="en-US"/>
        </w:rPr>
        <w:t xml:space="preserve">Punkt </w:t>
      </w:r>
      <w:r w:rsidR="00982F17" w:rsidRPr="00042212">
        <w:rPr>
          <w:rFonts w:ascii="Arial" w:hAnsi="Arial" w:cs="Arial"/>
          <w:sz w:val="16"/>
          <w:szCs w:val="16"/>
          <w:lang w:eastAsia="en-US"/>
        </w:rPr>
        <w:t>5 b)</w:t>
      </w:r>
      <w:r w:rsidRPr="00042212">
        <w:rPr>
          <w:rFonts w:ascii="Arial" w:hAnsi="Arial" w:cs="Arial"/>
          <w:sz w:val="16"/>
          <w:szCs w:val="16"/>
          <w:lang w:eastAsia="en-US"/>
        </w:rPr>
        <w:t xml:space="preserve"> zur vorläufigen Tagesordnung</w:t>
      </w:r>
    </w:p>
    <w:p w:rsidR="00F8067A" w:rsidRPr="00042212" w:rsidRDefault="00F8067A" w:rsidP="00F8067A">
      <w:pPr>
        <w:ind w:left="3960" w:firstLine="9"/>
        <w:rPr>
          <w:rFonts w:ascii="Arial" w:hAnsi="Arial" w:cs="Arial"/>
          <w:b/>
          <w:sz w:val="16"/>
          <w:szCs w:val="16"/>
          <w:lang w:eastAsia="en-US"/>
        </w:rPr>
      </w:pPr>
      <w:r w:rsidRPr="00042212">
        <w:rPr>
          <w:rFonts w:ascii="Arial" w:hAnsi="Arial" w:cs="Arial"/>
          <w:b/>
          <w:sz w:val="16"/>
          <w:szCs w:val="16"/>
          <w:lang w:eastAsia="en-US"/>
        </w:rPr>
        <w:t>Vorschläge für Änderungen der dem ADN beigefügten Verordnung: Weitere Vorschläge</w:t>
      </w:r>
    </w:p>
    <w:p w:rsidR="00F8067A" w:rsidRPr="00042212"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042212"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042212"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130FAA" w:rsidRPr="00042212" w:rsidRDefault="0085713F" w:rsidP="000F0250">
      <w:pPr>
        <w:pStyle w:val="HChG"/>
        <w:tabs>
          <w:tab w:val="clear" w:pos="851"/>
        </w:tabs>
        <w:ind w:right="-284"/>
        <w:rPr>
          <w:snapToGrid w:val="0"/>
          <w:sz w:val="24"/>
          <w:szCs w:val="24"/>
          <w:lang w:val="de-DE"/>
        </w:rPr>
      </w:pPr>
      <w:r w:rsidRPr="00042212">
        <w:rPr>
          <w:lang w:val="de-DE" w:eastAsia="en-GB"/>
        </w:rPr>
        <w:tab/>
      </w:r>
      <w:r w:rsidR="007944DA" w:rsidRPr="00042212">
        <w:rPr>
          <w:bCs/>
          <w:lang w:val="de-DE" w:eastAsia="en-US"/>
        </w:rPr>
        <w:t xml:space="preserve">Änderung </w:t>
      </w:r>
      <w:r w:rsidR="00834C64">
        <w:rPr>
          <w:bCs/>
          <w:lang w:val="de-DE" w:eastAsia="en-US"/>
        </w:rPr>
        <w:t>zu</w:t>
      </w:r>
      <w:r w:rsidR="007944DA" w:rsidRPr="00042212">
        <w:rPr>
          <w:bCs/>
          <w:lang w:val="de-DE" w:eastAsia="en-US"/>
        </w:rPr>
        <w:t xml:space="preserve"> Kapitel 7.1</w:t>
      </w:r>
    </w:p>
    <w:p w:rsidR="00130FAA" w:rsidRPr="00042212" w:rsidRDefault="007944DA" w:rsidP="000F0250">
      <w:pPr>
        <w:keepNext/>
        <w:keepLines/>
        <w:widowControl/>
        <w:suppressAutoHyphens/>
        <w:overflowPunct/>
        <w:autoSpaceDE/>
        <w:autoSpaceDN/>
        <w:adjustRightInd/>
        <w:snapToGrid w:val="0"/>
        <w:spacing w:before="360" w:after="240" w:line="270" w:lineRule="exact"/>
        <w:ind w:right="-142" w:firstLine="0"/>
        <w:jc w:val="left"/>
        <w:textAlignment w:val="auto"/>
        <w:rPr>
          <w:b/>
          <w:sz w:val="18"/>
          <w:vertAlign w:val="superscript"/>
        </w:rPr>
      </w:pPr>
      <w:r w:rsidRPr="00042212">
        <w:rPr>
          <w:b/>
          <w:sz w:val="24"/>
          <w:lang w:eastAsia="en-US"/>
        </w:rPr>
        <w:t>Vorgelegt von Frankreich</w:t>
      </w:r>
      <w:r w:rsidR="00130FAA" w:rsidRPr="00042212">
        <w:rPr>
          <w:b/>
          <w:sz w:val="18"/>
          <w:vertAlign w:val="superscript"/>
        </w:rPr>
        <w:footnoteReference w:id="1"/>
      </w:r>
      <w:r w:rsidR="00130FAA" w:rsidRPr="00042212">
        <w:rPr>
          <w:b/>
          <w:sz w:val="18"/>
          <w:vertAlign w:val="superscript"/>
        </w:rPr>
        <w:t>,</w:t>
      </w:r>
      <w:r w:rsidR="00130FAA" w:rsidRPr="00042212">
        <w:rPr>
          <w:b/>
          <w:sz w:val="18"/>
          <w:vertAlign w:val="superscript"/>
        </w:rPr>
        <w:footnoteReference w:id="2"/>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5E0" w:firstRow="1" w:lastRow="1" w:firstColumn="1" w:lastColumn="1" w:noHBand="0" w:noVBand="1"/>
      </w:tblPr>
      <w:tblGrid>
        <w:gridCol w:w="4599"/>
        <w:gridCol w:w="4483"/>
      </w:tblGrid>
      <w:tr w:rsidR="007944DA" w:rsidRPr="00042212" w:rsidTr="007944DA">
        <w:trPr>
          <w:trHeight w:val="342"/>
          <w:jc w:val="center"/>
        </w:trPr>
        <w:tc>
          <w:tcPr>
            <w:tcW w:w="4599" w:type="dxa"/>
            <w:tcBorders>
              <w:top w:val="single" w:sz="4" w:space="0" w:color="auto"/>
              <w:left w:val="single" w:sz="4" w:space="0" w:color="auto"/>
              <w:bottom w:val="nil"/>
              <w:right w:val="nil"/>
            </w:tcBorders>
            <w:hideMark/>
          </w:tcPr>
          <w:p w:rsidR="007944DA" w:rsidRPr="00042212" w:rsidRDefault="00042212" w:rsidP="00042212">
            <w:pPr>
              <w:widowControl/>
              <w:tabs>
                <w:tab w:val="left" w:pos="1139"/>
              </w:tabs>
              <w:suppressAutoHyphens/>
              <w:overflowPunct/>
              <w:autoSpaceDE/>
              <w:autoSpaceDN/>
              <w:adjustRightInd/>
              <w:spacing w:before="240" w:after="120" w:line="240" w:lineRule="atLeast"/>
              <w:ind w:left="255" w:firstLine="0"/>
              <w:jc w:val="left"/>
              <w:textAlignment w:val="auto"/>
              <w:rPr>
                <w:lang w:val="fr-FR" w:eastAsia="en-US"/>
              </w:rPr>
            </w:pPr>
            <w:r w:rsidRPr="00834C64">
              <w:rPr>
                <w:i/>
                <w:sz w:val="24"/>
                <w:lang w:eastAsia="en-US"/>
              </w:rPr>
              <w:tab/>
            </w:r>
            <w:r w:rsidR="007944DA" w:rsidRPr="005A3B6B">
              <w:rPr>
                <w:i/>
                <w:lang w:val="fr-FR" w:eastAsia="en-US"/>
              </w:rPr>
              <w:t>Zusammenfassung</w:t>
            </w:r>
            <w:r w:rsidR="007944DA" w:rsidRPr="00042212">
              <w:rPr>
                <w:sz w:val="24"/>
                <w:lang w:val="fr-FR" w:eastAsia="en-US"/>
              </w:rPr>
              <w:t>:</w:t>
            </w:r>
          </w:p>
        </w:tc>
        <w:tc>
          <w:tcPr>
            <w:tcW w:w="4483" w:type="dxa"/>
            <w:tcBorders>
              <w:top w:val="single" w:sz="4" w:space="0" w:color="auto"/>
              <w:left w:val="nil"/>
              <w:bottom w:val="nil"/>
              <w:right w:val="single" w:sz="4" w:space="0" w:color="auto"/>
            </w:tcBorders>
            <w:hideMark/>
          </w:tcPr>
          <w:p w:rsidR="007944DA" w:rsidRPr="00042212" w:rsidRDefault="007944DA" w:rsidP="00834C64">
            <w:pPr>
              <w:widowControl/>
              <w:suppressAutoHyphens/>
              <w:overflowPunct/>
              <w:autoSpaceDE/>
              <w:autoSpaceDN/>
              <w:adjustRightInd/>
              <w:spacing w:after="120" w:line="240" w:lineRule="atLeast"/>
              <w:ind w:left="147" w:right="1134" w:firstLine="0"/>
              <w:textAlignment w:val="auto"/>
              <w:rPr>
                <w:i/>
                <w:sz w:val="24"/>
                <w:lang w:eastAsia="en-US"/>
              </w:rPr>
            </w:pPr>
            <w:r w:rsidRPr="00042212">
              <w:rPr>
                <w:lang w:eastAsia="en-US"/>
              </w:rPr>
              <w:t xml:space="preserve">Dieses Dokument schlägt eine Änderung </w:t>
            </w:r>
            <w:r w:rsidR="00834C64">
              <w:rPr>
                <w:lang w:eastAsia="en-US"/>
              </w:rPr>
              <w:t>zu</w:t>
            </w:r>
            <w:r w:rsidRPr="00042212">
              <w:rPr>
                <w:lang w:eastAsia="en-US"/>
              </w:rPr>
              <w:t xml:space="preserve"> Kapitel 7.1 der dem ADN beigefügten Verordnung vor.</w:t>
            </w:r>
          </w:p>
        </w:tc>
      </w:tr>
      <w:tr w:rsidR="007944DA" w:rsidRPr="00042212" w:rsidTr="007944DA">
        <w:trPr>
          <w:trHeight w:val="342"/>
          <w:jc w:val="center"/>
        </w:trPr>
        <w:tc>
          <w:tcPr>
            <w:tcW w:w="4599" w:type="dxa"/>
            <w:tcBorders>
              <w:top w:val="nil"/>
              <w:left w:val="single" w:sz="4" w:space="0" w:color="auto"/>
              <w:bottom w:val="nil"/>
              <w:right w:val="nil"/>
            </w:tcBorders>
            <w:hideMark/>
          </w:tcPr>
          <w:p w:rsidR="007944DA" w:rsidRPr="00042212" w:rsidRDefault="007944DA" w:rsidP="007944DA">
            <w:pPr>
              <w:widowControl/>
              <w:suppressAutoHyphens/>
              <w:overflowPunct/>
              <w:autoSpaceDE/>
              <w:autoSpaceDN/>
              <w:adjustRightInd/>
              <w:spacing w:after="120" w:line="240" w:lineRule="atLeast"/>
              <w:ind w:right="1134" w:firstLine="0"/>
              <w:textAlignment w:val="auto"/>
              <w:rPr>
                <w:i/>
                <w:sz w:val="24"/>
                <w:lang w:val="fr-FR" w:eastAsia="en-US"/>
              </w:rPr>
            </w:pPr>
            <w:r w:rsidRPr="00042212">
              <w:rPr>
                <w:lang w:eastAsia="en-US"/>
              </w:rPr>
              <w:t>Zu ergreifende Maßnahme</w:t>
            </w:r>
          </w:p>
        </w:tc>
        <w:tc>
          <w:tcPr>
            <w:tcW w:w="4483" w:type="dxa"/>
            <w:tcBorders>
              <w:top w:val="nil"/>
              <w:left w:val="nil"/>
              <w:bottom w:val="nil"/>
              <w:right w:val="single" w:sz="4" w:space="0" w:color="auto"/>
            </w:tcBorders>
            <w:hideMark/>
          </w:tcPr>
          <w:p w:rsidR="007944DA" w:rsidRPr="00042212" w:rsidRDefault="007944DA" w:rsidP="007F30AF">
            <w:pPr>
              <w:widowControl/>
              <w:suppressAutoHyphens/>
              <w:overflowPunct/>
              <w:autoSpaceDE/>
              <w:autoSpaceDN/>
              <w:adjustRightInd/>
              <w:spacing w:after="120" w:line="240" w:lineRule="atLeast"/>
              <w:ind w:left="147" w:right="1134" w:firstLine="0"/>
              <w:textAlignment w:val="auto"/>
              <w:rPr>
                <w:i/>
                <w:sz w:val="24"/>
                <w:lang w:val="fr-FR" w:eastAsia="en-US"/>
              </w:rPr>
            </w:pPr>
            <w:r w:rsidRPr="00042212">
              <w:rPr>
                <w:lang w:val="fr-FR" w:eastAsia="en-US"/>
              </w:rPr>
              <w:t xml:space="preserve">Siehe </w:t>
            </w:r>
            <w:r w:rsidR="007F30AF" w:rsidRPr="00042212">
              <w:rPr>
                <w:lang w:val="fr-FR" w:eastAsia="en-US"/>
              </w:rPr>
              <w:t>Abs</w:t>
            </w:r>
            <w:r w:rsidRPr="00042212">
              <w:rPr>
                <w:lang w:val="fr-FR" w:eastAsia="en-US"/>
              </w:rPr>
              <w:t>. 8</w:t>
            </w:r>
          </w:p>
        </w:tc>
      </w:tr>
      <w:tr w:rsidR="007944DA" w:rsidRPr="00042212" w:rsidTr="007944DA">
        <w:trPr>
          <w:trHeight w:val="341"/>
          <w:jc w:val="center"/>
        </w:trPr>
        <w:tc>
          <w:tcPr>
            <w:tcW w:w="4599" w:type="dxa"/>
            <w:tcBorders>
              <w:top w:val="nil"/>
              <w:left w:val="single" w:sz="4" w:space="0" w:color="auto"/>
              <w:bottom w:val="single" w:sz="4" w:space="0" w:color="auto"/>
              <w:right w:val="nil"/>
            </w:tcBorders>
            <w:hideMark/>
          </w:tcPr>
          <w:p w:rsidR="007944DA" w:rsidRPr="00042212" w:rsidRDefault="007944DA" w:rsidP="007944DA">
            <w:pPr>
              <w:widowControl/>
              <w:suppressAutoHyphens/>
              <w:overflowPunct/>
              <w:autoSpaceDE/>
              <w:autoSpaceDN/>
              <w:adjustRightInd/>
              <w:spacing w:after="120" w:line="240" w:lineRule="atLeast"/>
              <w:ind w:right="1134" w:firstLine="0"/>
              <w:textAlignment w:val="auto"/>
              <w:rPr>
                <w:i/>
                <w:sz w:val="24"/>
                <w:lang w:val="fr-FR" w:eastAsia="en-US"/>
              </w:rPr>
            </w:pPr>
            <w:r w:rsidRPr="00042212">
              <w:rPr>
                <w:lang w:eastAsia="en-US"/>
              </w:rPr>
              <w:t>Verbundene Dokumente</w:t>
            </w:r>
            <w:r w:rsidRPr="00042212">
              <w:rPr>
                <w:lang w:val="fr-FR" w:eastAsia="en-US"/>
              </w:rPr>
              <w:t>:</w:t>
            </w:r>
          </w:p>
        </w:tc>
        <w:tc>
          <w:tcPr>
            <w:tcW w:w="4483" w:type="dxa"/>
            <w:tcBorders>
              <w:top w:val="nil"/>
              <w:left w:val="nil"/>
              <w:bottom w:val="single" w:sz="4" w:space="0" w:color="auto"/>
              <w:right w:val="single" w:sz="4" w:space="0" w:color="auto"/>
            </w:tcBorders>
            <w:hideMark/>
          </w:tcPr>
          <w:p w:rsidR="007944DA" w:rsidRPr="00042212" w:rsidRDefault="007944DA" w:rsidP="00042212">
            <w:pPr>
              <w:widowControl/>
              <w:suppressAutoHyphens/>
              <w:overflowPunct/>
              <w:autoSpaceDE/>
              <w:autoSpaceDN/>
              <w:adjustRightInd/>
              <w:spacing w:after="120" w:line="240" w:lineRule="atLeast"/>
              <w:ind w:left="147" w:right="1134" w:firstLine="0"/>
              <w:textAlignment w:val="auto"/>
              <w:rPr>
                <w:i/>
                <w:sz w:val="24"/>
                <w:lang w:eastAsia="en-US"/>
              </w:rPr>
            </w:pPr>
            <w:r w:rsidRPr="00042212">
              <w:rPr>
                <w:lang w:eastAsia="de-DE"/>
              </w:rPr>
              <w:t>Informelles Dokument INF.18 der 31.</w:t>
            </w:r>
            <w:r w:rsidR="00042212" w:rsidRPr="00042212">
              <w:rPr>
                <w:lang w:eastAsia="de-DE"/>
              </w:rPr>
              <w:t> </w:t>
            </w:r>
            <w:r w:rsidRPr="00042212">
              <w:rPr>
                <w:lang w:eastAsia="de-DE"/>
              </w:rPr>
              <w:t>Sitzung</w:t>
            </w:r>
          </w:p>
        </w:tc>
      </w:tr>
    </w:tbl>
    <w:p w:rsidR="007944DA" w:rsidRPr="00042212" w:rsidRDefault="007944DA" w:rsidP="007944DA">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042212">
        <w:rPr>
          <w:b/>
          <w:sz w:val="28"/>
          <w:lang w:eastAsia="en-US"/>
        </w:rPr>
        <w:tab/>
        <w:t>I.</w:t>
      </w:r>
      <w:r w:rsidRPr="00042212">
        <w:rPr>
          <w:b/>
          <w:sz w:val="28"/>
          <w:lang w:eastAsia="en-US"/>
        </w:rPr>
        <w:tab/>
      </w:r>
      <w:r w:rsidR="003B0DD6" w:rsidRPr="00042212">
        <w:rPr>
          <w:b/>
          <w:sz w:val="28"/>
          <w:lang w:eastAsia="en-US"/>
        </w:rPr>
        <w:t>Einleitung</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1.</w:t>
      </w:r>
      <w:r w:rsidRPr="00042212">
        <w:rPr>
          <w:lang w:eastAsia="en-US"/>
        </w:rPr>
        <w:tab/>
      </w:r>
      <w:r w:rsidR="007472F7" w:rsidRPr="006E4861">
        <w:rPr>
          <w:lang w:eastAsia="en-US"/>
        </w:rPr>
        <w:t>Das informelle Dokument INF.18 der einunddreißigsten Sitzung des Sicherheitsausschusses im August 2017 hatte einen Widerspruch zwischen den Bestimmungen des Absatzes 7.1.4.1.1 und des Absatzes 7.1.4.1.5 der dem ADN beigefügten Verordnung aufgezeigt.</w:t>
      </w:r>
    </w:p>
    <w:p w:rsidR="00042212" w:rsidRDefault="00042212">
      <w:pPr>
        <w:widowControl/>
        <w:overflowPunct/>
        <w:autoSpaceDE/>
        <w:autoSpaceDN/>
        <w:adjustRightInd/>
        <w:ind w:left="0" w:firstLine="0"/>
        <w:jc w:val="left"/>
        <w:textAlignment w:val="auto"/>
        <w:rPr>
          <w:lang w:eastAsia="en-US"/>
        </w:rPr>
      </w:pPr>
      <w:r>
        <w:rPr>
          <w:lang w:eastAsia="en-US"/>
        </w:rPr>
        <w:br w:type="page"/>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lastRenderedPageBreak/>
        <w:t>2.</w:t>
      </w:r>
      <w:r w:rsidRPr="00042212">
        <w:rPr>
          <w:lang w:eastAsia="en-US"/>
        </w:rPr>
        <w:tab/>
      </w:r>
      <w:r w:rsidR="007472F7" w:rsidRPr="006E4861">
        <w:rPr>
          <w:lang w:eastAsia="en-US"/>
        </w:rPr>
        <w:t>Absatz</w:t>
      </w:r>
      <w:r w:rsidR="00C804E5" w:rsidRPr="006E4861">
        <w:rPr>
          <w:lang w:eastAsia="en-US"/>
        </w:rPr>
        <w:t xml:space="preserve"> 7.1</w:t>
      </w:r>
      <w:r w:rsidR="007472F7" w:rsidRPr="006E4861">
        <w:rPr>
          <w:lang w:eastAsia="en-US"/>
        </w:rPr>
        <w:t>.4.1 regelt die Begrenzung der beförderten Mengen.</w:t>
      </w:r>
      <w:r w:rsidRPr="00042212">
        <w:rPr>
          <w:lang w:eastAsia="en-US"/>
        </w:rPr>
        <w:t xml:space="preserve"> </w:t>
      </w:r>
      <w:r w:rsidR="00C804E5" w:rsidRPr="006E4861">
        <w:rPr>
          <w:lang w:eastAsia="en-US"/>
        </w:rPr>
        <w:t xml:space="preserve">Insbesondere gibt Absatz 7.1.4.1.1 </w:t>
      </w:r>
      <w:r w:rsidR="001A19C0" w:rsidRPr="006E4861">
        <w:rPr>
          <w:lang w:eastAsia="en-US"/>
        </w:rPr>
        <w:t xml:space="preserve">Klasse für Klasse </w:t>
      </w:r>
      <w:r w:rsidR="00C804E5" w:rsidRPr="006E4861">
        <w:rPr>
          <w:lang w:eastAsia="en-US"/>
        </w:rPr>
        <w:t>die für die Bruttomassen geltenden Beschränkungen, die nicht überschritten werden dürfen, wie folgt an:</w:t>
      </w:r>
    </w:p>
    <w:p w:rsidR="00493E3E" w:rsidRPr="00493E3E" w:rsidRDefault="007944DA" w:rsidP="00493E3E">
      <w:pPr>
        <w:widowControl/>
        <w:tabs>
          <w:tab w:val="left" w:pos="2835"/>
        </w:tabs>
        <w:suppressAutoHyphens/>
        <w:overflowPunct/>
        <w:autoSpaceDE/>
        <w:autoSpaceDN/>
        <w:adjustRightInd/>
        <w:spacing w:after="120" w:line="240" w:lineRule="atLeast"/>
        <w:ind w:left="1701" w:right="1134"/>
        <w:textAlignment w:val="auto"/>
        <w:rPr>
          <w:i/>
          <w:iCs/>
          <w:lang w:eastAsia="en-US"/>
        </w:rPr>
      </w:pPr>
      <w:r w:rsidRPr="00042212">
        <w:rPr>
          <w:iCs/>
          <w:lang w:eastAsia="en-US"/>
        </w:rPr>
        <w:tab/>
      </w:r>
      <w:r w:rsidR="00493E3E" w:rsidRPr="00042212">
        <w:rPr>
          <w:i/>
          <w:iCs/>
          <w:lang w:eastAsia="en-US"/>
        </w:rPr>
        <w:t>„7.1.4.1.1</w:t>
      </w:r>
      <w:r w:rsidR="00493E3E" w:rsidRPr="00042212">
        <w:rPr>
          <w:i/>
          <w:iCs/>
          <w:lang w:eastAsia="en-US"/>
        </w:rPr>
        <w:tab/>
        <w:t xml:space="preserve">Vorbehaltlich des Absatzes 7.1.4.1.3 dürfen auf einem Schiff die folgenden </w:t>
      </w:r>
      <w:r w:rsidR="00493E3E" w:rsidRPr="00042212">
        <w:rPr>
          <w:b/>
          <w:i/>
          <w:iCs/>
          <w:u w:val="single"/>
          <w:lang w:eastAsia="en-US"/>
        </w:rPr>
        <w:t>Bruttomassen</w:t>
      </w:r>
      <w:r w:rsidR="00493E3E" w:rsidRPr="00042212">
        <w:rPr>
          <w:i/>
          <w:iCs/>
          <w:lang w:eastAsia="en-US"/>
        </w:rPr>
        <w:t xml:space="preserve"> nicht überschritten werden. Bei Schubverbänden und gekuppelten Schiffen gilt diese Bruttomasse pro Einheit.“.</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3.</w:t>
      </w:r>
      <w:r w:rsidRPr="00042212">
        <w:rPr>
          <w:lang w:eastAsia="en-US"/>
        </w:rPr>
        <w:tab/>
      </w:r>
      <w:r w:rsidR="002A403E" w:rsidRPr="006E4861">
        <w:rPr>
          <w:lang w:eastAsia="en-US"/>
        </w:rPr>
        <w:t>Im gleichen Unterabschnitt enthält Absatz 7.1.4.1.5 weitere Einzelheiten zu den beförderten explosiven Stoffen oder den in den beförderten Gegenständen befindlichen explosiven Stoffe wie folgt</w:t>
      </w:r>
      <w:r w:rsidR="004F15D6" w:rsidRPr="006E4861">
        <w:rPr>
          <w:lang w:eastAsia="en-US"/>
        </w:rPr>
        <w:t>:</w:t>
      </w:r>
    </w:p>
    <w:p w:rsidR="00493E3E" w:rsidRPr="00493E3E" w:rsidRDefault="00493E3E" w:rsidP="00493E3E">
      <w:pPr>
        <w:widowControl/>
        <w:tabs>
          <w:tab w:val="left" w:pos="2835"/>
        </w:tabs>
        <w:suppressAutoHyphens/>
        <w:overflowPunct/>
        <w:autoSpaceDE/>
        <w:autoSpaceDN/>
        <w:adjustRightInd/>
        <w:spacing w:after="120" w:line="240" w:lineRule="atLeast"/>
        <w:ind w:left="1701" w:right="1134" w:firstLine="0"/>
        <w:textAlignment w:val="auto"/>
        <w:rPr>
          <w:i/>
          <w:iCs/>
          <w:lang w:eastAsia="en-US"/>
        </w:rPr>
      </w:pPr>
      <w:r w:rsidRPr="00042212">
        <w:rPr>
          <w:bCs/>
          <w:i/>
          <w:iCs/>
          <w:lang w:eastAsia="en-US"/>
        </w:rPr>
        <w:t xml:space="preserve">„7.1.4.1.5 </w:t>
      </w:r>
      <w:r w:rsidRPr="00042212">
        <w:rPr>
          <w:bCs/>
          <w:i/>
          <w:iCs/>
          <w:lang w:eastAsia="en-US"/>
        </w:rPr>
        <w:tab/>
      </w:r>
      <w:r w:rsidRPr="00042212">
        <w:rPr>
          <w:i/>
          <w:iCs/>
          <w:lang w:eastAsia="en-US"/>
        </w:rPr>
        <w:t xml:space="preserve">Ist </w:t>
      </w:r>
      <w:r w:rsidRPr="00042212">
        <w:rPr>
          <w:b/>
          <w:i/>
          <w:iCs/>
          <w:u w:val="single"/>
          <w:lang w:eastAsia="en-US"/>
        </w:rPr>
        <w:t>die gesamte Nettomasse der beförderten explosiven Stoffe</w:t>
      </w:r>
      <w:r w:rsidRPr="00042212">
        <w:rPr>
          <w:i/>
          <w:iCs/>
          <w:lang w:eastAsia="en-US"/>
        </w:rPr>
        <w:t xml:space="preserve"> und der </w:t>
      </w:r>
      <w:r w:rsidRPr="00A4233A">
        <w:rPr>
          <w:i/>
          <w:iCs/>
          <w:lang w:eastAsia="en-US"/>
        </w:rPr>
        <w:t>sich</w:t>
      </w:r>
      <w:r w:rsidRPr="00042212">
        <w:rPr>
          <w:i/>
          <w:iCs/>
          <w:lang w:eastAsia="en-US"/>
        </w:rPr>
        <w:t xml:space="preserve"> in den beförderten Gegenständen befindlichen explosiven Stoffe nicht bekannt, so gilt für die in Absatz 7.1.4.1.1 genannte Masse die Bruttomasse der Ladung.“</w:t>
      </w:r>
      <w:r w:rsidR="00042212">
        <w:rPr>
          <w:i/>
          <w:iCs/>
          <w:lang w:eastAsia="en-US"/>
        </w:rPr>
        <w:t>.</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4.</w:t>
      </w:r>
      <w:r w:rsidRPr="00042212">
        <w:rPr>
          <w:lang w:eastAsia="en-US"/>
        </w:rPr>
        <w:tab/>
      </w:r>
      <w:r w:rsidR="004F15D6" w:rsidRPr="006E4861">
        <w:rPr>
          <w:lang w:eastAsia="en-US"/>
        </w:rPr>
        <w:t xml:space="preserve">Es sei darauf hingewiesen, dass dieser Widerspruch ziemlich alt ist, da er sich </w:t>
      </w:r>
      <w:r w:rsidR="005A2165" w:rsidRPr="006E4861">
        <w:rPr>
          <w:lang w:eastAsia="en-US"/>
        </w:rPr>
        <w:t>gleichlautend</w:t>
      </w:r>
      <w:r w:rsidR="004F15D6" w:rsidRPr="006E4861">
        <w:rPr>
          <w:lang w:eastAsia="en-US"/>
        </w:rPr>
        <w:t xml:space="preserve"> </w:t>
      </w:r>
      <w:r w:rsidR="005A2165" w:rsidRPr="006E4861">
        <w:rPr>
          <w:lang w:eastAsia="en-US"/>
        </w:rPr>
        <w:t>formuliert</w:t>
      </w:r>
      <w:r w:rsidR="004F15D6" w:rsidRPr="006E4861">
        <w:rPr>
          <w:lang w:eastAsia="en-US"/>
        </w:rPr>
        <w:t xml:space="preserve"> in der ADNR 2007 findet.</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5.</w:t>
      </w:r>
      <w:r w:rsidRPr="00042212">
        <w:rPr>
          <w:lang w:eastAsia="en-US"/>
        </w:rPr>
        <w:tab/>
      </w:r>
      <w:r w:rsidR="00EC77F2" w:rsidRPr="006E4861">
        <w:rPr>
          <w:lang w:eastAsia="en-US"/>
        </w:rPr>
        <w:t xml:space="preserve">Das informelle Dokument INF.18 der einunddreißigsten </w:t>
      </w:r>
      <w:r w:rsidR="00B92A2D" w:rsidRPr="006E4861">
        <w:rPr>
          <w:lang w:eastAsia="en-US"/>
        </w:rPr>
        <w:t>Sitzung</w:t>
      </w:r>
      <w:r w:rsidR="00EC77F2" w:rsidRPr="006E4861">
        <w:rPr>
          <w:lang w:eastAsia="en-US"/>
        </w:rPr>
        <w:t xml:space="preserve"> schlug eine Änderung des Absatzes 7.1.4.1.1 vor, um </w:t>
      </w:r>
      <w:r w:rsidR="00436D1E" w:rsidRPr="006E4861">
        <w:rPr>
          <w:lang w:eastAsia="en-US"/>
        </w:rPr>
        <w:t>darin</w:t>
      </w:r>
      <w:r w:rsidR="00EC77F2" w:rsidRPr="006E4861">
        <w:rPr>
          <w:lang w:eastAsia="en-US"/>
        </w:rPr>
        <w:t xml:space="preserve"> nicht die Bruttomassen der </w:t>
      </w:r>
      <w:r w:rsidR="00436D1E" w:rsidRPr="006E4861">
        <w:rPr>
          <w:lang w:eastAsia="en-US"/>
        </w:rPr>
        <w:t>e</w:t>
      </w:r>
      <w:r w:rsidR="00EC77F2" w:rsidRPr="006E4861">
        <w:rPr>
          <w:lang w:eastAsia="en-US"/>
        </w:rPr>
        <w:t>xplosiv</w:t>
      </w:r>
      <w:r w:rsidR="00436D1E" w:rsidRPr="006E4861">
        <w:rPr>
          <w:lang w:eastAsia="en-US"/>
        </w:rPr>
        <w:t>en S</w:t>
      </w:r>
      <w:r w:rsidR="00EC77F2" w:rsidRPr="006E4861">
        <w:rPr>
          <w:lang w:eastAsia="en-US"/>
        </w:rPr>
        <w:t xml:space="preserve">toffe und Gegenstände, sondern die Nettomassen der </w:t>
      </w:r>
      <w:r w:rsidR="00436D1E" w:rsidRPr="006E4861">
        <w:rPr>
          <w:lang w:eastAsia="en-US"/>
        </w:rPr>
        <w:t xml:space="preserve">explosiven Stoffe oder der </w:t>
      </w:r>
      <w:r w:rsidR="00EC77F2" w:rsidRPr="006E4861">
        <w:rPr>
          <w:lang w:eastAsia="en-US"/>
        </w:rPr>
        <w:t>i</w:t>
      </w:r>
      <w:r w:rsidR="00436D1E" w:rsidRPr="006E4861">
        <w:rPr>
          <w:lang w:eastAsia="en-US"/>
        </w:rPr>
        <w:t>n den Gegenständen befindlichen e</w:t>
      </w:r>
      <w:r w:rsidR="00EC77F2" w:rsidRPr="006E4861">
        <w:rPr>
          <w:lang w:eastAsia="en-US"/>
        </w:rPr>
        <w:t>xplosiv</w:t>
      </w:r>
      <w:r w:rsidR="00436D1E" w:rsidRPr="006E4861">
        <w:rPr>
          <w:lang w:eastAsia="en-US"/>
        </w:rPr>
        <w:t>en S</w:t>
      </w:r>
      <w:r w:rsidR="00EC77F2" w:rsidRPr="006E4861">
        <w:rPr>
          <w:lang w:eastAsia="en-US"/>
        </w:rPr>
        <w:t>toffe zu berücksichtigen.</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6.</w:t>
      </w:r>
      <w:r w:rsidRPr="00042212">
        <w:rPr>
          <w:lang w:eastAsia="en-US"/>
        </w:rPr>
        <w:tab/>
      </w:r>
      <w:r w:rsidR="00B85E3B" w:rsidRPr="006E4861">
        <w:rPr>
          <w:lang w:eastAsia="en-US"/>
        </w:rPr>
        <w:t xml:space="preserve">Bei den Beratungen über diesen Vorschlag </w:t>
      </w:r>
      <w:r w:rsidR="008E0A67" w:rsidRPr="006E4861">
        <w:rPr>
          <w:lang w:eastAsia="en-US"/>
        </w:rPr>
        <w:t>in</w:t>
      </w:r>
      <w:r w:rsidR="00B85E3B" w:rsidRPr="006E4861">
        <w:rPr>
          <w:lang w:eastAsia="en-US"/>
        </w:rPr>
        <w:t xml:space="preserve"> der einunddreißigsten </w:t>
      </w:r>
      <w:r w:rsidR="008E0A67" w:rsidRPr="006E4861">
        <w:rPr>
          <w:lang w:eastAsia="en-US"/>
        </w:rPr>
        <w:t>Sitzung</w:t>
      </w:r>
      <w:r w:rsidR="00B85E3B" w:rsidRPr="006E4861">
        <w:rPr>
          <w:lang w:eastAsia="en-US"/>
        </w:rPr>
        <w:t xml:space="preserve"> des Ausschusses wurde jedoch deutlich, dass es sich </w:t>
      </w:r>
      <w:r w:rsidR="00B85E3B" w:rsidRPr="007A1F68">
        <w:rPr>
          <w:lang w:eastAsia="en-US"/>
        </w:rPr>
        <w:t xml:space="preserve">bei der Berücksichtigung des Begriffs </w:t>
      </w:r>
      <w:r w:rsidR="008E0A67" w:rsidRPr="007A1F68">
        <w:rPr>
          <w:lang w:eastAsia="en-US"/>
        </w:rPr>
        <w:t>„</w:t>
      </w:r>
      <w:r w:rsidR="00B85E3B" w:rsidRPr="007A1F68">
        <w:rPr>
          <w:lang w:eastAsia="en-US"/>
        </w:rPr>
        <w:t>Bruttomasse</w:t>
      </w:r>
      <w:r w:rsidR="008E0A67" w:rsidRPr="007A1F68">
        <w:rPr>
          <w:lang w:eastAsia="en-US"/>
        </w:rPr>
        <w:t>“</w:t>
      </w:r>
      <w:r w:rsidR="00B85E3B" w:rsidRPr="007A1F68">
        <w:rPr>
          <w:lang w:eastAsia="en-US"/>
        </w:rPr>
        <w:t xml:space="preserve"> für Stoffe und Gegenstände der Klasse 1 in der Vergangenheit um eine bewusste Entscheidung handelte und d</w:t>
      </w:r>
      <w:r w:rsidR="008E0A67" w:rsidRPr="007A1F68">
        <w:rPr>
          <w:lang w:eastAsia="en-US"/>
        </w:rPr>
        <w:t>i</w:t>
      </w:r>
      <w:r w:rsidR="00B85E3B" w:rsidRPr="007A1F68">
        <w:rPr>
          <w:lang w:eastAsia="en-US"/>
        </w:rPr>
        <w:t>e</w:t>
      </w:r>
      <w:r w:rsidR="008E0A67" w:rsidRPr="007A1F68">
        <w:rPr>
          <w:lang w:eastAsia="en-US"/>
        </w:rPr>
        <w:t xml:space="preserve"> Erse</w:t>
      </w:r>
      <w:r w:rsidR="00B85E3B" w:rsidRPr="007A1F68">
        <w:rPr>
          <w:lang w:eastAsia="en-US"/>
        </w:rPr>
        <w:t>tz</w:t>
      </w:r>
      <w:r w:rsidR="008E0A67" w:rsidRPr="007A1F68">
        <w:rPr>
          <w:lang w:eastAsia="en-US"/>
        </w:rPr>
        <w:t>ung</w:t>
      </w:r>
      <w:r w:rsidR="00B85E3B" w:rsidRPr="007A1F68">
        <w:rPr>
          <w:lang w:eastAsia="en-US"/>
        </w:rPr>
        <w:t xml:space="preserve"> </w:t>
      </w:r>
      <w:r w:rsidR="008E0A67" w:rsidRPr="007A1F68">
        <w:rPr>
          <w:lang w:eastAsia="en-US"/>
        </w:rPr>
        <w:t>der</w:t>
      </w:r>
      <w:r w:rsidR="00B85E3B" w:rsidRPr="007A1F68">
        <w:rPr>
          <w:lang w:eastAsia="en-US"/>
        </w:rPr>
        <w:t xml:space="preserve"> Bruttomasse durch die gleichen Zahlenwerte der Mengen, jedoch in Nettomasse ausgedrückt, das Risiko an Bord von Schiffen (insbesondere für Stoffe im K</w:t>
      </w:r>
      <w:r w:rsidR="00A30E8F" w:rsidRPr="007A1F68">
        <w:rPr>
          <w:lang w:eastAsia="en-US"/>
        </w:rPr>
        <w:t>lassifizierungsc</w:t>
      </w:r>
      <w:r w:rsidR="00B85E3B" w:rsidRPr="007A1F68">
        <w:rPr>
          <w:lang w:eastAsia="en-US"/>
        </w:rPr>
        <w:t>ode</w:t>
      </w:r>
      <w:r w:rsidR="00A30E8F" w:rsidRPr="007A1F68">
        <w:rPr>
          <w:lang w:eastAsia="en-US"/>
        </w:rPr>
        <w:t xml:space="preserve"> 1.1A</w:t>
      </w:r>
      <w:r w:rsidR="00E303D5" w:rsidRPr="007A1F68">
        <w:rPr>
          <w:lang w:eastAsia="en-US"/>
        </w:rPr>
        <w:t>.) erheblich erhöhen könnte.</w:t>
      </w:r>
    </w:p>
    <w:p w:rsidR="007944DA" w:rsidRPr="00042212" w:rsidRDefault="007944DA" w:rsidP="00467C98">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042212">
        <w:rPr>
          <w:b/>
          <w:sz w:val="28"/>
          <w:lang w:eastAsia="en-US"/>
        </w:rPr>
        <w:tab/>
      </w:r>
      <w:r w:rsidR="00467C98" w:rsidRPr="00042212">
        <w:rPr>
          <w:b/>
          <w:sz w:val="28"/>
          <w:lang w:eastAsia="en-US"/>
        </w:rPr>
        <w:t>II.</w:t>
      </w:r>
      <w:r w:rsidRPr="00042212">
        <w:rPr>
          <w:b/>
          <w:sz w:val="28"/>
          <w:lang w:eastAsia="en-US"/>
        </w:rPr>
        <w:tab/>
        <w:t>Vorschlag</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7.</w:t>
      </w:r>
      <w:r w:rsidRPr="00042212">
        <w:rPr>
          <w:lang w:eastAsia="en-US"/>
        </w:rPr>
        <w:tab/>
      </w:r>
      <w:r w:rsidR="00467C98" w:rsidRPr="006E4861">
        <w:rPr>
          <w:lang w:eastAsia="en-US"/>
        </w:rPr>
        <w:t xml:space="preserve">Um den in Absatz 6 </w:t>
      </w:r>
      <w:r w:rsidR="003D476E" w:rsidRPr="006E4861">
        <w:rPr>
          <w:lang w:eastAsia="en-US"/>
        </w:rPr>
        <w:t>aufgeführten</w:t>
      </w:r>
      <w:r w:rsidR="00467C98" w:rsidRPr="006E4861">
        <w:rPr>
          <w:lang w:eastAsia="en-US"/>
        </w:rPr>
        <w:t xml:space="preserve"> </w:t>
      </w:r>
      <w:r w:rsidR="003D476E" w:rsidRPr="006E4861">
        <w:rPr>
          <w:lang w:eastAsia="en-US"/>
        </w:rPr>
        <w:t>Diskussionen</w:t>
      </w:r>
      <w:r w:rsidR="00467C98" w:rsidRPr="006E4861">
        <w:rPr>
          <w:lang w:eastAsia="en-US"/>
        </w:rPr>
        <w:t xml:space="preserve"> Rechnung zu tragen und de</w:t>
      </w:r>
      <w:r w:rsidR="003D476E" w:rsidRPr="006E4861">
        <w:rPr>
          <w:lang w:eastAsia="en-US"/>
        </w:rPr>
        <w:t>n</w:t>
      </w:r>
      <w:r w:rsidR="00467C98" w:rsidRPr="006E4861">
        <w:rPr>
          <w:lang w:eastAsia="en-US"/>
        </w:rPr>
        <w:t xml:space="preserve"> </w:t>
      </w:r>
      <w:r w:rsidR="003D476E" w:rsidRPr="006E4861">
        <w:rPr>
          <w:lang w:eastAsia="en-US"/>
        </w:rPr>
        <w:t>Widerspruch</w:t>
      </w:r>
      <w:r w:rsidR="00467C98" w:rsidRPr="006E4861">
        <w:rPr>
          <w:lang w:eastAsia="en-US"/>
        </w:rPr>
        <w:t xml:space="preserve"> zwischen den Absätzen 7.1.4.1.1 und 7.1.4</w:t>
      </w:r>
      <w:r w:rsidR="003D476E" w:rsidRPr="006E4861">
        <w:rPr>
          <w:lang w:eastAsia="en-US"/>
        </w:rPr>
        <w:t>.1.5 der beigefügten Verordnung</w:t>
      </w:r>
      <w:r w:rsidR="00467C98" w:rsidRPr="006E4861">
        <w:rPr>
          <w:lang w:eastAsia="en-US"/>
        </w:rPr>
        <w:t xml:space="preserve"> zu beheben, wird vorgeschlagen, den Absatz 7.1.4.1.1 beizubehalten und den </w:t>
      </w:r>
      <w:r w:rsidR="003D476E" w:rsidRPr="006E4861">
        <w:rPr>
          <w:lang w:eastAsia="en-US"/>
        </w:rPr>
        <w:t>Wortlaut</w:t>
      </w:r>
      <w:r w:rsidR="00467C98" w:rsidRPr="006E4861">
        <w:rPr>
          <w:lang w:eastAsia="en-US"/>
        </w:rPr>
        <w:t xml:space="preserve"> des Absatzes 7.1.4.1.5 zu streichen:</w:t>
      </w:r>
    </w:p>
    <w:p w:rsidR="007944DA" w:rsidRPr="000E0892" w:rsidRDefault="00493E3E" w:rsidP="007944DA">
      <w:pPr>
        <w:widowControl/>
        <w:suppressAutoHyphens/>
        <w:overflowPunct/>
        <w:autoSpaceDE/>
        <w:autoSpaceDN/>
        <w:adjustRightInd/>
        <w:spacing w:after="120" w:line="240" w:lineRule="atLeast"/>
        <w:ind w:right="1134" w:firstLine="0"/>
        <w:textAlignment w:val="auto"/>
        <w:rPr>
          <w:i/>
          <w:iCs/>
          <w:lang w:eastAsia="en-US"/>
        </w:rPr>
      </w:pPr>
      <w:r w:rsidRPr="000E0892">
        <w:rPr>
          <w:iCs/>
          <w:lang w:eastAsia="en-US"/>
        </w:rPr>
        <w:t>„</w:t>
      </w:r>
      <w:r w:rsidR="007944DA" w:rsidRPr="000E0892">
        <w:rPr>
          <w:i/>
          <w:iCs/>
          <w:lang w:eastAsia="en-US"/>
        </w:rPr>
        <w:t xml:space="preserve">7.1.4.1.1 </w:t>
      </w:r>
      <w:r w:rsidR="007944DA" w:rsidRPr="000E0892">
        <w:rPr>
          <w:i/>
          <w:iCs/>
          <w:lang w:eastAsia="en-US"/>
        </w:rPr>
        <w:tab/>
        <w:t>[</w:t>
      </w:r>
      <w:r w:rsidRPr="000E0892">
        <w:rPr>
          <w:i/>
          <w:iCs/>
          <w:lang w:eastAsia="en-US"/>
        </w:rPr>
        <w:t>Bisheriger Wortlaut unverändert</w:t>
      </w:r>
      <w:r w:rsidR="007944DA" w:rsidRPr="000E0892">
        <w:rPr>
          <w:i/>
          <w:iCs/>
          <w:lang w:eastAsia="en-US"/>
        </w:rPr>
        <w:t>]</w:t>
      </w:r>
      <w:r w:rsidR="00070595" w:rsidRPr="000E0892">
        <w:rPr>
          <w:i/>
          <w:iCs/>
          <w:lang w:eastAsia="en-US"/>
        </w:rPr>
        <w:t>“</w:t>
      </w:r>
      <w:r w:rsidRPr="000E0892">
        <w:rPr>
          <w:i/>
          <w:iCs/>
          <w:lang w:eastAsia="en-US"/>
        </w:rPr>
        <w:t>; und</w:t>
      </w:r>
    </w:p>
    <w:p w:rsidR="00493E3E" w:rsidRPr="00493E3E" w:rsidRDefault="00493E3E" w:rsidP="00493E3E">
      <w:pPr>
        <w:widowControl/>
        <w:suppressAutoHyphens/>
        <w:overflowPunct/>
        <w:autoSpaceDE/>
        <w:autoSpaceDN/>
        <w:adjustRightInd/>
        <w:spacing w:after="120" w:line="240" w:lineRule="atLeast"/>
        <w:ind w:right="1134" w:firstLine="0"/>
        <w:textAlignment w:val="auto"/>
        <w:rPr>
          <w:bCs/>
          <w:i/>
          <w:iCs/>
          <w:lang w:eastAsia="en-US"/>
        </w:rPr>
      </w:pPr>
      <w:r w:rsidRPr="000E0892">
        <w:rPr>
          <w:bCs/>
          <w:i/>
          <w:iCs/>
          <w:lang w:eastAsia="en-US"/>
        </w:rPr>
        <w:t xml:space="preserve">„7.1.4.1.5 </w:t>
      </w:r>
      <w:r w:rsidRPr="000E0892">
        <w:rPr>
          <w:bCs/>
          <w:i/>
          <w:iCs/>
          <w:lang w:eastAsia="en-US"/>
        </w:rPr>
        <w:tab/>
      </w:r>
      <w:r w:rsidRPr="000E0892">
        <w:rPr>
          <w:bCs/>
          <w:i/>
          <w:iCs/>
          <w:strike/>
          <w:lang w:eastAsia="en-US"/>
        </w:rPr>
        <w:t xml:space="preserve">Ist </w:t>
      </w:r>
      <w:r w:rsidRPr="000E0892">
        <w:rPr>
          <w:bCs/>
          <w:i/>
          <w:iCs/>
          <w:strike/>
          <w:u w:val="single"/>
          <w:lang w:eastAsia="en-US"/>
        </w:rPr>
        <w:t>die gesamte Nettomasse der beförderten explosiven Stoffe</w:t>
      </w:r>
      <w:r w:rsidRPr="000E0892">
        <w:rPr>
          <w:bCs/>
          <w:i/>
          <w:iCs/>
          <w:strike/>
          <w:lang w:eastAsia="en-US"/>
        </w:rPr>
        <w:t xml:space="preserve"> und der sich in den beförderten Gegenständen befindlichen explosiven Stoffe nicht bekannt, so gilt für die in Absatz 7.1.4.1.1 genannte Masse die Bruttomasse der Ladung</w:t>
      </w:r>
      <w:r w:rsidRPr="000E0892">
        <w:rPr>
          <w:bCs/>
          <w:i/>
          <w:iCs/>
          <w:lang w:eastAsia="en-US"/>
        </w:rPr>
        <w:t xml:space="preserve">. </w:t>
      </w:r>
      <w:r w:rsidRPr="000E0892">
        <w:rPr>
          <w:b/>
          <w:bCs/>
          <w:i/>
          <w:iCs/>
          <w:u w:val="single"/>
          <w:lang w:eastAsia="en-US"/>
        </w:rPr>
        <w:t>Gestrichen</w:t>
      </w:r>
      <w:r w:rsidRPr="000E0892">
        <w:rPr>
          <w:bCs/>
          <w:i/>
          <w:iCs/>
          <w:lang w:eastAsia="en-US"/>
        </w:rPr>
        <w:t>.“</w:t>
      </w:r>
    </w:p>
    <w:p w:rsidR="007944DA" w:rsidRPr="00042212" w:rsidRDefault="007944DA" w:rsidP="003D476E">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493E3E">
        <w:rPr>
          <w:b/>
          <w:sz w:val="28"/>
          <w:lang w:eastAsia="en-US"/>
        </w:rPr>
        <w:tab/>
      </w:r>
      <w:r w:rsidR="003D476E" w:rsidRPr="003D476E">
        <w:rPr>
          <w:b/>
          <w:sz w:val="28"/>
          <w:lang w:eastAsia="en-US"/>
        </w:rPr>
        <w:t>III.</w:t>
      </w:r>
      <w:r w:rsidRPr="00042212">
        <w:rPr>
          <w:b/>
          <w:sz w:val="28"/>
          <w:lang w:eastAsia="en-US"/>
        </w:rPr>
        <w:tab/>
      </w:r>
      <w:r w:rsidR="003D476E" w:rsidRPr="003D476E">
        <w:rPr>
          <w:b/>
          <w:sz w:val="28"/>
          <w:lang w:eastAsia="en-US"/>
        </w:rPr>
        <w:t>Weiteres Vorgehen</w:t>
      </w:r>
    </w:p>
    <w:p w:rsidR="007944DA" w:rsidRPr="00042212" w:rsidRDefault="007944DA" w:rsidP="006E4861">
      <w:pPr>
        <w:widowControl/>
        <w:tabs>
          <w:tab w:val="left" w:pos="1701"/>
        </w:tabs>
        <w:suppressAutoHyphens/>
        <w:overflowPunct/>
        <w:autoSpaceDE/>
        <w:autoSpaceDN/>
        <w:adjustRightInd/>
        <w:spacing w:after="120" w:line="240" w:lineRule="atLeast"/>
        <w:ind w:right="1134" w:firstLine="0"/>
        <w:textAlignment w:val="auto"/>
        <w:rPr>
          <w:lang w:eastAsia="en-US"/>
        </w:rPr>
      </w:pPr>
      <w:r w:rsidRPr="00042212">
        <w:rPr>
          <w:lang w:eastAsia="en-US"/>
        </w:rPr>
        <w:t>8.</w:t>
      </w:r>
      <w:r w:rsidRPr="00042212">
        <w:rPr>
          <w:lang w:eastAsia="en-US"/>
        </w:rPr>
        <w:tab/>
      </w:r>
      <w:r w:rsidR="003D476E" w:rsidRPr="006E4861">
        <w:rPr>
          <w:lang w:eastAsia="en-US"/>
        </w:rPr>
        <w:t>Der Ausschuss wird ersucht, die in Absatz 7 enthaltenen Vorschläge zur Kenntnis zu nehmen und sie, soweit er dies für zweckmäßig hält, weiterzuverfolgen.</w:t>
      </w:r>
    </w:p>
    <w:p w:rsidR="007944DA" w:rsidRPr="00042212" w:rsidRDefault="007944DA" w:rsidP="007944DA">
      <w:pPr>
        <w:widowControl/>
        <w:tabs>
          <w:tab w:val="left" w:pos="1701"/>
        </w:tabs>
        <w:suppressAutoHyphens/>
        <w:overflowPunct/>
        <w:autoSpaceDE/>
        <w:autoSpaceDN/>
        <w:adjustRightInd/>
        <w:spacing w:after="120" w:line="240" w:lineRule="atLeast"/>
        <w:ind w:right="1134" w:firstLine="0"/>
        <w:textAlignment w:val="auto"/>
        <w:rPr>
          <w:lang w:eastAsia="en-US"/>
        </w:rPr>
      </w:pPr>
    </w:p>
    <w:p w:rsidR="00751575" w:rsidRPr="00DF3A4A" w:rsidRDefault="00F8067A" w:rsidP="00F8067A">
      <w:pPr>
        <w:tabs>
          <w:tab w:val="left" w:pos="567"/>
          <w:tab w:val="left" w:pos="1418"/>
        </w:tabs>
        <w:spacing w:line="240" w:lineRule="atLeast"/>
        <w:ind w:left="0" w:firstLine="0"/>
        <w:contextualSpacing/>
        <w:jc w:val="center"/>
      </w:pPr>
      <w:r w:rsidRPr="00BB776D">
        <w:t>***</w:t>
      </w:r>
    </w:p>
    <w:sectPr w:rsidR="00751575" w:rsidRPr="00DF3A4A" w:rsidSect="000F0250">
      <w:headerReference w:type="even" r:id="rId9"/>
      <w:headerReference w:type="default" r:id="rId10"/>
      <w:footerReference w:type="even" r:id="rId11"/>
      <w:footerReference w:type="default" r:id="rId12"/>
      <w:headerReference w:type="first" r:id="rId13"/>
      <w:footerReference w:type="first" r:id="rId14"/>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17" w:rsidRDefault="004B5417" w:rsidP="0011702A">
      <w:r>
        <w:separator/>
      </w:r>
    </w:p>
  </w:endnote>
  <w:endnote w:type="continuationSeparator" w:id="0">
    <w:p w:rsidR="004B5417" w:rsidRDefault="004B5417"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585590" w:rsidP="00F8067A">
    <w:pPr>
      <w:pStyle w:val="Footer"/>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sidR="00493E3E">
      <w:rPr>
        <w:rFonts w:ascii="Arial" w:hAnsi="Arial"/>
        <w:noProof/>
        <w:sz w:val="12"/>
        <w:szCs w:val="24"/>
        <w:lang w:val="fr-FR"/>
      </w:rPr>
      <w:t>5</w:t>
    </w:r>
    <w:r w:rsidR="00F8067A"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697F7B" w:rsidP="00697F7B">
    <w:pPr>
      <w:pStyle w:val="Footer"/>
      <w:tabs>
        <w:tab w:val="clear" w:pos="9072"/>
        <w:tab w:val="left" w:pos="2634"/>
        <w:tab w:val="right" w:pos="9070"/>
      </w:tabs>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sidR="00130FAA">
      <w:rPr>
        <w:rFonts w:ascii="Arial" w:hAnsi="Arial"/>
        <w:noProof/>
        <w:sz w:val="12"/>
        <w:szCs w:val="24"/>
        <w:lang w:val="fr-FR"/>
      </w:rPr>
      <w:t>3</w:t>
    </w:r>
    <w:r w:rsidR="00F8067A" w:rsidRPr="00F8067A">
      <w:rPr>
        <w:rFonts w:ascii="Arial" w:hAnsi="Arial"/>
        <w:noProof/>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87" w:rsidRDefault="00B7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17" w:rsidRDefault="004B5417" w:rsidP="0011702A">
      <w:r>
        <w:separator/>
      </w:r>
    </w:p>
  </w:footnote>
  <w:footnote w:type="continuationSeparator" w:id="0">
    <w:p w:rsidR="004B5417" w:rsidRDefault="004B5417" w:rsidP="0011702A">
      <w:r>
        <w:continuationSeparator/>
      </w:r>
    </w:p>
  </w:footnote>
  <w:footnote w:id="1">
    <w:p w:rsidR="00130FAA" w:rsidRPr="00042212" w:rsidRDefault="00130FAA" w:rsidP="00130FAA">
      <w:pPr>
        <w:pStyle w:val="FootnoteText"/>
        <w:ind w:left="284" w:hanging="284"/>
        <w:rPr>
          <w:sz w:val="16"/>
          <w:szCs w:val="16"/>
        </w:rPr>
      </w:pPr>
      <w:r w:rsidRPr="00A60437">
        <w:rPr>
          <w:rStyle w:val="FootnoteReference"/>
          <w:sz w:val="16"/>
          <w:szCs w:val="16"/>
        </w:rPr>
        <w:footnoteRef/>
      </w:r>
      <w:r w:rsidRPr="00A60437">
        <w:rPr>
          <w:sz w:val="16"/>
          <w:szCs w:val="16"/>
        </w:rPr>
        <w:t xml:space="preserve"> </w:t>
      </w:r>
      <w:r w:rsidRPr="00A60437">
        <w:rPr>
          <w:sz w:val="16"/>
          <w:szCs w:val="16"/>
        </w:rPr>
        <w:tab/>
      </w:r>
      <w:r w:rsidRPr="00042212">
        <w:rPr>
          <w:sz w:val="16"/>
          <w:szCs w:val="16"/>
        </w:rPr>
        <w:t>Von der UN-ECE in Englisch, Französisch und Russisch unter dem Aktenzeichen ECE/TRANS/WP.15/AC.2/2018/</w:t>
      </w:r>
      <w:r w:rsidR="007944DA" w:rsidRPr="00042212">
        <w:rPr>
          <w:sz w:val="16"/>
          <w:szCs w:val="16"/>
        </w:rPr>
        <w:t>5</w:t>
      </w:r>
      <w:r w:rsidRPr="00042212">
        <w:rPr>
          <w:sz w:val="16"/>
          <w:szCs w:val="16"/>
        </w:rPr>
        <w:t xml:space="preserve"> verteilt.</w:t>
      </w:r>
    </w:p>
  </w:footnote>
  <w:footnote w:id="2">
    <w:p w:rsidR="00130FAA" w:rsidRPr="00F8067A" w:rsidRDefault="00130FAA" w:rsidP="00130FAA">
      <w:pPr>
        <w:pStyle w:val="FootnoteText"/>
        <w:tabs>
          <w:tab w:val="left" w:pos="284"/>
        </w:tabs>
        <w:ind w:left="284" w:hanging="284"/>
        <w:rPr>
          <w:sz w:val="16"/>
          <w:szCs w:val="16"/>
        </w:rPr>
      </w:pPr>
      <w:r w:rsidRPr="00042212">
        <w:rPr>
          <w:rStyle w:val="FootnoteReference"/>
          <w:sz w:val="16"/>
          <w:szCs w:val="16"/>
        </w:rPr>
        <w:footnoteRef/>
      </w:r>
      <w:r w:rsidRPr="00042212">
        <w:rPr>
          <w:sz w:val="16"/>
          <w:szCs w:val="16"/>
        </w:rPr>
        <w:t xml:space="preserve"> </w:t>
      </w:r>
      <w:r w:rsidRPr="00042212">
        <w:rPr>
          <w:sz w:val="16"/>
          <w:szCs w:val="16"/>
        </w:rPr>
        <w:tab/>
        <w:t>Entsprechend dem Arbeitsprogramm des Binnenverkehrsausschusses 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11545F" w:rsidRPr="00F8067A">
      <w:rPr>
        <w:rFonts w:ascii="Arial" w:hAnsi="Arial"/>
        <w:snapToGrid w:val="0"/>
        <w:sz w:val="16"/>
        <w:szCs w:val="16"/>
        <w:lang w:val="en-US"/>
      </w:rPr>
      <w:t>2018</w:t>
    </w:r>
    <w:r w:rsidRPr="00F8067A">
      <w:rPr>
        <w:rFonts w:ascii="Arial" w:hAnsi="Arial"/>
        <w:snapToGrid w:val="0"/>
        <w:sz w:val="16"/>
        <w:szCs w:val="16"/>
        <w:lang w:val="en-US"/>
      </w:rPr>
      <w:t>/</w:t>
    </w:r>
    <w:r w:rsidR="007944DA">
      <w:rPr>
        <w:rFonts w:ascii="Arial" w:hAnsi="Arial"/>
        <w:snapToGrid w:val="0"/>
        <w:sz w:val="16"/>
        <w:szCs w:val="16"/>
        <w:lang w:val="en-US"/>
      </w:rPr>
      <w:t>5</w:t>
    </w:r>
  </w:p>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36498D">
      <w:rPr>
        <w:rFonts w:ascii="Arial" w:hAnsi="Arial"/>
        <w:noProof/>
        <w:snapToGrid w:val="0"/>
        <w:sz w:val="16"/>
        <w:szCs w:val="16"/>
      </w:rPr>
      <w:t>2</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B9072B" w:rsidRPr="00F8067A">
      <w:rPr>
        <w:rFonts w:ascii="Arial" w:hAnsi="Arial"/>
        <w:snapToGrid w:val="0"/>
        <w:sz w:val="16"/>
        <w:szCs w:val="16"/>
        <w:lang w:val="en-US"/>
      </w:rPr>
      <w:t>2018/</w:t>
    </w:r>
    <w:r w:rsidR="00130FAA">
      <w:rPr>
        <w:rFonts w:ascii="Arial" w:hAnsi="Arial"/>
        <w:snapToGrid w:val="0"/>
        <w:sz w:val="16"/>
        <w:szCs w:val="16"/>
        <w:lang w:val="en-US"/>
      </w:rPr>
      <w:t>3</w:t>
    </w:r>
  </w:p>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042212">
      <w:rPr>
        <w:rFonts w:ascii="Arial" w:hAnsi="Arial"/>
        <w:noProof/>
        <w:snapToGrid w:val="0"/>
        <w:sz w:val="16"/>
        <w:szCs w:val="16"/>
      </w:rPr>
      <w:t>3</w:t>
    </w:r>
    <w:r w:rsidRPr="00F8067A">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87" w:rsidRDefault="00B7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1604"/>
    <w:rsid w:val="000143A3"/>
    <w:rsid w:val="00014D4F"/>
    <w:rsid w:val="00016593"/>
    <w:rsid w:val="00026176"/>
    <w:rsid w:val="0003284B"/>
    <w:rsid w:val="00034828"/>
    <w:rsid w:val="0004134B"/>
    <w:rsid w:val="00042212"/>
    <w:rsid w:val="000463CE"/>
    <w:rsid w:val="00047E84"/>
    <w:rsid w:val="00052E7E"/>
    <w:rsid w:val="000563D5"/>
    <w:rsid w:val="00056B10"/>
    <w:rsid w:val="000625E5"/>
    <w:rsid w:val="00070595"/>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0892"/>
    <w:rsid w:val="000E4620"/>
    <w:rsid w:val="000E4CDE"/>
    <w:rsid w:val="000E6786"/>
    <w:rsid w:val="000F0250"/>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43354"/>
    <w:rsid w:val="00144FA5"/>
    <w:rsid w:val="00156782"/>
    <w:rsid w:val="00156903"/>
    <w:rsid w:val="00156ACE"/>
    <w:rsid w:val="0016790C"/>
    <w:rsid w:val="001729A2"/>
    <w:rsid w:val="001739E9"/>
    <w:rsid w:val="00176072"/>
    <w:rsid w:val="001761F7"/>
    <w:rsid w:val="0017767A"/>
    <w:rsid w:val="001878DE"/>
    <w:rsid w:val="00190390"/>
    <w:rsid w:val="001A078E"/>
    <w:rsid w:val="001A19C0"/>
    <w:rsid w:val="001B4F22"/>
    <w:rsid w:val="001B7B3E"/>
    <w:rsid w:val="001C0E5C"/>
    <w:rsid w:val="001C1D1B"/>
    <w:rsid w:val="001C269B"/>
    <w:rsid w:val="001C4ED8"/>
    <w:rsid w:val="001D1B0A"/>
    <w:rsid w:val="001E133B"/>
    <w:rsid w:val="001E4D07"/>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14F"/>
    <w:rsid w:val="00283323"/>
    <w:rsid w:val="00291CB3"/>
    <w:rsid w:val="002A337E"/>
    <w:rsid w:val="002A403E"/>
    <w:rsid w:val="002A53A6"/>
    <w:rsid w:val="002C0469"/>
    <w:rsid w:val="002C327D"/>
    <w:rsid w:val="002D1BFB"/>
    <w:rsid w:val="002E3745"/>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98D"/>
    <w:rsid w:val="00364E68"/>
    <w:rsid w:val="003702C7"/>
    <w:rsid w:val="00370BB8"/>
    <w:rsid w:val="00377CE8"/>
    <w:rsid w:val="0038428F"/>
    <w:rsid w:val="00387545"/>
    <w:rsid w:val="0039080F"/>
    <w:rsid w:val="003931FE"/>
    <w:rsid w:val="00394699"/>
    <w:rsid w:val="00397E52"/>
    <w:rsid w:val="003A2337"/>
    <w:rsid w:val="003B0DD6"/>
    <w:rsid w:val="003B0DF4"/>
    <w:rsid w:val="003B23DA"/>
    <w:rsid w:val="003B789B"/>
    <w:rsid w:val="003C61C4"/>
    <w:rsid w:val="003D0FA5"/>
    <w:rsid w:val="003D3605"/>
    <w:rsid w:val="003D476E"/>
    <w:rsid w:val="003D4C9D"/>
    <w:rsid w:val="003E6E61"/>
    <w:rsid w:val="00400ADD"/>
    <w:rsid w:val="00401179"/>
    <w:rsid w:val="00406965"/>
    <w:rsid w:val="00410285"/>
    <w:rsid w:val="004176F9"/>
    <w:rsid w:val="00427609"/>
    <w:rsid w:val="00427804"/>
    <w:rsid w:val="00430CD0"/>
    <w:rsid w:val="00432779"/>
    <w:rsid w:val="00432E08"/>
    <w:rsid w:val="00436D1E"/>
    <w:rsid w:val="00446085"/>
    <w:rsid w:val="00466FB5"/>
    <w:rsid w:val="00467C98"/>
    <w:rsid w:val="00472198"/>
    <w:rsid w:val="00476E9E"/>
    <w:rsid w:val="004819A4"/>
    <w:rsid w:val="0048292C"/>
    <w:rsid w:val="004836F9"/>
    <w:rsid w:val="004847DC"/>
    <w:rsid w:val="00492FA6"/>
    <w:rsid w:val="00493E3E"/>
    <w:rsid w:val="0049746A"/>
    <w:rsid w:val="004A0752"/>
    <w:rsid w:val="004A3FE7"/>
    <w:rsid w:val="004A46B8"/>
    <w:rsid w:val="004B0D93"/>
    <w:rsid w:val="004B5417"/>
    <w:rsid w:val="004B7EA6"/>
    <w:rsid w:val="004C18DE"/>
    <w:rsid w:val="004D4CA5"/>
    <w:rsid w:val="004D4E53"/>
    <w:rsid w:val="004E622A"/>
    <w:rsid w:val="004F15D6"/>
    <w:rsid w:val="004F3058"/>
    <w:rsid w:val="004F4DE3"/>
    <w:rsid w:val="004F5608"/>
    <w:rsid w:val="0051476B"/>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3E26"/>
    <w:rsid w:val="00595C5C"/>
    <w:rsid w:val="00596953"/>
    <w:rsid w:val="005A1A44"/>
    <w:rsid w:val="005A2165"/>
    <w:rsid w:val="005A3B6B"/>
    <w:rsid w:val="005A5B6A"/>
    <w:rsid w:val="005B6280"/>
    <w:rsid w:val="005C1940"/>
    <w:rsid w:val="005C558D"/>
    <w:rsid w:val="005C7246"/>
    <w:rsid w:val="005C7902"/>
    <w:rsid w:val="005D3B31"/>
    <w:rsid w:val="005E1804"/>
    <w:rsid w:val="005E5104"/>
    <w:rsid w:val="005E5EF7"/>
    <w:rsid w:val="005F26AD"/>
    <w:rsid w:val="005F58DF"/>
    <w:rsid w:val="0060269E"/>
    <w:rsid w:val="006047AC"/>
    <w:rsid w:val="00607B11"/>
    <w:rsid w:val="006111A3"/>
    <w:rsid w:val="00611C20"/>
    <w:rsid w:val="0061668A"/>
    <w:rsid w:val="00620982"/>
    <w:rsid w:val="006256AF"/>
    <w:rsid w:val="00626C86"/>
    <w:rsid w:val="00630422"/>
    <w:rsid w:val="006373FA"/>
    <w:rsid w:val="00642215"/>
    <w:rsid w:val="00643AEA"/>
    <w:rsid w:val="00651386"/>
    <w:rsid w:val="00661FED"/>
    <w:rsid w:val="0066312D"/>
    <w:rsid w:val="00666284"/>
    <w:rsid w:val="00670028"/>
    <w:rsid w:val="00690A5F"/>
    <w:rsid w:val="0069164E"/>
    <w:rsid w:val="006924C5"/>
    <w:rsid w:val="006970A1"/>
    <w:rsid w:val="00697F7B"/>
    <w:rsid w:val="006A0959"/>
    <w:rsid w:val="006A507B"/>
    <w:rsid w:val="006A73AD"/>
    <w:rsid w:val="006A7F94"/>
    <w:rsid w:val="006B57B7"/>
    <w:rsid w:val="006B6FC7"/>
    <w:rsid w:val="006B7C55"/>
    <w:rsid w:val="006D1972"/>
    <w:rsid w:val="006D78CA"/>
    <w:rsid w:val="006E4861"/>
    <w:rsid w:val="006E498C"/>
    <w:rsid w:val="006F3C42"/>
    <w:rsid w:val="00702BE6"/>
    <w:rsid w:val="00706883"/>
    <w:rsid w:val="00713B6F"/>
    <w:rsid w:val="007225A1"/>
    <w:rsid w:val="00742BD3"/>
    <w:rsid w:val="007472F7"/>
    <w:rsid w:val="00751575"/>
    <w:rsid w:val="00754516"/>
    <w:rsid w:val="0075583E"/>
    <w:rsid w:val="00760FB2"/>
    <w:rsid w:val="007652AB"/>
    <w:rsid w:val="007705CB"/>
    <w:rsid w:val="00773B7E"/>
    <w:rsid w:val="0079124E"/>
    <w:rsid w:val="00792E94"/>
    <w:rsid w:val="007944DA"/>
    <w:rsid w:val="007A19A7"/>
    <w:rsid w:val="007A1F68"/>
    <w:rsid w:val="007A584D"/>
    <w:rsid w:val="007B5D5A"/>
    <w:rsid w:val="007C1AA7"/>
    <w:rsid w:val="007C5305"/>
    <w:rsid w:val="007D1EF9"/>
    <w:rsid w:val="007D2FA0"/>
    <w:rsid w:val="007D6265"/>
    <w:rsid w:val="007D7EEA"/>
    <w:rsid w:val="007E7F2A"/>
    <w:rsid w:val="007F30AF"/>
    <w:rsid w:val="00805AEB"/>
    <w:rsid w:val="00810504"/>
    <w:rsid w:val="0081450F"/>
    <w:rsid w:val="00826787"/>
    <w:rsid w:val="00834438"/>
    <w:rsid w:val="00834C64"/>
    <w:rsid w:val="00835551"/>
    <w:rsid w:val="00837FB8"/>
    <w:rsid w:val="00841328"/>
    <w:rsid w:val="00852BEF"/>
    <w:rsid w:val="00854209"/>
    <w:rsid w:val="0085713F"/>
    <w:rsid w:val="0086477D"/>
    <w:rsid w:val="00876F50"/>
    <w:rsid w:val="00894221"/>
    <w:rsid w:val="00896081"/>
    <w:rsid w:val="008967B7"/>
    <w:rsid w:val="008A1D67"/>
    <w:rsid w:val="008A25AB"/>
    <w:rsid w:val="008B3106"/>
    <w:rsid w:val="008B5544"/>
    <w:rsid w:val="008B7C4B"/>
    <w:rsid w:val="008D3CEC"/>
    <w:rsid w:val="008E0A67"/>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733A6"/>
    <w:rsid w:val="00975B09"/>
    <w:rsid w:val="009771C0"/>
    <w:rsid w:val="009777E8"/>
    <w:rsid w:val="0098158C"/>
    <w:rsid w:val="00981925"/>
    <w:rsid w:val="00982F17"/>
    <w:rsid w:val="0099031A"/>
    <w:rsid w:val="00991BA0"/>
    <w:rsid w:val="009A2C98"/>
    <w:rsid w:val="009A4FC8"/>
    <w:rsid w:val="009B6F47"/>
    <w:rsid w:val="009B7CA8"/>
    <w:rsid w:val="009C79C4"/>
    <w:rsid w:val="009D2885"/>
    <w:rsid w:val="009E281C"/>
    <w:rsid w:val="009E3EBD"/>
    <w:rsid w:val="009E795B"/>
    <w:rsid w:val="009F0973"/>
    <w:rsid w:val="009F2DD9"/>
    <w:rsid w:val="00A005D6"/>
    <w:rsid w:val="00A04A9E"/>
    <w:rsid w:val="00A0723D"/>
    <w:rsid w:val="00A1389E"/>
    <w:rsid w:val="00A17F67"/>
    <w:rsid w:val="00A21A7D"/>
    <w:rsid w:val="00A2645D"/>
    <w:rsid w:val="00A27409"/>
    <w:rsid w:val="00A30E8F"/>
    <w:rsid w:val="00A410D7"/>
    <w:rsid w:val="00A4233A"/>
    <w:rsid w:val="00A44AF1"/>
    <w:rsid w:val="00A57CE8"/>
    <w:rsid w:val="00A60437"/>
    <w:rsid w:val="00A61CF9"/>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3059"/>
    <w:rsid w:val="00AC338A"/>
    <w:rsid w:val="00AD14D7"/>
    <w:rsid w:val="00AD59A0"/>
    <w:rsid w:val="00AD68F2"/>
    <w:rsid w:val="00AD69C2"/>
    <w:rsid w:val="00AE32E7"/>
    <w:rsid w:val="00AE33F4"/>
    <w:rsid w:val="00AE50D2"/>
    <w:rsid w:val="00AE73A7"/>
    <w:rsid w:val="00AE7E9E"/>
    <w:rsid w:val="00AF7C57"/>
    <w:rsid w:val="00AF7DC9"/>
    <w:rsid w:val="00B02145"/>
    <w:rsid w:val="00B041A6"/>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75687"/>
    <w:rsid w:val="00B83CEA"/>
    <w:rsid w:val="00B853F8"/>
    <w:rsid w:val="00B85E3B"/>
    <w:rsid w:val="00B87AB9"/>
    <w:rsid w:val="00B9072B"/>
    <w:rsid w:val="00B92A2D"/>
    <w:rsid w:val="00B92BF7"/>
    <w:rsid w:val="00B9368D"/>
    <w:rsid w:val="00B940F8"/>
    <w:rsid w:val="00BA358B"/>
    <w:rsid w:val="00BA6693"/>
    <w:rsid w:val="00BB0A40"/>
    <w:rsid w:val="00BB1891"/>
    <w:rsid w:val="00BB776D"/>
    <w:rsid w:val="00BC224B"/>
    <w:rsid w:val="00BD6076"/>
    <w:rsid w:val="00BD7109"/>
    <w:rsid w:val="00BD77CE"/>
    <w:rsid w:val="00BF6A72"/>
    <w:rsid w:val="00BF7D16"/>
    <w:rsid w:val="00C01D3D"/>
    <w:rsid w:val="00C03ED4"/>
    <w:rsid w:val="00C04C77"/>
    <w:rsid w:val="00C05CED"/>
    <w:rsid w:val="00C1260A"/>
    <w:rsid w:val="00C161A1"/>
    <w:rsid w:val="00C16233"/>
    <w:rsid w:val="00C24FA8"/>
    <w:rsid w:val="00C27690"/>
    <w:rsid w:val="00C32E06"/>
    <w:rsid w:val="00C4703A"/>
    <w:rsid w:val="00C509C1"/>
    <w:rsid w:val="00C532C5"/>
    <w:rsid w:val="00C64A71"/>
    <w:rsid w:val="00C7003A"/>
    <w:rsid w:val="00C72A39"/>
    <w:rsid w:val="00C75E20"/>
    <w:rsid w:val="00C804E5"/>
    <w:rsid w:val="00C8138A"/>
    <w:rsid w:val="00C82985"/>
    <w:rsid w:val="00C84D0A"/>
    <w:rsid w:val="00C90787"/>
    <w:rsid w:val="00C93A09"/>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4F23"/>
    <w:rsid w:val="00CF645B"/>
    <w:rsid w:val="00D03FC5"/>
    <w:rsid w:val="00D04647"/>
    <w:rsid w:val="00D064E0"/>
    <w:rsid w:val="00D12EA3"/>
    <w:rsid w:val="00D16A29"/>
    <w:rsid w:val="00D2514D"/>
    <w:rsid w:val="00D33B77"/>
    <w:rsid w:val="00D35074"/>
    <w:rsid w:val="00D4056A"/>
    <w:rsid w:val="00D52AF0"/>
    <w:rsid w:val="00D52F95"/>
    <w:rsid w:val="00D6320C"/>
    <w:rsid w:val="00D64560"/>
    <w:rsid w:val="00D65991"/>
    <w:rsid w:val="00D675C2"/>
    <w:rsid w:val="00D7150D"/>
    <w:rsid w:val="00D80CB1"/>
    <w:rsid w:val="00D8467E"/>
    <w:rsid w:val="00D92E0F"/>
    <w:rsid w:val="00D94CED"/>
    <w:rsid w:val="00D97C9F"/>
    <w:rsid w:val="00DA1F54"/>
    <w:rsid w:val="00DA28E2"/>
    <w:rsid w:val="00DA312C"/>
    <w:rsid w:val="00DA3AF6"/>
    <w:rsid w:val="00DA54C3"/>
    <w:rsid w:val="00DB57E7"/>
    <w:rsid w:val="00DB6161"/>
    <w:rsid w:val="00DC66D9"/>
    <w:rsid w:val="00DD0EEC"/>
    <w:rsid w:val="00DF03F9"/>
    <w:rsid w:val="00DF3A4A"/>
    <w:rsid w:val="00DF426C"/>
    <w:rsid w:val="00E053BA"/>
    <w:rsid w:val="00E1103A"/>
    <w:rsid w:val="00E14568"/>
    <w:rsid w:val="00E22556"/>
    <w:rsid w:val="00E236E5"/>
    <w:rsid w:val="00E240AE"/>
    <w:rsid w:val="00E2783C"/>
    <w:rsid w:val="00E303D5"/>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C5B0D"/>
    <w:rsid w:val="00EC77F2"/>
    <w:rsid w:val="00ED49D7"/>
    <w:rsid w:val="00ED557F"/>
    <w:rsid w:val="00EE4226"/>
    <w:rsid w:val="00EE457F"/>
    <w:rsid w:val="00EE5CAB"/>
    <w:rsid w:val="00EF00ED"/>
    <w:rsid w:val="00EF022A"/>
    <w:rsid w:val="00EF7231"/>
    <w:rsid w:val="00F04331"/>
    <w:rsid w:val="00F07812"/>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70B1D"/>
    <w:rsid w:val="00F70D98"/>
    <w:rsid w:val="00F736DE"/>
    <w:rsid w:val="00F73A99"/>
    <w:rsid w:val="00F74646"/>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59F475D-F0CF-46A1-A288-3C29D343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49169074">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7DF1-68D6-4031-AA96-64643194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2017-11-20T06:35:00Z</cp:lastPrinted>
  <dcterms:created xsi:type="dcterms:W3CDTF">2017-11-20T06:36:00Z</dcterms:created>
  <dcterms:modified xsi:type="dcterms:W3CDTF">2017-11-20T06:36:00Z</dcterms:modified>
</cp:coreProperties>
</file>