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154" w:rsidRPr="002D3FF9" w:rsidRDefault="00096154" w:rsidP="00096154">
      <w:pPr>
        <w:spacing w:after="0"/>
        <w:ind w:left="5387" w:right="-286"/>
        <w:outlineLvl w:val="0"/>
        <w:rPr>
          <w:rFonts w:ascii="Arial" w:eastAsia="Arial" w:hAnsi="Arial" w:cs="Arial"/>
          <w:bCs/>
          <w:sz w:val="20"/>
          <w:szCs w:val="24"/>
          <w:lang w:val="fr-FR" w:eastAsia="de-DE"/>
        </w:rPr>
      </w:pPr>
      <w:bookmarkStart w:id="0" w:name="_GoBack"/>
      <w:bookmarkEnd w:id="0"/>
      <w:r w:rsidRPr="002D3FF9">
        <w:rPr>
          <w:rFonts w:ascii="Arial" w:eastAsia="Arial" w:hAnsi="Arial" w:cs="Arial"/>
          <w:bCs/>
          <w:noProof/>
          <w:sz w:val="20"/>
          <w:szCs w:val="24"/>
          <w:lang w:val="fr-FR" w:eastAsia="fr-FR"/>
        </w:rPr>
        <w:drawing>
          <wp:anchor distT="0" distB="0" distL="114300" distR="114300" simplePos="0" relativeHeight="251658240" behindDoc="0" locked="0" layoutInCell="1" allowOverlap="1" wp14:anchorId="45814F4C" wp14:editId="0CCBFB3E">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2D3FF9">
        <w:rPr>
          <w:rFonts w:ascii="Arial" w:eastAsia="Arial" w:hAnsi="Arial" w:cs="Arial"/>
          <w:bCs/>
          <w:sz w:val="20"/>
          <w:szCs w:val="24"/>
          <w:lang w:val="fr-FR" w:eastAsia="de-DE"/>
        </w:rPr>
        <w:t>CCNR-ZKR/ADN/WP.15/AC.2/201</w:t>
      </w:r>
      <w:r w:rsidR="008B36BE" w:rsidRPr="002D3FF9">
        <w:rPr>
          <w:rFonts w:ascii="Arial" w:eastAsia="Arial" w:hAnsi="Arial" w:cs="Arial"/>
          <w:bCs/>
          <w:sz w:val="20"/>
          <w:szCs w:val="24"/>
          <w:lang w:val="fr-FR" w:eastAsia="de-DE"/>
        </w:rPr>
        <w:t>8</w:t>
      </w:r>
      <w:r w:rsidRPr="002D3FF9">
        <w:rPr>
          <w:rFonts w:ascii="Arial" w:eastAsia="Arial" w:hAnsi="Arial" w:cs="Arial"/>
          <w:bCs/>
          <w:sz w:val="20"/>
          <w:szCs w:val="24"/>
          <w:lang w:val="fr-FR" w:eastAsia="de-DE"/>
        </w:rPr>
        <w:t>/</w:t>
      </w:r>
      <w:r w:rsidR="00EA6E78">
        <w:rPr>
          <w:rFonts w:ascii="Arial" w:eastAsia="Arial" w:hAnsi="Arial" w:cs="Arial"/>
          <w:bCs/>
          <w:sz w:val="20"/>
          <w:szCs w:val="24"/>
          <w:lang w:val="fr-FR" w:eastAsia="de-DE"/>
        </w:rPr>
        <w:t>35</w:t>
      </w:r>
    </w:p>
    <w:p w:rsidR="00096154" w:rsidRPr="002D3FF9" w:rsidRDefault="00096154" w:rsidP="00096154">
      <w:pPr>
        <w:tabs>
          <w:tab w:val="left" w:pos="5670"/>
        </w:tabs>
        <w:spacing w:after="0"/>
        <w:ind w:left="5387"/>
        <w:rPr>
          <w:rFonts w:ascii="Arial" w:hAnsi="Arial" w:cs="Arial"/>
          <w:sz w:val="16"/>
          <w:szCs w:val="24"/>
          <w:lang w:val="de-DE" w:eastAsia="de-DE"/>
        </w:rPr>
      </w:pPr>
      <w:r w:rsidRPr="002D3FF9">
        <w:rPr>
          <w:rFonts w:ascii="Arial" w:hAnsi="Arial" w:cs="Arial"/>
          <w:sz w:val="16"/>
          <w:szCs w:val="24"/>
          <w:lang w:val="de-DE" w:eastAsia="de-DE"/>
        </w:rPr>
        <w:t>Allgemeine Verteilung</w:t>
      </w:r>
    </w:p>
    <w:p w:rsidR="00096154" w:rsidRPr="002D3FF9" w:rsidRDefault="002D3FF9" w:rsidP="00096154">
      <w:pPr>
        <w:tabs>
          <w:tab w:val="right" w:pos="3856"/>
          <w:tab w:val="left" w:pos="5670"/>
        </w:tabs>
        <w:spacing w:after="0"/>
        <w:ind w:left="5387"/>
        <w:rPr>
          <w:rFonts w:ascii="Arial" w:eastAsia="Arial" w:hAnsi="Arial" w:cs="Arial"/>
          <w:sz w:val="20"/>
          <w:szCs w:val="24"/>
          <w:lang w:val="de-DE" w:eastAsia="de-DE"/>
        </w:rPr>
      </w:pPr>
      <w:r w:rsidRPr="002D3FF9">
        <w:rPr>
          <w:rFonts w:ascii="Arial" w:eastAsia="Arial" w:hAnsi="Arial" w:cs="Arial"/>
          <w:sz w:val="20"/>
          <w:szCs w:val="24"/>
          <w:lang w:val="de-DE" w:eastAsia="de-DE"/>
        </w:rPr>
        <w:t>1</w:t>
      </w:r>
      <w:r w:rsidR="00EA6E78">
        <w:rPr>
          <w:rFonts w:ascii="Arial" w:eastAsia="Arial" w:hAnsi="Arial" w:cs="Arial"/>
          <w:sz w:val="20"/>
          <w:szCs w:val="24"/>
          <w:lang w:val="de-DE" w:eastAsia="de-DE"/>
        </w:rPr>
        <w:t>2</w:t>
      </w:r>
      <w:r w:rsidR="00096154" w:rsidRPr="002D3FF9">
        <w:rPr>
          <w:rFonts w:ascii="Arial" w:eastAsia="Arial" w:hAnsi="Arial" w:cs="Arial"/>
          <w:sz w:val="20"/>
          <w:szCs w:val="24"/>
          <w:lang w:val="de-DE" w:eastAsia="de-DE"/>
        </w:rPr>
        <w:t xml:space="preserve">. </w:t>
      </w:r>
      <w:r w:rsidRPr="002D3FF9">
        <w:rPr>
          <w:rFonts w:ascii="Arial" w:eastAsia="Arial" w:hAnsi="Arial" w:cs="Arial"/>
          <w:sz w:val="20"/>
          <w:szCs w:val="24"/>
          <w:lang w:val="de-DE" w:eastAsia="de-DE"/>
        </w:rPr>
        <w:t>Juni</w:t>
      </w:r>
      <w:r w:rsidR="00096154" w:rsidRPr="002D3FF9">
        <w:rPr>
          <w:rFonts w:ascii="Arial" w:eastAsia="Arial" w:hAnsi="Arial" w:cs="Arial"/>
          <w:sz w:val="20"/>
          <w:szCs w:val="24"/>
          <w:lang w:val="de-DE" w:eastAsia="de-DE"/>
        </w:rPr>
        <w:t xml:space="preserve"> 201</w:t>
      </w:r>
      <w:r w:rsidR="008B36BE" w:rsidRPr="002D3FF9">
        <w:rPr>
          <w:rFonts w:ascii="Arial" w:eastAsia="Arial" w:hAnsi="Arial" w:cs="Arial"/>
          <w:sz w:val="20"/>
          <w:szCs w:val="24"/>
          <w:lang w:val="de-DE" w:eastAsia="de-DE"/>
        </w:rPr>
        <w:t>8</w:t>
      </w:r>
    </w:p>
    <w:p w:rsidR="00096154" w:rsidRPr="002D3FF9" w:rsidRDefault="00096154" w:rsidP="00096154">
      <w:pPr>
        <w:tabs>
          <w:tab w:val="right" w:pos="3856"/>
          <w:tab w:val="left" w:pos="5670"/>
        </w:tabs>
        <w:spacing w:after="0"/>
        <w:ind w:left="5387" w:right="565"/>
        <w:rPr>
          <w:rFonts w:ascii="Arial" w:hAnsi="Arial" w:cs="Arial"/>
          <w:sz w:val="16"/>
          <w:szCs w:val="24"/>
          <w:lang w:val="de-DE" w:eastAsia="de-DE"/>
        </w:rPr>
      </w:pPr>
      <w:r w:rsidRPr="002D3FF9">
        <w:rPr>
          <w:rFonts w:ascii="Arial" w:eastAsia="Arial" w:hAnsi="Arial" w:cs="Arial"/>
          <w:sz w:val="16"/>
          <w:szCs w:val="24"/>
          <w:lang w:val="de-DE" w:eastAsia="de-DE"/>
        </w:rPr>
        <w:t xml:space="preserve">Or. </w:t>
      </w:r>
      <w:r w:rsidR="00EA6E78">
        <w:rPr>
          <w:rFonts w:ascii="Arial" w:eastAsia="Arial" w:hAnsi="Arial" w:cs="Arial"/>
          <w:sz w:val="16"/>
          <w:szCs w:val="24"/>
          <w:lang w:val="de-DE" w:eastAsia="de-DE"/>
        </w:rPr>
        <w:t>ENGLISCH</w:t>
      </w:r>
    </w:p>
    <w:p w:rsidR="00096154" w:rsidRPr="002D3FF9" w:rsidRDefault="00096154" w:rsidP="00096154">
      <w:pPr>
        <w:spacing w:after="0"/>
        <w:rPr>
          <w:rFonts w:ascii="Arial" w:hAnsi="Arial" w:cs="Arial"/>
          <w:sz w:val="16"/>
          <w:szCs w:val="24"/>
          <w:lang w:val="de-DE" w:eastAsia="de-DE"/>
        </w:rPr>
      </w:pPr>
    </w:p>
    <w:p w:rsidR="00096154" w:rsidRPr="002D3FF9" w:rsidRDefault="00096154" w:rsidP="00096154">
      <w:pPr>
        <w:spacing w:after="0"/>
        <w:rPr>
          <w:rFonts w:ascii="Arial" w:hAnsi="Arial" w:cs="Arial"/>
          <w:sz w:val="16"/>
          <w:szCs w:val="24"/>
          <w:lang w:val="de-DE" w:eastAsia="de-DE"/>
        </w:rPr>
      </w:pPr>
    </w:p>
    <w:p w:rsidR="00096154" w:rsidRPr="002D3FF9" w:rsidRDefault="00096154" w:rsidP="00096154">
      <w:pPr>
        <w:tabs>
          <w:tab w:val="left" w:pos="2977"/>
        </w:tabs>
        <w:spacing w:after="0"/>
        <w:ind w:left="3958"/>
        <w:rPr>
          <w:rFonts w:ascii="Arial" w:hAnsi="Arial"/>
          <w:noProof/>
          <w:snapToGrid w:val="0"/>
          <w:sz w:val="16"/>
          <w:szCs w:val="24"/>
          <w:lang w:val="de-DE" w:eastAsia="fr-FR"/>
        </w:rPr>
      </w:pPr>
      <w:r w:rsidRPr="002D3FF9">
        <w:rPr>
          <w:rFonts w:ascii="Arial" w:hAnsi="Arial"/>
          <w:noProof/>
          <w:snapToGrid w:val="0"/>
          <w:sz w:val="16"/>
          <w:szCs w:val="24"/>
          <w:lang w:val="de-DE" w:eastAsia="fr-FR"/>
        </w:rPr>
        <w:t>GEMEINSAME EXPERTENTAGUNG FÜR DIE DEM</w:t>
      </w:r>
    </w:p>
    <w:p w:rsidR="00096154" w:rsidRPr="002D3FF9" w:rsidRDefault="00096154" w:rsidP="00096154">
      <w:pPr>
        <w:tabs>
          <w:tab w:val="left" w:pos="2977"/>
        </w:tabs>
        <w:spacing w:after="0"/>
        <w:ind w:left="3958"/>
        <w:rPr>
          <w:rFonts w:ascii="Arial" w:hAnsi="Arial"/>
          <w:noProof/>
          <w:snapToGrid w:val="0"/>
          <w:sz w:val="16"/>
          <w:szCs w:val="24"/>
          <w:lang w:val="de-DE" w:eastAsia="fr-FR"/>
        </w:rPr>
      </w:pPr>
      <w:r w:rsidRPr="002D3FF9">
        <w:rPr>
          <w:rFonts w:ascii="Arial" w:hAnsi="Arial"/>
          <w:noProof/>
          <w:snapToGrid w:val="0"/>
          <w:sz w:val="16"/>
          <w:szCs w:val="24"/>
          <w:lang w:val="de-DE" w:eastAsia="fr-FR"/>
        </w:rPr>
        <w:t>ÜBEREINKOMMEN ÜBER DIE INTERNATIONALE BEFÖRDERUNG</w:t>
      </w:r>
    </w:p>
    <w:p w:rsidR="00096154" w:rsidRPr="002D3FF9" w:rsidRDefault="00096154" w:rsidP="00096154">
      <w:pPr>
        <w:tabs>
          <w:tab w:val="left" w:pos="2977"/>
        </w:tabs>
        <w:spacing w:after="0"/>
        <w:ind w:left="3958"/>
        <w:rPr>
          <w:rFonts w:ascii="Arial" w:hAnsi="Arial"/>
          <w:noProof/>
          <w:snapToGrid w:val="0"/>
          <w:sz w:val="16"/>
          <w:szCs w:val="24"/>
          <w:lang w:val="de-DE" w:eastAsia="fr-FR"/>
        </w:rPr>
      </w:pPr>
      <w:r w:rsidRPr="002D3FF9">
        <w:rPr>
          <w:rFonts w:ascii="Arial" w:hAnsi="Arial"/>
          <w:noProof/>
          <w:snapToGrid w:val="0"/>
          <w:sz w:val="16"/>
          <w:szCs w:val="24"/>
          <w:lang w:val="de-DE" w:eastAsia="fr-FR"/>
        </w:rPr>
        <w:t>VON GEFÄHRLICHEN GÜTERN AUF BINNENWASSERSTRASSEN</w:t>
      </w:r>
    </w:p>
    <w:p w:rsidR="00096154" w:rsidRPr="002D3FF9" w:rsidRDefault="00096154" w:rsidP="00096154">
      <w:pPr>
        <w:tabs>
          <w:tab w:val="left" w:pos="2977"/>
        </w:tabs>
        <w:spacing w:after="0"/>
        <w:ind w:left="3958"/>
        <w:rPr>
          <w:rFonts w:ascii="Arial" w:hAnsi="Arial"/>
          <w:noProof/>
          <w:snapToGrid w:val="0"/>
          <w:sz w:val="16"/>
          <w:szCs w:val="24"/>
          <w:lang w:val="de-DE" w:eastAsia="fr-FR"/>
        </w:rPr>
      </w:pPr>
      <w:r w:rsidRPr="002D3FF9">
        <w:rPr>
          <w:rFonts w:ascii="Arial" w:hAnsi="Arial"/>
          <w:noProof/>
          <w:snapToGrid w:val="0"/>
          <w:sz w:val="16"/>
          <w:szCs w:val="24"/>
          <w:lang w:val="de-DE" w:eastAsia="fr-FR"/>
        </w:rPr>
        <w:t>BEIGEFÜGTE VERORDNUNG (ADN)</w:t>
      </w:r>
    </w:p>
    <w:p w:rsidR="00096154" w:rsidRPr="002D3FF9" w:rsidRDefault="00096154" w:rsidP="00096154">
      <w:pPr>
        <w:tabs>
          <w:tab w:val="left" w:pos="2977"/>
        </w:tabs>
        <w:spacing w:after="0"/>
        <w:ind w:left="3958"/>
        <w:rPr>
          <w:rFonts w:ascii="Arial" w:hAnsi="Arial"/>
          <w:noProof/>
          <w:snapToGrid w:val="0"/>
          <w:sz w:val="16"/>
          <w:szCs w:val="24"/>
          <w:lang w:val="de-DE" w:eastAsia="fr-FR"/>
        </w:rPr>
      </w:pPr>
      <w:r w:rsidRPr="002D3FF9">
        <w:rPr>
          <w:rFonts w:ascii="Arial" w:hAnsi="Arial"/>
          <w:noProof/>
          <w:snapToGrid w:val="0"/>
          <w:sz w:val="16"/>
          <w:szCs w:val="24"/>
          <w:lang w:val="de-DE" w:eastAsia="fr-FR"/>
        </w:rPr>
        <w:t>(SICHERHEITSAUSSCHUSS)</w:t>
      </w:r>
    </w:p>
    <w:p w:rsidR="00096154" w:rsidRPr="002D3FF9" w:rsidRDefault="00096154" w:rsidP="00096154">
      <w:pPr>
        <w:tabs>
          <w:tab w:val="left" w:pos="2977"/>
        </w:tabs>
        <w:spacing w:after="0"/>
        <w:ind w:left="3960"/>
        <w:rPr>
          <w:rFonts w:ascii="Arial" w:hAnsi="Arial"/>
          <w:snapToGrid w:val="0"/>
          <w:sz w:val="16"/>
          <w:szCs w:val="24"/>
          <w:lang w:val="de-DE" w:eastAsia="fr-FR"/>
        </w:rPr>
      </w:pPr>
      <w:r w:rsidRPr="002D3FF9">
        <w:rPr>
          <w:rFonts w:ascii="Arial" w:hAnsi="Arial"/>
          <w:snapToGrid w:val="0"/>
          <w:sz w:val="16"/>
          <w:szCs w:val="24"/>
          <w:lang w:val="de-DE" w:eastAsia="fr-FR"/>
        </w:rPr>
        <w:t>(3</w:t>
      </w:r>
      <w:r w:rsidR="008B36BE" w:rsidRPr="002D3FF9">
        <w:rPr>
          <w:rFonts w:ascii="Arial" w:hAnsi="Arial"/>
          <w:snapToGrid w:val="0"/>
          <w:sz w:val="16"/>
          <w:szCs w:val="24"/>
          <w:lang w:val="de-DE" w:eastAsia="fr-FR"/>
        </w:rPr>
        <w:t>3</w:t>
      </w:r>
      <w:r w:rsidRPr="002D3FF9">
        <w:rPr>
          <w:rFonts w:ascii="Arial" w:hAnsi="Arial"/>
          <w:snapToGrid w:val="0"/>
          <w:sz w:val="16"/>
          <w:szCs w:val="24"/>
          <w:lang w:val="de-DE" w:eastAsia="fr-FR"/>
        </w:rPr>
        <w:t>. Tagung, Genf, 2</w:t>
      </w:r>
      <w:r w:rsidR="008B36BE" w:rsidRPr="002D3FF9">
        <w:rPr>
          <w:rFonts w:ascii="Arial" w:hAnsi="Arial"/>
          <w:snapToGrid w:val="0"/>
          <w:sz w:val="16"/>
          <w:szCs w:val="24"/>
          <w:lang w:val="de-DE" w:eastAsia="fr-FR"/>
        </w:rPr>
        <w:t>7</w:t>
      </w:r>
      <w:r w:rsidRPr="002D3FF9">
        <w:rPr>
          <w:rFonts w:ascii="Arial" w:hAnsi="Arial"/>
          <w:snapToGrid w:val="0"/>
          <w:sz w:val="16"/>
          <w:szCs w:val="24"/>
          <w:lang w:val="de-DE" w:eastAsia="fr-FR"/>
        </w:rPr>
        <w:t>. bis 3</w:t>
      </w:r>
      <w:r w:rsidR="002D3FF9" w:rsidRPr="002D3FF9">
        <w:rPr>
          <w:rFonts w:ascii="Arial" w:hAnsi="Arial"/>
          <w:snapToGrid w:val="0"/>
          <w:sz w:val="16"/>
          <w:szCs w:val="24"/>
          <w:lang w:val="de-DE" w:eastAsia="fr-FR"/>
        </w:rPr>
        <w:t>1</w:t>
      </w:r>
      <w:r w:rsidRPr="002D3FF9">
        <w:rPr>
          <w:rFonts w:ascii="Arial" w:hAnsi="Arial"/>
          <w:snapToGrid w:val="0"/>
          <w:sz w:val="16"/>
          <w:szCs w:val="24"/>
          <w:lang w:val="de-DE" w:eastAsia="fr-FR"/>
        </w:rPr>
        <w:t>. August 201</w:t>
      </w:r>
      <w:r w:rsidR="008B36BE" w:rsidRPr="002D3FF9">
        <w:rPr>
          <w:rFonts w:ascii="Arial" w:hAnsi="Arial"/>
          <w:snapToGrid w:val="0"/>
          <w:sz w:val="16"/>
          <w:szCs w:val="24"/>
          <w:lang w:val="de-DE" w:eastAsia="fr-FR"/>
        </w:rPr>
        <w:t>8</w:t>
      </w:r>
      <w:r w:rsidRPr="002D3FF9">
        <w:rPr>
          <w:rFonts w:ascii="Arial" w:hAnsi="Arial"/>
          <w:snapToGrid w:val="0"/>
          <w:sz w:val="16"/>
          <w:szCs w:val="24"/>
          <w:lang w:val="de-DE" w:eastAsia="fr-FR"/>
        </w:rPr>
        <w:t>)</w:t>
      </w:r>
    </w:p>
    <w:p w:rsidR="00096154" w:rsidRPr="002D3FF9" w:rsidRDefault="00096154" w:rsidP="00096154">
      <w:pPr>
        <w:tabs>
          <w:tab w:val="left" w:pos="2977"/>
        </w:tabs>
        <w:spacing w:after="0"/>
        <w:ind w:left="3960"/>
        <w:rPr>
          <w:rFonts w:ascii="Arial" w:hAnsi="Arial" w:cs="Arial"/>
          <w:sz w:val="16"/>
          <w:szCs w:val="16"/>
          <w:lang w:val="de-DE"/>
        </w:rPr>
      </w:pPr>
      <w:r w:rsidRPr="002D3FF9">
        <w:rPr>
          <w:rFonts w:ascii="Arial" w:hAnsi="Arial" w:cs="Arial"/>
          <w:sz w:val="16"/>
          <w:szCs w:val="16"/>
          <w:lang w:val="de-DE"/>
        </w:rPr>
        <w:t xml:space="preserve">Punkt </w:t>
      </w:r>
      <w:r w:rsidR="002D3FF9" w:rsidRPr="002D3FF9">
        <w:rPr>
          <w:rFonts w:ascii="Arial" w:hAnsi="Arial" w:cs="Arial"/>
          <w:sz w:val="16"/>
          <w:szCs w:val="16"/>
          <w:lang w:val="de-DE"/>
        </w:rPr>
        <w:t>5</w:t>
      </w:r>
      <w:r w:rsidRPr="002D3FF9">
        <w:rPr>
          <w:rFonts w:ascii="Arial" w:hAnsi="Arial" w:cs="Arial"/>
          <w:sz w:val="16"/>
          <w:szCs w:val="16"/>
          <w:lang w:val="de-DE"/>
        </w:rPr>
        <w:t>) zur vorläufigen Tagesordnung</w:t>
      </w:r>
    </w:p>
    <w:p w:rsidR="00096154" w:rsidRPr="002D3FF9" w:rsidRDefault="002D3FF9" w:rsidP="00096154">
      <w:pPr>
        <w:tabs>
          <w:tab w:val="left" w:pos="2977"/>
        </w:tabs>
        <w:spacing w:after="0"/>
        <w:ind w:left="3960"/>
        <w:rPr>
          <w:rFonts w:ascii="Arial" w:hAnsi="Arial" w:cs="Arial"/>
          <w:b/>
          <w:sz w:val="16"/>
          <w:szCs w:val="16"/>
          <w:lang w:val="de-DE"/>
        </w:rPr>
      </w:pPr>
      <w:r w:rsidRPr="002D3FF9">
        <w:rPr>
          <w:rFonts w:ascii="Arial" w:hAnsi="Arial" w:cs="Arial"/>
          <w:b/>
          <w:sz w:val="16"/>
          <w:szCs w:val="16"/>
          <w:lang w:val="de-DE"/>
        </w:rPr>
        <w:t>Berichte informeller Arbeitsgruppen</w:t>
      </w:r>
    </w:p>
    <w:p w:rsidR="00096154" w:rsidRDefault="00096154" w:rsidP="00096154">
      <w:pPr>
        <w:widowControl w:val="0"/>
        <w:overflowPunct w:val="0"/>
        <w:autoSpaceDE w:val="0"/>
        <w:autoSpaceDN w:val="0"/>
        <w:adjustRightInd w:val="0"/>
        <w:spacing w:after="0"/>
        <w:jc w:val="both"/>
        <w:textAlignment w:val="baseline"/>
        <w:rPr>
          <w:rFonts w:ascii="Arial" w:hAnsi="Arial"/>
          <w:sz w:val="22"/>
          <w:lang w:val="de-DE" w:eastAsia="fr-FR"/>
        </w:rPr>
      </w:pPr>
    </w:p>
    <w:p w:rsidR="00EA6E78" w:rsidRPr="00EA6E78" w:rsidRDefault="00EA6E78" w:rsidP="00444304">
      <w:pPr>
        <w:keepNext/>
        <w:keepLines/>
        <w:tabs>
          <w:tab w:val="right" w:pos="851"/>
        </w:tabs>
        <w:suppressAutoHyphens/>
        <w:spacing w:before="240" w:after="120" w:line="240" w:lineRule="atLeast"/>
        <w:ind w:left="1134" w:right="1134" w:hanging="1134"/>
        <w:rPr>
          <w:b/>
          <w:sz w:val="28"/>
        </w:rPr>
      </w:pPr>
      <w:r w:rsidRPr="00EA6E78">
        <w:rPr>
          <w:b/>
          <w:sz w:val="28"/>
        </w:rPr>
        <w:tab/>
      </w:r>
      <w:r w:rsidRPr="00EA6E78">
        <w:rPr>
          <w:b/>
          <w:sz w:val="28"/>
        </w:rPr>
        <w:tab/>
      </w:r>
      <w:r w:rsidRPr="00EA6E78">
        <w:rPr>
          <w:b/>
          <w:bCs/>
          <w:iCs/>
          <w:sz w:val="28"/>
          <w:lang w:val="de-DE"/>
        </w:rPr>
        <w:t>Bericht der informellen Arbeitsgruppe „Membrantanks“</w:t>
      </w:r>
    </w:p>
    <w:p w:rsidR="00EA6E78" w:rsidRPr="00EA6E78" w:rsidRDefault="00EA6E78" w:rsidP="00EA6E78">
      <w:pPr>
        <w:keepNext/>
        <w:keepLines/>
        <w:tabs>
          <w:tab w:val="right" w:pos="851"/>
        </w:tabs>
        <w:suppressAutoHyphens/>
        <w:spacing w:before="240" w:line="270" w:lineRule="exact"/>
        <w:ind w:left="1134" w:right="1134" w:hanging="1134"/>
        <w:rPr>
          <w:b/>
          <w:bCs/>
          <w:spacing w:val="-6"/>
          <w:sz w:val="20"/>
          <w:vertAlign w:val="superscript"/>
          <w:lang w:val="en-US"/>
        </w:rPr>
      </w:pPr>
      <w:r w:rsidRPr="00EA6E78">
        <w:rPr>
          <w:b/>
        </w:rPr>
        <w:tab/>
      </w:r>
      <w:r w:rsidRPr="00EA6E78">
        <w:rPr>
          <w:b/>
        </w:rPr>
        <w:tab/>
      </w:r>
      <w:r w:rsidRPr="00EA6E78">
        <w:rPr>
          <w:b/>
          <w:spacing w:val="-6"/>
          <w:lang w:val="de-DE"/>
        </w:rPr>
        <w:t>Eingereicht von Belgien, Frankreich und den Niederlanden</w:t>
      </w:r>
      <w:r w:rsidRPr="00EA6E78">
        <w:rPr>
          <w:b/>
          <w:bCs/>
          <w:spacing w:val="-6"/>
          <w:sz w:val="20"/>
          <w:vertAlign w:val="superscript"/>
          <w:lang w:val="de-DE"/>
        </w:rPr>
        <w:footnoteReference w:customMarkFollows="1" w:id="2"/>
        <w:t>*,</w:t>
      </w:r>
      <w:r w:rsidRPr="00EA6E78">
        <w:rPr>
          <w:b/>
          <w:bCs/>
          <w:spacing w:val="-6"/>
          <w:sz w:val="20"/>
          <w:vertAlign w:val="superscript"/>
          <w:lang w:val="de-DE"/>
        </w:rPr>
        <w:footnoteReference w:customMarkFollows="1" w:id="3"/>
        <w:t>**</w:t>
      </w:r>
    </w:p>
    <w:tbl>
      <w:tblPr>
        <w:tblW w:w="850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2"/>
        <w:gridCol w:w="5953"/>
      </w:tblGrid>
      <w:tr w:rsidR="00EA6E78" w:rsidRPr="00EA6E78" w:rsidTr="008E68EB">
        <w:trPr>
          <w:jc w:val="center"/>
        </w:trPr>
        <w:tc>
          <w:tcPr>
            <w:tcW w:w="2552" w:type="dxa"/>
            <w:tcBorders>
              <w:top w:val="single" w:sz="4" w:space="0" w:color="auto"/>
            </w:tcBorders>
          </w:tcPr>
          <w:p w:rsidR="00EA6E78" w:rsidRPr="00EA6E78" w:rsidRDefault="00EA6E78" w:rsidP="00EA6E78">
            <w:pPr>
              <w:tabs>
                <w:tab w:val="left" w:pos="284"/>
              </w:tabs>
              <w:suppressAutoHyphens/>
              <w:spacing w:before="120" w:after="120" w:line="240" w:lineRule="atLeast"/>
              <w:rPr>
                <w:sz w:val="20"/>
              </w:rPr>
            </w:pPr>
            <w:r w:rsidRPr="00EA6E78">
              <w:rPr>
                <w:i/>
                <w:lang w:val="de-DE"/>
              </w:rPr>
              <w:t>Zusammenfassung</w:t>
            </w:r>
          </w:p>
        </w:tc>
        <w:tc>
          <w:tcPr>
            <w:tcW w:w="5953" w:type="dxa"/>
            <w:tcBorders>
              <w:top w:val="single" w:sz="4" w:space="0" w:color="auto"/>
            </w:tcBorders>
          </w:tcPr>
          <w:p w:rsidR="00EA6E78" w:rsidRPr="00EA6E78" w:rsidRDefault="00EA6E78" w:rsidP="00EA6E78">
            <w:pPr>
              <w:suppressAutoHyphens/>
              <w:spacing w:before="120" w:after="120" w:line="240" w:lineRule="atLeast"/>
              <w:rPr>
                <w:sz w:val="20"/>
              </w:rPr>
            </w:pPr>
          </w:p>
        </w:tc>
      </w:tr>
      <w:tr w:rsidR="00EA6E78" w:rsidRPr="00EA6E78" w:rsidTr="008E68EB">
        <w:trPr>
          <w:jc w:val="center"/>
        </w:trPr>
        <w:tc>
          <w:tcPr>
            <w:tcW w:w="2552" w:type="dxa"/>
          </w:tcPr>
          <w:p w:rsidR="00EA6E78" w:rsidRPr="00EA6E78" w:rsidRDefault="00EA6E78" w:rsidP="00EA6E78">
            <w:pPr>
              <w:tabs>
                <w:tab w:val="left" w:pos="284"/>
              </w:tabs>
              <w:suppressAutoHyphens/>
              <w:spacing w:after="0" w:line="240" w:lineRule="atLeast"/>
              <w:rPr>
                <w:sz w:val="20"/>
              </w:rPr>
            </w:pPr>
            <w:r w:rsidRPr="00EA6E78">
              <w:rPr>
                <w:b/>
                <w:sz w:val="20"/>
                <w:lang w:val="de-DE"/>
              </w:rPr>
              <w:t>Analytische Zusammenfassung:</w:t>
            </w:r>
          </w:p>
        </w:tc>
        <w:tc>
          <w:tcPr>
            <w:tcW w:w="5953" w:type="dxa"/>
          </w:tcPr>
          <w:p w:rsidR="00EA6E78" w:rsidRPr="00EA6E78" w:rsidRDefault="00EA6E78" w:rsidP="00EA6E78">
            <w:pPr>
              <w:suppressAutoHyphens/>
              <w:spacing w:after="0" w:line="240" w:lineRule="atLeast"/>
              <w:rPr>
                <w:sz w:val="20"/>
              </w:rPr>
            </w:pPr>
            <w:r w:rsidRPr="00EA6E78">
              <w:rPr>
                <w:bCs/>
                <w:sz w:val="20"/>
                <w:szCs w:val="24"/>
                <w:lang w:val="de-DE"/>
              </w:rPr>
              <w:t>Das Dokument enthält eine Zusammenfassung der ersten Sitzungen der informellen Arbeitsgruppe „Membrantanks“.</w:t>
            </w:r>
            <w:r w:rsidRPr="00EA6E78">
              <w:rPr>
                <w:bCs/>
                <w:sz w:val="20"/>
                <w:szCs w:val="24"/>
              </w:rPr>
              <w:t xml:space="preserve"> </w:t>
            </w:r>
            <w:r w:rsidRPr="00EA6E78">
              <w:rPr>
                <w:bCs/>
                <w:sz w:val="20"/>
                <w:szCs w:val="24"/>
                <w:lang w:val="de-DE"/>
              </w:rPr>
              <w:t>Die informelle Arbeitsgruppe unterstützt die Einführung von Membrantanks auf Binnenschiffen, da dadurch eine sichere und effizientere Beförderung von verflüssigtem Erdgas (LNG) und anderen verflüssigten Gasen durch Binnenschiffe ermöglicht wird.</w:t>
            </w:r>
          </w:p>
        </w:tc>
      </w:tr>
      <w:tr w:rsidR="00EA6E78" w:rsidRPr="00EA6E78" w:rsidTr="008E68EB">
        <w:trPr>
          <w:trHeight w:val="509"/>
          <w:jc w:val="center"/>
        </w:trPr>
        <w:tc>
          <w:tcPr>
            <w:tcW w:w="2552" w:type="dxa"/>
          </w:tcPr>
          <w:p w:rsidR="00EA6E78" w:rsidRPr="00EA6E78" w:rsidRDefault="00EA6E78" w:rsidP="00EA6E78">
            <w:pPr>
              <w:tabs>
                <w:tab w:val="left" w:pos="284"/>
              </w:tabs>
              <w:suppressAutoHyphens/>
              <w:spacing w:before="120" w:after="0" w:line="240" w:lineRule="atLeast"/>
              <w:rPr>
                <w:b/>
                <w:sz w:val="20"/>
              </w:rPr>
            </w:pPr>
            <w:r w:rsidRPr="00EA6E78">
              <w:rPr>
                <w:b/>
                <w:sz w:val="20"/>
                <w:lang w:val="de-DE"/>
              </w:rPr>
              <w:t>Zu ergreifende Maßnahme:</w:t>
            </w:r>
          </w:p>
        </w:tc>
        <w:tc>
          <w:tcPr>
            <w:tcW w:w="5953" w:type="dxa"/>
          </w:tcPr>
          <w:p w:rsidR="00EA6E78" w:rsidRPr="00EA6E78" w:rsidRDefault="00EA6E78" w:rsidP="00EA6E78">
            <w:pPr>
              <w:suppressAutoHyphens/>
              <w:spacing w:before="120" w:after="0" w:line="240" w:lineRule="atLeast"/>
              <w:rPr>
                <w:sz w:val="20"/>
              </w:rPr>
            </w:pPr>
            <w:r w:rsidRPr="00EA6E78">
              <w:rPr>
                <w:sz w:val="20"/>
                <w:lang w:val="de-DE"/>
              </w:rPr>
              <w:t>Der Sicherheitsausschuss wird ersucht, den Bericht zu erörtern und zu entscheiden, welche der in Absatz 15 beschriebenen Optionen er hinsichtlich der Aufnahme von Membrantanks in die dem ADN beigefügte Verordnung bevorzugt.</w:t>
            </w:r>
          </w:p>
        </w:tc>
      </w:tr>
      <w:tr w:rsidR="00EA6E78" w:rsidRPr="00EA6E78" w:rsidTr="008E68EB">
        <w:trPr>
          <w:jc w:val="center"/>
        </w:trPr>
        <w:tc>
          <w:tcPr>
            <w:tcW w:w="2552" w:type="dxa"/>
            <w:tcBorders>
              <w:bottom w:val="single" w:sz="4" w:space="0" w:color="auto"/>
            </w:tcBorders>
          </w:tcPr>
          <w:p w:rsidR="00EA6E78" w:rsidRPr="00EA6E78" w:rsidRDefault="00EA6E78" w:rsidP="00EA6E78">
            <w:pPr>
              <w:tabs>
                <w:tab w:val="left" w:pos="284"/>
              </w:tabs>
              <w:suppressAutoHyphens/>
              <w:spacing w:before="120" w:after="120" w:line="240" w:lineRule="atLeast"/>
              <w:rPr>
                <w:b/>
                <w:sz w:val="20"/>
              </w:rPr>
            </w:pPr>
            <w:r w:rsidRPr="00EA6E78">
              <w:rPr>
                <w:b/>
                <w:sz w:val="20"/>
                <w:lang w:val="de-DE"/>
              </w:rPr>
              <w:t>Verbundene Dokumente:</w:t>
            </w:r>
          </w:p>
        </w:tc>
        <w:tc>
          <w:tcPr>
            <w:tcW w:w="5953" w:type="dxa"/>
            <w:tcBorders>
              <w:bottom w:val="single" w:sz="4" w:space="0" w:color="auto"/>
            </w:tcBorders>
          </w:tcPr>
          <w:p w:rsidR="00EA6E78" w:rsidRPr="00EA6E78" w:rsidRDefault="00EA6E78" w:rsidP="00EA6E78">
            <w:pPr>
              <w:suppressAutoHyphens/>
              <w:spacing w:before="120" w:after="0" w:line="240" w:lineRule="atLeast"/>
              <w:rPr>
                <w:sz w:val="20"/>
              </w:rPr>
            </w:pPr>
            <w:r w:rsidRPr="00EA6E78">
              <w:rPr>
                <w:sz w:val="20"/>
                <w:lang w:val="de-DE"/>
              </w:rPr>
              <w:t xml:space="preserve">Informelles Dokument </w:t>
            </w:r>
            <w:bookmarkStart w:id="1" w:name="WfCopyCase"/>
            <w:r w:rsidRPr="00EA6E78">
              <w:rPr>
                <w:sz w:val="20"/>
                <w:lang w:val="de-DE"/>
              </w:rPr>
              <w:t>INF.6</w:t>
            </w:r>
            <w:bookmarkEnd w:id="1"/>
            <w:r w:rsidRPr="00EA6E78">
              <w:rPr>
                <w:sz w:val="20"/>
                <w:lang w:val="de-DE"/>
              </w:rPr>
              <w:t xml:space="preserve"> der siebenundzwanzigsten Sitzung</w:t>
            </w:r>
          </w:p>
          <w:p w:rsidR="00EA6E78" w:rsidRPr="00EA6E78" w:rsidRDefault="00EA6E78" w:rsidP="00EA6E78">
            <w:pPr>
              <w:suppressAutoHyphens/>
              <w:spacing w:after="0" w:line="240" w:lineRule="atLeast"/>
              <w:rPr>
                <w:sz w:val="20"/>
              </w:rPr>
            </w:pPr>
            <w:r w:rsidRPr="00EA6E78">
              <w:rPr>
                <w:sz w:val="20"/>
                <w:lang w:val="de-DE"/>
              </w:rPr>
              <w:t>ECE/TRANS/WP.15/AC.2/56 (Absätze 9 - 12)</w:t>
            </w:r>
          </w:p>
          <w:p w:rsidR="00EA6E78" w:rsidRPr="00EA6E78" w:rsidRDefault="00EA6E78" w:rsidP="00EA6E78">
            <w:pPr>
              <w:suppressAutoHyphens/>
              <w:spacing w:after="0" w:line="240" w:lineRule="atLeast"/>
              <w:rPr>
                <w:sz w:val="20"/>
              </w:rPr>
            </w:pPr>
            <w:r w:rsidRPr="00EA6E78">
              <w:rPr>
                <w:sz w:val="20"/>
                <w:lang w:val="de-DE"/>
              </w:rPr>
              <w:t>ECE/ADN/33 (Absatz 12 und Anlage II)</w:t>
            </w:r>
          </w:p>
          <w:p w:rsidR="00EA6E78" w:rsidRPr="00EA6E78" w:rsidRDefault="00EA6E78" w:rsidP="00EA6E78">
            <w:pPr>
              <w:suppressAutoHyphens/>
              <w:spacing w:after="0" w:line="240" w:lineRule="atLeast"/>
              <w:rPr>
                <w:sz w:val="20"/>
              </w:rPr>
            </w:pPr>
            <w:r w:rsidRPr="00EA6E78">
              <w:rPr>
                <w:sz w:val="20"/>
                <w:lang w:val="de-DE"/>
              </w:rPr>
              <w:t>Informelles Dokument INF.26 der einunddreißigsten Sitzung</w:t>
            </w:r>
          </w:p>
          <w:p w:rsidR="00EA6E78" w:rsidRPr="00EA6E78" w:rsidRDefault="00EA6E78" w:rsidP="00EA6E78">
            <w:pPr>
              <w:suppressAutoHyphens/>
              <w:spacing w:after="120" w:line="240" w:lineRule="atLeast"/>
              <w:rPr>
                <w:sz w:val="20"/>
              </w:rPr>
            </w:pPr>
            <w:r w:rsidRPr="00EA6E78">
              <w:rPr>
                <w:sz w:val="20"/>
                <w:lang w:val="de-DE"/>
              </w:rPr>
              <w:t>ECE/TRANS/WP.15/AC.2/64 (Absatz 62)</w:t>
            </w:r>
          </w:p>
        </w:tc>
      </w:tr>
    </w:tbl>
    <w:p w:rsidR="00EA6E78" w:rsidRDefault="00EA6E78">
      <w:pPr>
        <w:spacing w:after="0"/>
        <w:rPr>
          <w:b/>
          <w:sz w:val="28"/>
        </w:rPr>
      </w:pPr>
      <w:r>
        <w:rPr>
          <w:b/>
          <w:sz w:val="28"/>
        </w:rPr>
        <w:br w:type="page"/>
      </w:r>
    </w:p>
    <w:p w:rsidR="00EA6E78" w:rsidRPr="00EA6E78" w:rsidRDefault="00EA6E78" w:rsidP="00EA6E78">
      <w:pPr>
        <w:keepNext/>
        <w:keepLines/>
        <w:tabs>
          <w:tab w:val="right" w:pos="851"/>
        </w:tabs>
        <w:suppressAutoHyphens/>
        <w:spacing w:before="360" w:line="300" w:lineRule="exact"/>
        <w:ind w:left="1134" w:right="1134" w:hanging="1134"/>
        <w:rPr>
          <w:b/>
          <w:sz w:val="28"/>
        </w:rPr>
      </w:pPr>
      <w:r w:rsidRPr="00EA6E78">
        <w:rPr>
          <w:b/>
          <w:sz w:val="28"/>
        </w:rPr>
        <w:lastRenderedPageBreak/>
        <w:tab/>
      </w:r>
      <w:r w:rsidRPr="00EA6E78">
        <w:rPr>
          <w:b/>
          <w:sz w:val="28"/>
        </w:rPr>
        <w:tab/>
      </w:r>
      <w:r w:rsidRPr="00EA6E78">
        <w:rPr>
          <w:b/>
          <w:sz w:val="28"/>
          <w:lang w:val="de-DE"/>
        </w:rPr>
        <w:t>Einleitung</w:t>
      </w:r>
    </w:p>
    <w:p w:rsidR="00EA6E78" w:rsidRPr="00EA6E78" w:rsidRDefault="00EA6E78" w:rsidP="00EA6E78">
      <w:pPr>
        <w:suppressAutoHyphens/>
        <w:spacing w:after="120" w:line="240" w:lineRule="atLeast"/>
        <w:ind w:left="1134" w:right="1134"/>
        <w:jc w:val="both"/>
        <w:rPr>
          <w:sz w:val="20"/>
        </w:rPr>
      </w:pPr>
      <w:r w:rsidRPr="00EA6E78">
        <w:rPr>
          <w:sz w:val="20"/>
        </w:rPr>
        <w:t>1.</w:t>
      </w:r>
      <w:r w:rsidRPr="00EA6E78">
        <w:rPr>
          <w:sz w:val="20"/>
        </w:rPr>
        <w:tab/>
      </w:r>
      <w:r w:rsidRPr="00EA6E78">
        <w:rPr>
          <w:sz w:val="20"/>
          <w:lang w:val="de-DE"/>
        </w:rPr>
        <w:t>Am 7. und 8. März 2018 fand die erste Sitzung der informellen Arbeitsgruppe „Membrantanks“ im französischen Ministerium für den ökologischen und solidarischen Übergang in Paris, Frankreich, statt.</w:t>
      </w:r>
      <w:r w:rsidRPr="00EA6E78">
        <w:rPr>
          <w:sz w:val="20"/>
        </w:rPr>
        <w:t xml:space="preserve"> </w:t>
      </w:r>
      <w:r w:rsidRPr="00EA6E78">
        <w:rPr>
          <w:sz w:val="20"/>
          <w:lang w:val="de-DE"/>
        </w:rPr>
        <w:t>An der Sitzung nahmen Delegierte aus Belgien, Frankreich und den Niederlanden sowie Vertreter von Bureau Veritas und der Industrie teil.</w:t>
      </w:r>
    </w:p>
    <w:p w:rsidR="00EA6E78" w:rsidRPr="00EA6E78" w:rsidRDefault="00EA6E78" w:rsidP="00EA6E78">
      <w:pPr>
        <w:suppressAutoHyphens/>
        <w:spacing w:after="120" w:line="240" w:lineRule="atLeast"/>
        <w:ind w:left="1134" w:right="1134"/>
        <w:jc w:val="both"/>
        <w:rPr>
          <w:sz w:val="20"/>
        </w:rPr>
      </w:pPr>
      <w:r w:rsidRPr="00EA6E78">
        <w:rPr>
          <w:sz w:val="20"/>
        </w:rPr>
        <w:t>2.</w:t>
      </w:r>
      <w:r w:rsidRPr="00EA6E78">
        <w:rPr>
          <w:sz w:val="20"/>
        </w:rPr>
        <w:tab/>
      </w:r>
      <w:r w:rsidRPr="00EA6E78">
        <w:rPr>
          <w:sz w:val="20"/>
          <w:lang w:val="de-DE"/>
        </w:rPr>
        <w:t>Nach Erörterung des Mandats der informellen Arbeitsgruppe gemäß dem informellen Dokument INF.26 der einunddreißigsten Sitzung hielt der Industrievertreter einen Vortrag über die Technik und die historische und aktuelle Verwendung von Membrantanks im Seeverkehr.</w:t>
      </w:r>
      <w:r w:rsidRPr="00EA6E78">
        <w:rPr>
          <w:sz w:val="20"/>
        </w:rPr>
        <w:t xml:space="preserve"> </w:t>
      </w:r>
      <w:r w:rsidRPr="00EA6E78">
        <w:rPr>
          <w:sz w:val="20"/>
          <w:lang w:val="de-DE"/>
        </w:rPr>
        <w:t>Im Anschluss an den Vortrag führten die Teilnehmer eine ausführliche Diskussion über die Verwendung von Membrantanks in der Binnenschifffahrt bei gleichzeitiger Wahrung des hohen Sicherheitsniveaus in diesem Sektor.</w:t>
      </w:r>
    </w:p>
    <w:p w:rsidR="00EA6E78" w:rsidRPr="00EA6E78" w:rsidRDefault="00EA6E78" w:rsidP="00EA6E78">
      <w:pPr>
        <w:suppressAutoHyphens/>
        <w:spacing w:after="120" w:line="240" w:lineRule="atLeast"/>
        <w:ind w:left="1134" w:right="1134"/>
        <w:jc w:val="both"/>
        <w:rPr>
          <w:sz w:val="20"/>
        </w:rPr>
      </w:pPr>
      <w:r w:rsidRPr="00EA6E78">
        <w:rPr>
          <w:sz w:val="20"/>
        </w:rPr>
        <w:t>3.</w:t>
      </w:r>
      <w:r w:rsidRPr="00EA6E78">
        <w:rPr>
          <w:sz w:val="20"/>
        </w:rPr>
        <w:tab/>
      </w:r>
      <w:r w:rsidRPr="00EA6E78">
        <w:rPr>
          <w:sz w:val="20"/>
          <w:lang w:val="de-DE"/>
        </w:rPr>
        <w:t>Die Teilnehmer der informellen Arbeitsgruppe äußerten den gemeinsamen Wunsch, die Weiterentwicklung von Techniken und Innovationen, die allgemein zur Binnenschifffahrt beitragen, zu unterstützen, vorausgesetzt natürlich, die Innovationen unterstützen auch das Bestreben des ADN-Sicherheitsausschusses, die sichere Beförderung gefährlicher Güter kontinuierlich zu verbessern.</w:t>
      </w:r>
    </w:p>
    <w:p w:rsidR="00EA6E78" w:rsidRPr="00EA6E78" w:rsidRDefault="00EA6E78" w:rsidP="00EA6E78">
      <w:pPr>
        <w:suppressAutoHyphens/>
        <w:spacing w:after="120" w:line="240" w:lineRule="atLeast"/>
        <w:ind w:left="1134" w:right="1134"/>
        <w:jc w:val="both"/>
        <w:rPr>
          <w:sz w:val="20"/>
        </w:rPr>
      </w:pPr>
      <w:r w:rsidRPr="00EA6E78">
        <w:rPr>
          <w:sz w:val="20"/>
        </w:rPr>
        <w:t>4.</w:t>
      </w:r>
      <w:r w:rsidRPr="00EA6E78">
        <w:rPr>
          <w:sz w:val="20"/>
        </w:rPr>
        <w:tab/>
      </w:r>
      <w:r w:rsidRPr="00EA6E78">
        <w:rPr>
          <w:sz w:val="20"/>
          <w:lang w:val="de-DE"/>
        </w:rPr>
        <w:t>Im spezifischen Fall der Membrantanks, die speziell für die Beförderung von LNG ausgelegt sind, hielten die Teilnehmer der informellen Arbeitsgruppe es für dringlich, diese Innovation zu unterstützen, um zur Umsetzung der Richtlinie 2014/94/EU über den Aufbau der Infrastruktur für alternative Kraftstoffe beizutragen.</w:t>
      </w:r>
    </w:p>
    <w:p w:rsidR="00EA6E78" w:rsidRPr="00EA6E78" w:rsidRDefault="00EA6E78" w:rsidP="00EA6E78">
      <w:pPr>
        <w:suppressAutoHyphens/>
        <w:spacing w:after="120" w:line="240" w:lineRule="atLeast"/>
        <w:ind w:left="1134" w:right="1134"/>
        <w:jc w:val="both"/>
        <w:rPr>
          <w:sz w:val="20"/>
        </w:rPr>
      </w:pPr>
      <w:r w:rsidRPr="00EA6E78">
        <w:rPr>
          <w:sz w:val="20"/>
        </w:rPr>
        <w:t>5.</w:t>
      </w:r>
      <w:r w:rsidRPr="00EA6E78">
        <w:rPr>
          <w:sz w:val="20"/>
        </w:rPr>
        <w:tab/>
      </w:r>
      <w:r w:rsidRPr="00EA6E78">
        <w:rPr>
          <w:sz w:val="20"/>
          <w:lang w:val="de-DE"/>
        </w:rPr>
        <w:t>Darüber hinaus kam die informelle Arbeitsgruppe zu dem Schluss, dass die Einführung von Membrantanks für die Beförderung von LNG wesentlich zur Effizienz und Sicherheit der Beförderung von LNG mit Binnenschiffen beiträgt.</w:t>
      </w:r>
    </w:p>
    <w:p w:rsidR="00EA6E78" w:rsidRPr="00EA6E78" w:rsidRDefault="00EA6E78" w:rsidP="00EA6E78">
      <w:pPr>
        <w:suppressAutoHyphens/>
        <w:spacing w:after="120" w:line="240" w:lineRule="atLeast"/>
        <w:ind w:left="1134" w:right="1134"/>
        <w:jc w:val="both"/>
        <w:rPr>
          <w:sz w:val="20"/>
        </w:rPr>
      </w:pPr>
      <w:r w:rsidRPr="00EA6E78">
        <w:rPr>
          <w:sz w:val="20"/>
        </w:rPr>
        <w:t>6.</w:t>
      </w:r>
      <w:r w:rsidRPr="00EA6E78">
        <w:rPr>
          <w:sz w:val="20"/>
        </w:rPr>
        <w:tab/>
      </w:r>
      <w:r w:rsidRPr="00EA6E78">
        <w:rPr>
          <w:sz w:val="20"/>
          <w:lang w:val="de-DE"/>
        </w:rPr>
        <w:t>Zudem wurde festgestellt, dass die Einsetzung der informellen Arbeitsgruppe eine positive Antwort auf das Ersuchen der Europäischen Binnenschifffahrts-Union (EBU) vom Juni 2017 an den ADN-Sicherheitsausschuss sei, „so bald wie möglich ein Membrantankverfahren für die Beförderung von LNG einzuführen“.</w:t>
      </w:r>
    </w:p>
    <w:p w:rsidR="00EA6E78" w:rsidRPr="00EA6E78" w:rsidRDefault="00EA6E78" w:rsidP="00EA6E78">
      <w:pPr>
        <w:suppressAutoHyphens/>
        <w:spacing w:after="120" w:line="240" w:lineRule="atLeast"/>
        <w:ind w:left="1134" w:right="1134"/>
        <w:jc w:val="both"/>
        <w:rPr>
          <w:sz w:val="20"/>
        </w:rPr>
      </w:pPr>
      <w:r w:rsidRPr="00EA6E78">
        <w:rPr>
          <w:sz w:val="20"/>
        </w:rPr>
        <w:t>7.</w:t>
      </w:r>
      <w:r w:rsidRPr="00EA6E78">
        <w:rPr>
          <w:sz w:val="20"/>
        </w:rPr>
        <w:tab/>
      </w:r>
      <w:r w:rsidRPr="00EA6E78">
        <w:rPr>
          <w:sz w:val="20"/>
          <w:lang w:val="de-DE"/>
        </w:rPr>
        <w:t>Am 2. Mai 2018 trafen die Teilnehmer der Pariser Sitzung am Sitz der flämischen Regierung in Antwerpen, Belgien, erneut zusammen.</w:t>
      </w:r>
      <w:r w:rsidRPr="00EA6E78">
        <w:rPr>
          <w:sz w:val="20"/>
        </w:rPr>
        <w:t xml:space="preserve"> </w:t>
      </w:r>
      <w:r w:rsidRPr="00EA6E78">
        <w:rPr>
          <w:sz w:val="20"/>
          <w:lang w:val="de-DE"/>
        </w:rPr>
        <w:t>Während dieses Treffens ermittelten die Teilnehmer mehrere Möglichkeiten, wie die Membrantanktechnik in die dem ADN beigefügte Verordnung aufgenommen werden kann.</w:t>
      </w:r>
    </w:p>
    <w:p w:rsidR="00EA6E78" w:rsidRPr="00EA6E78" w:rsidRDefault="00EA6E78" w:rsidP="00EA6E78">
      <w:pPr>
        <w:keepNext/>
        <w:keepLines/>
        <w:tabs>
          <w:tab w:val="right" w:pos="851"/>
        </w:tabs>
        <w:suppressAutoHyphens/>
        <w:spacing w:before="360" w:line="300" w:lineRule="exact"/>
        <w:ind w:left="1134" w:right="1134" w:hanging="1134"/>
        <w:rPr>
          <w:b/>
          <w:sz w:val="28"/>
        </w:rPr>
      </w:pPr>
      <w:r w:rsidRPr="00EA6E78">
        <w:rPr>
          <w:b/>
          <w:sz w:val="28"/>
        </w:rPr>
        <w:tab/>
      </w:r>
      <w:r w:rsidRPr="00EA6E78">
        <w:rPr>
          <w:b/>
          <w:sz w:val="28"/>
        </w:rPr>
        <w:tab/>
      </w:r>
      <w:r w:rsidRPr="00EA6E78">
        <w:rPr>
          <w:b/>
          <w:sz w:val="28"/>
          <w:lang w:val="de-DE"/>
        </w:rPr>
        <w:t>Membrantanktechnologie (siehe Abbildung 1)</w:t>
      </w:r>
    </w:p>
    <w:p w:rsidR="00EA6E78" w:rsidRPr="00EA6E78" w:rsidRDefault="00EA6E78" w:rsidP="00EA6E78">
      <w:pPr>
        <w:suppressAutoHyphens/>
        <w:spacing w:after="120" w:line="240" w:lineRule="atLeast"/>
        <w:ind w:left="1134" w:right="1134"/>
        <w:jc w:val="both"/>
        <w:rPr>
          <w:sz w:val="20"/>
        </w:rPr>
      </w:pPr>
      <w:r w:rsidRPr="00EA6E78">
        <w:rPr>
          <w:sz w:val="20"/>
        </w:rPr>
        <w:t>8.</w:t>
      </w:r>
      <w:r w:rsidRPr="00EA6E78">
        <w:rPr>
          <w:sz w:val="20"/>
        </w:rPr>
        <w:tab/>
      </w:r>
      <w:r w:rsidRPr="00EA6E78">
        <w:rPr>
          <w:sz w:val="20"/>
          <w:lang w:val="de-DE"/>
        </w:rPr>
        <w:t>Auf der Sitzung in Paris nahm die informelle Arbeitsgruppe die Ausführungen des Industrievertreters zu den technischen Details von Membrantanks und deren Verwendung zur Kenntnis.</w:t>
      </w:r>
      <w:r w:rsidRPr="00EA6E78">
        <w:rPr>
          <w:sz w:val="20"/>
        </w:rPr>
        <w:t xml:space="preserve"> </w:t>
      </w:r>
      <w:r w:rsidRPr="00EA6E78">
        <w:rPr>
          <w:sz w:val="20"/>
          <w:lang w:val="de-DE"/>
        </w:rPr>
        <w:t>Diese Technik wird seit über 50 Jahren im Seeverkehr eingesetzt.</w:t>
      </w:r>
      <w:r w:rsidRPr="00EA6E78">
        <w:rPr>
          <w:sz w:val="20"/>
        </w:rPr>
        <w:t xml:space="preserve"> </w:t>
      </w:r>
      <w:r w:rsidRPr="00EA6E78">
        <w:rPr>
          <w:sz w:val="20"/>
          <w:lang w:val="de-DE"/>
        </w:rPr>
        <w:t>Derzeit sind etwa 380 Seeschiffe mit etwa 1500 Membrantanks ausgestattet, die den spezifischen Anforderungen für Membrantanks auf Seeschiffen gemäß Kapitel 4.24 des Internationalen Codes der IMO für den Bau und die Ausrüstung von Schiffen, die Flüssiggase als Massengut befördern (IGC-Code) entsprechen.</w:t>
      </w:r>
      <w:r w:rsidRPr="00EA6E78">
        <w:rPr>
          <w:sz w:val="20"/>
        </w:rPr>
        <w:t xml:space="preserve"> </w:t>
      </w:r>
      <w:r w:rsidRPr="00EA6E78">
        <w:rPr>
          <w:sz w:val="20"/>
          <w:lang w:val="de-DE"/>
        </w:rPr>
        <w:t>In diesem 50-jährigen Zeitraum haben sich keine schweren Zwischenfälle mit Membrantanks auf Seeschiffen ereignet.</w:t>
      </w:r>
    </w:p>
    <w:p w:rsidR="00FB4A90" w:rsidRDefault="00FB4A90">
      <w:pPr>
        <w:spacing w:after="0"/>
        <w:rPr>
          <w:sz w:val="20"/>
        </w:rPr>
      </w:pPr>
      <w:r>
        <w:rPr>
          <w:sz w:val="20"/>
        </w:rPr>
        <w:br w:type="page"/>
      </w:r>
    </w:p>
    <w:p w:rsidR="00EA6E78" w:rsidRPr="00EA6E78" w:rsidRDefault="00EA6E78" w:rsidP="00EA6E78">
      <w:pPr>
        <w:suppressAutoHyphens/>
        <w:spacing w:after="120" w:line="240" w:lineRule="atLeast"/>
        <w:ind w:left="1134" w:right="1134"/>
        <w:jc w:val="both"/>
        <w:rPr>
          <w:sz w:val="20"/>
        </w:rPr>
      </w:pPr>
      <w:r w:rsidRPr="00EA6E78">
        <w:rPr>
          <w:sz w:val="20"/>
        </w:rPr>
        <w:lastRenderedPageBreak/>
        <w:t>9.</w:t>
      </w:r>
      <w:r w:rsidRPr="00EA6E78">
        <w:rPr>
          <w:sz w:val="20"/>
        </w:rPr>
        <w:tab/>
      </w:r>
      <w:r w:rsidRPr="00EA6E78">
        <w:rPr>
          <w:sz w:val="20"/>
          <w:lang w:val="de-DE"/>
        </w:rPr>
        <w:t>Ein Schiff mit Membrantanks wird mit einer vollständigen Doppelhülle (Außenhülle und Innenhülle), mit einer kollisionssicheren Seitenstruktur, gebaut (gemäß Abschnitt 9.3.4 der dem ADN beigefügten Verordnung ist dies nachzuweisen, wenn der Ladetankinhalt 380 m</w:t>
      </w:r>
      <w:r w:rsidRPr="00EA6E78">
        <w:rPr>
          <w:sz w:val="20"/>
          <w:vertAlign w:val="superscript"/>
          <w:lang w:val="de-DE"/>
        </w:rPr>
        <w:t>2</w:t>
      </w:r>
      <w:r w:rsidRPr="00EA6E78">
        <w:rPr>
          <w:sz w:val="20"/>
          <w:lang w:val="de-DE"/>
        </w:rPr>
        <w:t xml:space="preserve"> übersteigt).</w:t>
      </w:r>
      <w:r w:rsidRPr="00EA6E78">
        <w:rPr>
          <w:sz w:val="20"/>
        </w:rPr>
        <w:t xml:space="preserve"> </w:t>
      </w:r>
      <w:r w:rsidRPr="00EA6E78">
        <w:rPr>
          <w:sz w:val="20"/>
          <w:lang w:val="de-DE"/>
        </w:rPr>
        <w:t>In der Innenhülle ist ein Membrantank eingebaut.</w:t>
      </w:r>
      <w:r w:rsidRPr="00EA6E78">
        <w:rPr>
          <w:sz w:val="20"/>
        </w:rPr>
        <w:t xml:space="preserve"> </w:t>
      </w:r>
      <w:r w:rsidRPr="00EA6E78">
        <w:rPr>
          <w:sz w:val="20"/>
          <w:lang w:val="de-DE"/>
        </w:rPr>
        <w:t>Membrantanks bestehen aus einer dünnen, flüssigkeits- und gasdichten Schicht (Membran), die durch die Isolierung der angrenzenden Rumpfkonstruktion gestützt wird.</w:t>
      </w:r>
      <w:r w:rsidRPr="00EA6E78">
        <w:rPr>
          <w:sz w:val="20"/>
        </w:rPr>
        <w:t xml:space="preserve"> </w:t>
      </w:r>
      <w:r w:rsidRPr="00EA6E78">
        <w:rPr>
          <w:sz w:val="20"/>
          <w:lang w:val="de-DE"/>
        </w:rPr>
        <w:t>Beispielsweise beginnt das (in rund 200 Seeschiffen vorhandene) Mark III-Membransystem von außen zunächst mit der Sekundärisolierung, die in der Innenhülle eingebaut ist, gefolgt von der zweiten Barriere (Membran), die aus einer 0,7 mm dicken flexiblen Dreifach-Membranschicht besteht.</w:t>
      </w:r>
      <w:r w:rsidRPr="00EA6E78">
        <w:rPr>
          <w:sz w:val="20"/>
        </w:rPr>
        <w:t xml:space="preserve"> </w:t>
      </w:r>
      <w:r w:rsidRPr="00EA6E78">
        <w:rPr>
          <w:sz w:val="20"/>
          <w:lang w:val="de-DE"/>
        </w:rPr>
        <w:t>Darin ist die Primärisolierung eingebaut, gefolgt von der ersten Barriere (Membran), die aus 1,2 mm dickem Edelstahl (Wellblech SUS 304L) besteht.</w:t>
      </w:r>
      <w:r w:rsidRPr="00EA6E78">
        <w:rPr>
          <w:sz w:val="20"/>
        </w:rPr>
        <w:t xml:space="preserve"> </w:t>
      </w:r>
      <w:r w:rsidRPr="00EA6E78">
        <w:rPr>
          <w:sz w:val="20"/>
          <w:lang w:val="de-DE"/>
        </w:rPr>
        <w:t>Die von den Industrievertretern der informellen Arbeitsgruppe vorgestellte Konstruktion und Technik ist vergleichbar mit der Technik und Konstruktion des Binnenschiffes Argos GL, für das der ADN-Verwaltungsausschuss im August 2015 eine Abweichung gewährt hat</w:t>
      </w:r>
      <w:r w:rsidRPr="00EA6E78">
        <w:rPr>
          <w:sz w:val="20"/>
          <w:vertAlign w:val="superscript"/>
          <w:lang w:val="de-DE"/>
        </w:rPr>
        <w:footnoteReference w:id="4"/>
      </w:r>
      <w:r w:rsidRPr="00EA6E78">
        <w:rPr>
          <w:sz w:val="20"/>
          <w:lang w:val="de-DE"/>
        </w:rPr>
        <w:t>.</w:t>
      </w:r>
      <w:r w:rsidRPr="00EA6E78">
        <w:rPr>
          <w:sz w:val="20"/>
        </w:rPr>
        <w:t xml:space="preserve"> </w:t>
      </w:r>
      <w:r w:rsidRPr="00EA6E78">
        <w:rPr>
          <w:sz w:val="20"/>
          <w:lang w:val="de-DE"/>
        </w:rPr>
        <w:t>Leider hat diese Abweichung aus wirtschaftlichen Gründen nie zum Bau eines konkreten Binnenschiffes geführt.</w:t>
      </w:r>
    </w:p>
    <w:p w:rsidR="00EA6E78" w:rsidRPr="00EA6E78" w:rsidRDefault="00EA6E78" w:rsidP="00EA6E78">
      <w:pPr>
        <w:suppressAutoHyphens/>
        <w:spacing w:after="120" w:line="240" w:lineRule="atLeast"/>
        <w:ind w:left="1134" w:right="1134"/>
        <w:jc w:val="both"/>
        <w:rPr>
          <w:sz w:val="20"/>
        </w:rPr>
      </w:pPr>
      <w:r w:rsidRPr="00EA6E78">
        <w:rPr>
          <w:sz w:val="20"/>
        </w:rPr>
        <w:t>10.</w:t>
      </w:r>
      <w:r w:rsidRPr="00EA6E78">
        <w:rPr>
          <w:sz w:val="20"/>
        </w:rPr>
        <w:tab/>
      </w:r>
      <w:r w:rsidRPr="00EA6E78">
        <w:rPr>
          <w:sz w:val="20"/>
          <w:lang w:val="de-DE"/>
        </w:rPr>
        <w:t>Sowohl die Primär- als auch die Sekundärisolierung sind mit Stickstoff inertisiert.</w:t>
      </w:r>
      <w:r w:rsidRPr="00EA6E78">
        <w:rPr>
          <w:sz w:val="20"/>
        </w:rPr>
        <w:t xml:space="preserve"> </w:t>
      </w:r>
      <w:r w:rsidRPr="00EA6E78">
        <w:rPr>
          <w:sz w:val="20"/>
          <w:lang w:val="de-DE"/>
        </w:rPr>
        <w:t>Mit aktiven Überwachungssystemen kann die Zusammensetzung des Gases, der Druck und die Temperatur für jeden Isolierbereich überwacht werden.</w:t>
      </w:r>
      <w:r w:rsidRPr="00EA6E78">
        <w:rPr>
          <w:sz w:val="20"/>
        </w:rPr>
        <w:t xml:space="preserve"> </w:t>
      </w:r>
      <w:r w:rsidRPr="00EA6E78">
        <w:rPr>
          <w:sz w:val="20"/>
          <w:lang w:val="de-DE"/>
        </w:rPr>
        <w:t>Plötzliche Veränderungen in der Zusammensetzung des Gases, ein Anstieg des Drucks oder ein Rückgang der Temperatur können auf eine Leckage in der ersten Barriere hindeuten.</w:t>
      </w:r>
      <w:r w:rsidRPr="00EA6E78">
        <w:rPr>
          <w:sz w:val="20"/>
        </w:rPr>
        <w:t xml:space="preserve"> </w:t>
      </w:r>
      <w:r w:rsidRPr="00EA6E78">
        <w:rPr>
          <w:sz w:val="20"/>
          <w:lang w:val="de-DE"/>
        </w:rPr>
        <w:t>Das Vorhandensein von Stickstoff in den Isolierbereichen stellt sicher, dass in diesen Bereichen keine explosionsfähige Atmosphäre entstehen kann, da kein Sauerstoff vorhanden ist.</w:t>
      </w:r>
    </w:p>
    <w:p w:rsidR="00EA6E78" w:rsidRPr="00EA6E78" w:rsidRDefault="00EA6E78" w:rsidP="00EA6E78">
      <w:pPr>
        <w:suppressAutoHyphens/>
        <w:spacing w:after="0"/>
        <w:ind w:left="1134"/>
        <w:outlineLvl w:val="0"/>
        <w:rPr>
          <w:b/>
          <w:bCs/>
          <w:sz w:val="20"/>
        </w:rPr>
      </w:pPr>
      <w:r w:rsidRPr="00EA6E78">
        <w:rPr>
          <w:b/>
          <w:bCs/>
          <w:sz w:val="20"/>
          <w:lang w:val="de-DE"/>
        </w:rPr>
        <w:t>Abbildung 1</w:t>
      </w:r>
    </w:p>
    <w:p w:rsidR="00EA6E78" w:rsidRPr="00EA6E78" w:rsidRDefault="00EA6E78" w:rsidP="00EA6E78">
      <w:pPr>
        <w:kinsoku w:val="0"/>
        <w:overflowPunct w:val="0"/>
        <w:autoSpaceDE w:val="0"/>
        <w:autoSpaceDN w:val="0"/>
        <w:adjustRightInd w:val="0"/>
        <w:spacing w:after="0"/>
        <w:rPr>
          <w:sz w:val="20"/>
          <w:lang w:val="fr-FR" w:eastAsia="fr-FR"/>
        </w:rPr>
      </w:pPr>
    </w:p>
    <w:tbl>
      <w:tblPr>
        <w:tblW w:w="0" w:type="auto"/>
        <w:tblLook w:val="04A0" w:firstRow="1" w:lastRow="0" w:firstColumn="1" w:lastColumn="0" w:noHBand="0" w:noVBand="1"/>
      </w:tblPr>
      <w:tblGrid>
        <w:gridCol w:w="5320"/>
        <w:gridCol w:w="3967"/>
      </w:tblGrid>
      <w:tr w:rsidR="00EA6E78" w:rsidRPr="00EA6E78" w:rsidTr="008E68EB">
        <w:tc>
          <w:tcPr>
            <w:tcW w:w="5318" w:type="dxa"/>
          </w:tcPr>
          <w:p w:rsidR="00EA6E78" w:rsidRPr="00EA6E78" w:rsidRDefault="00EA6E78" w:rsidP="00EA6E78">
            <w:pPr>
              <w:kinsoku w:val="0"/>
              <w:overflowPunct w:val="0"/>
              <w:autoSpaceDE w:val="0"/>
              <w:autoSpaceDN w:val="0"/>
              <w:adjustRightInd w:val="0"/>
              <w:spacing w:after="0"/>
              <w:rPr>
                <w:sz w:val="20"/>
                <w:lang w:val="fr-FR" w:eastAsia="fr-FR"/>
              </w:rPr>
            </w:pPr>
            <w:r w:rsidRPr="00EA6E78">
              <w:rPr>
                <w:noProof/>
                <w:sz w:val="20"/>
                <w:lang w:val="fr-FR" w:eastAsia="fr-FR"/>
              </w:rPr>
              <mc:AlternateContent>
                <mc:Choice Requires="wpg">
                  <w:drawing>
                    <wp:anchor distT="0" distB="0" distL="114300" distR="114300" simplePos="0" relativeHeight="251660288" behindDoc="0" locked="0" layoutInCell="1" allowOverlap="1" wp14:anchorId="24123E95" wp14:editId="6AF7ABE0">
                      <wp:simplePos x="0" y="0"/>
                      <wp:positionH relativeFrom="column">
                        <wp:posOffset>928370</wp:posOffset>
                      </wp:positionH>
                      <wp:positionV relativeFrom="paragraph">
                        <wp:posOffset>2595436</wp:posOffset>
                      </wp:positionV>
                      <wp:extent cx="3784600" cy="1115695"/>
                      <wp:effectExtent l="0" t="666750" r="25400" b="2730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4600" cy="1115695"/>
                                <a:chOff x="2600" y="6404"/>
                                <a:chExt cx="5960" cy="1757"/>
                              </a:xfrm>
                            </wpg:grpSpPr>
                            <wps:wsp>
                              <wps:cNvPr id="5" name="AutoShape 4"/>
                              <wps:cNvSpPr>
                                <a:spLocks noChangeArrowheads="1"/>
                              </wps:cNvSpPr>
                              <wps:spPr bwMode="auto">
                                <a:xfrm rot="18000000">
                                  <a:off x="6333" y="6283"/>
                                  <a:ext cx="113" cy="1633"/>
                                </a:xfrm>
                                <a:prstGeom prst="upArrow">
                                  <a:avLst>
                                    <a:gd name="adj1" fmla="val 50000"/>
                                    <a:gd name="adj2" fmla="val 36128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6" name="AutoShape 5"/>
                              <wps:cNvSpPr>
                                <a:spLocks noChangeArrowheads="1"/>
                              </wps:cNvSpPr>
                              <wps:spPr bwMode="auto">
                                <a:xfrm>
                                  <a:off x="2955" y="6489"/>
                                  <a:ext cx="113" cy="1007"/>
                                </a:xfrm>
                                <a:prstGeom prst="upArrow">
                                  <a:avLst>
                                    <a:gd name="adj1" fmla="val 50000"/>
                                    <a:gd name="adj2" fmla="val 22278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7" name="AutoShape 6"/>
                              <wps:cNvSpPr>
                                <a:spLocks noChangeArrowheads="1"/>
                              </wps:cNvSpPr>
                              <wps:spPr bwMode="auto">
                                <a:xfrm rot="3600000">
                                  <a:off x="5732" y="4397"/>
                                  <a:ext cx="113" cy="4127"/>
                                </a:xfrm>
                                <a:prstGeom prst="upArrow">
                                  <a:avLst>
                                    <a:gd name="adj1" fmla="val 50000"/>
                                    <a:gd name="adj2" fmla="val 91305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8" name="AutoShape 7"/>
                              <wps:cNvSpPr>
                                <a:spLocks noChangeArrowheads="1"/>
                              </wps:cNvSpPr>
                              <wps:spPr bwMode="auto">
                                <a:xfrm>
                                  <a:off x="8295" y="7015"/>
                                  <a:ext cx="113" cy="556"/>
                                </a:xfrm>
                                <a:prstGeom prst="upArrow">
                                  <a:avLst>
                                    <a:gd name="adj1" fmla="val 50000"/>
                                    <a:gd name="adj2" fmla="val 12300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9" name="Text Box 8"/>
                              <wps:cNvSpPr txBox="1">
                                <a:spLocks noChangeArrowheads="1"/>
                              </wps:cNvSpPr>
                              <wps:spPr bwMode="auto">
                                <a:xfrm>
                                  <a:off x="2600" y="7486"/>
                                  <a:ext cx="1987" cy="675"/>
                                </a:xfrm>
                                <a:prstGeom prst="rect">
                                  <a:avLst/>
                                </a:prstGeom>
                                <a:solidFill>
                                  <a:srgbClr val="FFFFFF"/>
                                </a:solidFill>
                                <a:ln w="9525">
                                  <a:solidFill>
                                    <a:srgbClr val="000000"/>
                                  </a:solidFill>
                                  <a:miter lim="800000"/>
                                  <a:headEnd/>
                                  <a:tailEnd/>
                                </a:ln>
                              </wps:spPr>
                              <wps:txbx>
                                <w:txbxContent>
                                  <w:p w:rsidR="00EA6E78" w:rsidRPr="001B403E" w:rsidRDefault="00EA6E78" w:rsidP="00EA6E78">
                                    <w:pPr>
                                      <w:jc w:val="center"/>
                                      <w:rPr>
                                        <w:b/>
                                        <w:lang w:val="fr-FR"/>
                                      </w:rPr>
                                    </w:pPr>
                                    <w:r w:rsidRPr="001B403E">
                                      <w:rPr>
                                        <w:b/>
                                        <w:lang w:val="fr-FR"/>
                                      </w:rPr>
                                      <w:t>INNE</w:t>
                                    </w:r>
                                    <w:r>
                                      <w:rPr>
                                        <w:b/>
                                        <w:lang w:val="fr-FR"/>
                                      </w:rPr>
                                      <w:t>N</w:t>
                                    </w:r>
                                    <w:r w:rsidRPr="001B403E">
                                      <w:rPr>
                                        <w:b/>
                                        <w:lang w:val="fr-FR"/>
                                      </w:rPr>
                                      <w:t>H</w:t>
                                    </w:r>
                                    <w:r>
                                      <w:rPr>
                                        <w:b/>
                                        <w:lang w:val="fr-FR"/>
                                      </w:rPr>
                                      <w:t>Ü</w:t>
                                    </w:r>
                                    <w:r w:rsidRPr="001B403E">
                                      <w:rPr>
                                        <w:b/>
                                        <w:lang w:val="fr-FR"/>
                                      </w:rPr>
                                      <w:t>LL</w:t>
                                    </w:r>
                                    <w:r>
                                      <w:rPr>
                                        <w:b/>
                                        <w:lang w:val="fr-FR"/>
                                      </w:rPr>
                                      <w:t>E</w:t>
                                    </w:r>
                                  </w:p>
                                </w:txbxContent>
                              </wps:txbx>
                              <wps:bodyPr rot="0" vert="horz" wrap="square" lIns="91440" tIns="45720" rIns="91440" bIns="45720" anchor="t" anchorCtr="0" upright="1">
                                <a:spAutoFit/>
                              </wps:bodyPr>
                            </wps:wsp>
                            <wps:wsp>
                              <wps:cNvPr id="10" name="Text Box 9"/>
                              <wps:cNvSpPr txBox="1">
                                <a:spLocks noChangeArrowheads="1"/>
                              </wps:cNvSpPr>
                              <wps:spPr bwMode="auto">
                                <a:xfrm>
                                  <a:off x="6373" y="7486"/>
                                  <a:ext cx="2187" cy="675"/>
                                </a:xfrm>
                                <a:prstGeom prst="rect">
                                  <a:avLst/>
                                </a:prstGeom>
                                <a:solidFill>
                                  <a:srgbClr val="FFFFFF"/>
                                </a:solidFill>
                                <a:ln w="9525">
                                  <a:solidFill>
                                    <a:srgbClr val="000000"/>
                                  </a:solidFill>
                                  <a:miter lim="800000"/>
                                  <a:headEnd/>
                                  <a:tailEnd/>
                                </a:ln>
                              </wps:spPr>
                              <wps:txbx>
                                <w:txbxContent>
                                  <w:p w:rsidR="00EA6E78" w:rsidRPr="001B403E" w:rsidRDefault="00EA6E78" w:rsidP="00EA6E78">
                                    <w:pPr>
                                      <w:jc w:val="center"/>
                                      <w:rPr>
                                        <w:b/>
                                        <w:lang w:val="fr-FR"/>
                                      </w:rPr>
                                    </w:pPr>
                                    <w:r>
                                      <w:rPr>
                                        <w:b/>
                                        <w:lang w:val="fr-FR"/>
                                      </w:rPr>
                                      <w:t>AU</w:t>
                                    </w:r>
                                    <w:r w:rsidRPr="00E5661F">
                                      <w:rPr>
                                        <w:b/>
                                        <w:lang w:val="fr-FR"/>
                                      </w:rPr>
                                      <w:t>ẞ</w:t>
                                    </w:r>
                                    <w:r w:rsidRPr="001B403E">
                                      <w:rPr>
                                        <w:b/>
                                        <w:lang w:val="fr-FR"/>
                                      </w:rPr>
                                      <w:t>E</w:t>
                                    </w:r>
                                    <w:r>
                                      <w:rPr>
                                        <w:b/>
                                        <w:lang w:val="fr-FR"/>
                                      </w:rPr>
                                      <w:t>N</w:t>
                                    </w:r>
                                    <w:r w:rsidRPr="001B403E">
                                      <w:rPr>
                                        <w:b/>
                                        <w:lang w:val="fr-FR"/>
                                      </w:rPr>
                                      <w:t>H</w:t>
                                    </w:r>
                                    <w:r>
                                      <w:rPr>
                                        <w:b/>
                                        <w:lang w:val="fr-FR"/>
                                      </w:rPr>
                                      <w:t>Ü</w:t>
                                    </w:r>
                                    <w:r w:rsidRPr="001B403E">
                                      <w:rPr>
                                        <w:b/>
                                        <w:lang w:val="fr-FR"/>
                                      </w:rPr>
                                      <w:t>LL</w:t>
                                    </w:r>
                                    <w:r>
                                      <w:rPr>
                                        <w:b/>
                                        <w:lang w:val="fr-FR"/>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4123E95" id="Group 3" o:spid="_x0000_s1026" style="position:absolute;margin-left:73.1pt;margin-top:204.35pt;width:298pt;height:87.85pt;z-index:251660288" coordorigin="2600,6404" coordsize="5960,1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4" o:spid="_x0000_s1027" type="#_x0000_t68" style="position:absolute;left:6333;top:6283;width:113;height:1633;rotation:-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">
                        <v:textbox style="layout-flow:vertical-ideographic"/>
                      </v:shape>
                      <v:shape id="AutoShape 5" o:spid="_x0000_s1028" type="#_x0000_t68" style="position:absolute;left:2955;top:6489;width:113;height:1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">
                        <v:textbox style="layout-flow:vertical-ideographic"/>
                      </v:shape>
                      <v:shape id="AutoShape 6" o:spid="_x0000_s1029" type="#_x0000_t68" style="position:absolute;left:5732;top:4397;width:113;height:4127;rotation: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">
                        <v:textbox style="layout-flow:vertical-ideographic"/>
                      </v:shape>
                      <v:shape id="AutoShape 7" o:spid="_x0000_s1030" type="#_x0000_t68" style="position:absolute;left:8295;top:7015;width:113;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">
                        <v:textbox style="layout-flow:vertical-ideographic"/>
                      </v:shape>
                      <v:shapetype id="_x0000_t202" coordsize="21600,21600" o:spt="202" path="m,l,21600r21600,l21600,xe">
                        <v:stroke joinstyle="miter"/>
                        <v:path gradientshapeok="t" o:connecttype="rect"/>
                      </v:shapetype>
                      <v:shape id="Text Box 8" o:spid="_x0000_s1031" type="#_x0000_t202" style="position:absolute;left:2600;top:7486;width:1987;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">
                        <v:textbox style="mso-fit-shape-to-text:t">
                          <w:txbxContent>
                            <w:p w:rsidR="00EA6E78" w:rsidRPr="001B403E" w:rsidRDefault="00EA6E78" w:rsidP="00EA6E78">
                              <w:pPr>
                                <w:jc w:val="center"/>
                                <w:rPr>
                                  <w:b/>
                                  <w:lang w:val="fr-FR"/>
                                </w:rPr>
                              </w:pPr>
                              <w:r w:rsidRPr="001B403E">
                                <w:rPr>
                                  <w:b/>
                                  <w:lang w:val="fr-FR"/>
                                </w:rPr>
                                <w:t>INNE</w:t>
                              </w:r>
                              <w:r>
                                <w:rPr>
                                  <w:b/>
                                  <w:lang w:val="fr-FR"/>
                                </w:rPr>
                                <w:t>N</w:t>
                              </w:r>
                              <w:r w:rsidRPr="001B403E">
                                <w:rPr>
                                  <w:b/>
                                  <w:lang w:val="fr-FR"/>
                                </w:rPr>
                                <w:t>H</w:t>
                              </w:r>
                              <w:r>
                                <w:rPr>
                                  <w:b/>
                                  <w:lang w:val="fr-FR"/>
                                </w:rPr>
                                <w:t>Ü</w:t>
                              </w:r>
                              <w:r w:rsidRPr="001B403E">
                                <w:rPr>
                                  <w:b/>
                                  <w:lang w:val="fr-FR"/>
                                </w:rPr>
                                <w:t>LL</w:t>
                              </w:r>
                              <w:r>
                                <w:rPr>
                                  <w:b/>
                                  <w:lang w:val="fr-FR"/>
                                </w:rPr>
                                <w:t>E</w:t>
                              </w:r>
                            </w:p>
                          </w:txbxContent>
                        </v:textbox>
                      </v:shape>
                      <v:shape id="Text Box 9" o:spid="_x0000_s1032" type="#_x0000_t202" style="position:absolute;left:6373;top:7486;width:2187;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">
                        <v:textbox style="mso-fit-shape-to-text:t">
                          <w:txbxContent>
                            <w:p w:rsidR="00EA6E78" w:rsidRPr="001B403E" w:rsidRDefault="00EA6E78" w:rsidP="00EA6E78">
                              <w:pPr>
                                <w:jc w:val="center"/>
                                <w:rPr>
                                  <w:b/>
                                  <w:lang w:val="fr-FR"/>
                                </w:rPr>
                              </w:pPr>
                              <w:r>
                                <w:rPr>
                                  <w:b/>
                                  <w:lang w:val="fr-FR"/>
                                </w:rPr>
                                <w:t>AU</w:t>
                              </w:r>
                              <w:r w:rsidRPr="00E5661F">
                                <w:rPr>
                                  <w:b/>
                                  <w:lang w:val="fr-FR"/>
                                </w:rPr>
                                <w:t>ẞ</w:t>
                              </w:r>
                              <w:r w:rsidRPr="001B403E">
                                <w:rPr>
                                  <w:b/>
                                  <w:lang w:val="fr-FR"/>
                                </w:rPr>
                                <w:t>E</w:t>
                              </w:r>
                              <w:r>
                                <w:rPr>
                                  <w:b/>
                                  <w:lang w:val="fr-FR"/>
                                </w:rPr>
                                <w:t>N</w:t>
                              </w:r>
                              <w:r w:rsidRPr="001B403E">
                                <w:rPr>
                                  <w:b/>
                                  <w:lang w:val="fr-FR"/>
                                </w:rPr>
                                <w:t>H</w:t>
                              </w:r>
                              <w:r>
                                <w:rPr>
                                  <w:b/>
                                  <w:lang w:val="fr-FR"/>
                                </w:rPr>
                                <w:t>Ü</w:t>
                              </w:r>
                              <w:r w:rsidRPr="001B403E">
                                <w:rPr>
                                  <w:b/>
                                  <w:lang w:val="fr-FR"/>
                                </w:rPr>
                                <w:t>LL</w:t>
                              </w:r>
                              <w:r>
                                <w:rPr>
                                  <w:b/>
                                  <w:lang w:val="fr-FR"/>
                                </w:rPr>
                                <w:t>E</w:t>
                              </w:r>
                            </w:p>
                          </w:txbxContent>
                        </v:textbox>
                      </v:shape>
                    </v:group>
                  </w:pict>
                </mc:Fallback>
              </mc:AlternateContent>
            </w:r>
            <w:r w:rsidRPr="00EA6E78">
              <w:rPr>
                <w:noProof/>
                <w:sz w:val="20"/>
                <w:lang w:val="fr-FR" w:eastAsia="fr-FR"/>
              </w:rPr>
              <w:drawing>
                <wp:inline distT="0" distB="0" distL="0" distR="0" wp14:anchorId="3A8990BC" wp14:editId="4A824667">
                  <wp:extent cx="3241040" cy="313245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1040" cy="3132455"/>
                          </a:xfrm>
                          <a:prstGeom prst="rect">
                            <a:avLst/>
                          </a:prstGeom>
                          <a:noFill/>
                          <a:ln>
                            <a:noFill/>
                          </a:ln>
                        </pic:spPr>
                      </pic:pic>
                    </a:graphicData>
                  </a:graphic>
                </wp:inline>
              </w:drawing>
            </w:r>
          </w:p>
        </w:tc>
        <w:tc>
          <w:tcPr>
            <w:tcW w:w="4537" w:type="dxa"/>
          </w:tcPr>
          <w:p w:rsidR="00EA6E78" w:rsidRPr="00EA6E78" w:rsidRDefault="00EA6E78" w:rsidP="00EA6E78">
            <w:pPr>
              <w:kinsoku w:val="0"/>
              <w:overflowPunct w:val="0"/>
              <w:autoSpaceDE w:val="0"/>
              <w:autoSpaceDN w:val="0"/>
              <w:adjustRightInd w:val="0"/>
              <w:spacing w:after="0"/>
              <w:jc w:val="center"/>
              <w:rPr>
                <w:sz w:val="20"/>
                <w:lang w:val="fr-FR" w:eastAsia="fr-FR"/>
              </w:rPr>
            </w:pPr>
            <w:r w:rsidRPr="00EA6E78">
              <w:rPr>
                <w:noProof/>
                <w:sz w:val="20"/>
                <w:lang w:val="fr-FR" w:eastAsia="fr-FR"/>
              </w:rPr>
              <w:drawing>
                <wp:inline distT="0" distB="0" distL="0" distR="0" wp14:anchorId="0D1C2852" wp14:editId="0C4377B5">
                  <wp:extent cx="2320290" cy="3043555"/>
                  <wp:effectExtent l="0" t="0" r="3810" b="444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0290" cy="3043555"/>
                          </a:xfrm>
                          <a:prstGeom prst="rect">
                            <a:avLst/>
                          </a:prstGeom>
                          <a:noFill/>
                          <a:ln>
                            <a:noFill/>
                          </a:ln>
                        </pic:spPr>
                      </pic:pic>
                    </a:graphicData>
                  </a:graphic>
                </wp:inline>
              </w:drawing>
            </w:r>
          </w:p>
        </w:tc>
      </w:tr>
    </w:tbl>
    <w:p w:rsidR="00EA6E78" w:rsidRPr="00EA6E78" w:rsidRDefault="00EA6E78" w:rsidP="00EA6E78">
      <w:pPr>
        <w:suppressAutoHyphens/>
        <w:spacing w:after="120" w:line="240" w:lineRule="atLeast"/>
        <w:ind w:left="1134" w:right="1134"/>
        <w:jc w:val="both"/>
        <w:rPr>
          <w:b/>
          <w:sz w:val="20"/>
        </w:rPr>
      </w:pPr>
    </w:p>
    <w:p w:rsidR="00EA6E78" w:rsidRPr="00EA6E78" w:rsidRDefault="00EA6E78" w:rsidP="00EA6E78">
      <w:pPr>
        <w:suppressAutoHyphens/>
        <w:spacing w:after="120" w:line="240" w:lineRule="atLeast"/>
        <w:ind w:left="1134" w:right="1134"/>
        <w:jc w:val="both"/>
        <w:rPr>
          <w:b/>
          <w:sz w:val="20"/>
        </w:rPr>
      </w:pPr>
    </w:p>
    <w:p w:rsidR="00EA6E78" w:rsidRPr="00EA6E78" w:rsidRDefault="00EA6E78" w:rsidP="00EA6E78">
      <w:pPr>
        <w:suppressAutoHyphens/>
        <w:spacing w:after="120" w:line="240" w:lineRule="atLeast"/>
        <w:ind w:left="1134" w:right="1134"/>
        <w:jc w:val="both"/>
        <w:rPr>
          <w:b/>
          <w:sz w:val="20"/>
        </w:rPr>
      </w:pPr>
    </w:p>
    <w:p w:rsidR="00EA6E78" w:rsidRPr="00EA6E78" w:rsidRDefault="00EA6E78" w:rsidP="00EA6E78">
      <w:pPr>
        <w:suppressAutoHyphens/>
        <w:spacing w:after="120" w:line="240" w:lineRule="atLeast"/>
        <w:ind w:left="1134" w:right="1134"/>
        <w:jc w:val="both"/>
        <w:rPr>
          <w:sz w:val="20"/>
        </w:rPr>
      </w:pPr>
      <w:r w:rsidRPr="00EA6E78">
        <w:rPr>
          <w:sz w:val="20"/>
        </w:rPr>
        <w:lastRenderedPageBreak/>
        <w:t>11.</w:t>
      </w:r>
      <w:r w:rsidRPr="00EA6E78">
        <w:rPr>
          <w:sz w:val="20"/>
        </w:rPr>
        <w:tab/>
      </w:r>
      <w:r w:rsidRPr="00EA6E78">
        <w:rPr>
          <w:sz w:val="20"/>
          <w:lang w:val="de-DE"/>
        </w:rPr>
        <w:t>Aufgrund der verwendeten Spezialbaustoffe ist es jedoch unwahrscheinlich, dass es während der Beförderung in der ersten Barriere zu einer solchen Leckage kommt.</w:t>
      </w:r>
      <w:r w:rsidRPr="00EA6E78">
        <w:rPr>
          <w:sz w:val="20"/>
        </w:rPr>
        <w:t xml:space="preserve"> </w:t>
      </w:r>
      <w:r w:rsidRPr="00EA6E78">
        <w:rPr>
          <w:sz w:val="20"/>
          <w:lang w:val="de-DE"/>
        </w:rPr>
        <w:t>In Zusammenarbeit mit der Universität Hamburg und DNV-GL wurden die Membrantanks getestet und konnten 100.000 Tonnen bei einer Geschwindigkeit von 9 Knoten ohne Dichtheitsverlust standhalten.</w:t>
      </w:r>
    </w:p>
    <w:p w:rsidR="00EA6E78" w:rsidRPr="00EA6E78" w:rsidRDefault="00EA6E78" w:rsidP="00EA6E78">
      <w:pPr>
        <w:suppressAutoHyphens/>
        <w:spacing w:after="120" w:line="240" w:lineRule="atLeast"/>
        <w:ind w:left="1134" w:right="1134"/>
        <w:jc w:val="both"/>
        <w:rPr>
          <w:sz w:val="20"/>
        </w:rPr>
      </w:pPr>
      <w:r w:rsidRPr="00EA6E78">
        <w:rPr>
          <w:sz w:val="20"/>
        </w:rPr>
        <w:t>12.</w:t>
      </w:r>
      <w:r w:rsidRPr="00EA6E78">
        <w:rPr>
          <w:sz w:val="20"/>
        </w:rPr>
        <w:tab/>
      </w:r>
      <w:r w:rsidRPr="00EA6E78">
        <w:rPr>
          <w:sz w:val="20"/>
          <w:lang w:val="de-DE"/>
        </w:rPr>
        <w:t>Schließlich nahm die informelle Arbeitsgruppe zur Kenntnis, dass in den Vereinigten Staaten vor kurzem ein relativ kleines Küstenfahrzeug mit Membrantanks unter Aufsicht der Klassifikationsgesellschaft ABS gebaut wurde (2.200 m</w:t>
      </w:r>
      <w:r w:rsidRPr="00EA6E78">
        <w:rPr>
          <w:sz w:val="20"/>
          <w:vertAlign w:val="superscript"/>
          <w:lang w:val="de-DE"/>
        </w:rPr>
        <w:t>3</w:t>
      </w:r>
      <w:r w:rsidRPr="00EA6E78">
        <w:rPr>
          <w:sz w:val="20"/>
          <w:lang w:val="de-DE"/>
        </w:rPr>
        <w:t xml:space="preserve"> Fassungsvermögen).</w:t>
      </w:r>
      <w:r w:rsidRPr="00EA6E78">
        <w:rPr>
          <w:sz w:val="20"/>
        </w:rPr>
        <w:t xml:space="preserve"> </w:t>
      </w:r>
      <w:r w:rsidRPr="00EA6E78">
        <w:rPr>
          <w:sz w:val="20"/>
          <w:lang w:val="de-DE"/>
        </w:rPr>
        <w:t>Zudem wurde festgestellt, dass in Membrantanks neben LNG (UN-Nr. 1972) auch Butan (UN-Nr. 1011), Ethan (UN-Nr. 1961), Propan (UN-Nr. 1978) und Propylen (UN-Nr. 1077) befördert werden können.</w:t>
      </w:r>
    </w:p>
    <w:p w:rsidR="00EA6E78" w:rsidRPr="00EA6E78" w:rsidRDefault="00EA6E78" w:rsidP="00EA6E78">
      <w:pPr>
        <w:keepNext/>
        <w:keepLines/>
        <w:tabs>
          <w:tab w:val="right" w:pos="851"/>
        </w:tabs>
        <w:suppressAutoHyphens/>
        <w:spacing w:before="360" w:line="300" w:lineRule="exact"/>
        <w:ind w:left="1134" w:right="1134" w:hanging="1134"/>
        <w:rPr>
          <w:b/>
          <w:sz w:val="28"/>
        </w:rPr>
      </w:pPr>
      <w:r w:rsidRPr="00EA6E78">
        <w:rPr>
          <w:b/>
          <w:sz w:val="28"/>
        </w:rPr>
        <w:tab/>
      </w:r>
      <w:r w:rsidRPr="00EA6E78">
        <w:rPr>
          <w:b/>
          <w:sz w:val="28"/>
        </w:rPr>
        <w:tab/>
      </w:r>
      <w:r w:rsidRPr="00EA6E78">
        <w:rPr>
          <w:b/>
          <w:sz w:val="28"/>
          <w:lang w:val="de-DE"/>
        </w:rPr>
        <w:t>Relevante Absätze im ADN</w:t>
      </w:r>
    </w:p>
    <w:p w:rsidR="00EA6E78" w:rsidRPr="00EA6E78" w:rsidRDefault="00EA6E78" w:rsidP="00EA6E78">
      <w:pPr>
        <w:suppressAutoHyphens/>
        <w:spacing w:after="120" w:line="240" w:lineRule="atLeast"/>
        <w:ind w:left="1134" w:right="1134"/>
        <w:jc w:val="both"/>
        <w:rPr>
          <w:sz w:val="20"/>
        </w:rPr>
      </w:pPr>
      <w:r w:rsidRPr="00EA6E78">
        <w:rPr>
          <w:sz w:val="20"/>
        </w:rPr>
        <w:t>13.</w:t>
      </w:r>
      <w:r w:rsidRPr="00EA6E78">
        <w:rPr>
          <w:sz w:val="20"/>
        </w:rPr>
        <w:tab/>
      </w:r>
      <w:r w:rsidRPr="00EA6E78">
        <w:rPr>
          <w:sz w:val="20"/>
          <w:lang w:val="de-DE"/>
        </w:rPr>
        <w:t>Die informelle Arbeitsgruppe hat in der dem ADN beigefügten Verordnung mehrere Absätze ermittelt, die für die Konstruktion von Membrantanks auf Binnenschiffen relevant sein könnten.</w:t>
      </w:r>
      <w:r w:rsidRPr="00EA6E78">
        <w:rPr>
          <w:sz w:val="20"/>
        </w:rPr>
        <w:t xml:space="preserve"> </w:t>
      </w:r>
      <w:r w:rsidRPr="00EA6E78">
        <w:rPr>
          <w:sz w:val="20"/>
          <w:lang w:val="de-DE"/>
        </w:rPr>
        <w:t>Einige von ihnen wurden bereits vom ADN-Sicherheitsausschuss und dem ADN-Verwaltungsausschuss bei der Diskussion und Genehmigung der Abweichung für das Binnenschiff Argos GL ermittelt.</w:t>
      </w:r>
      <w:r w:rsidRPr="00EA6E78">
        <w:rPr>
          <w:sz w:val="20"/>
        </w:rPr>
        <w:t xml:space="preserve"> </w:t>
      </w:r>
    </w:p>
    <w:p w:rsidR="00EA6E78" w:rsidRPr="00EA6E78" w:rsidRDefault="00EA6E78" w:rsidP="00EA6E78">
      <w:pPr>
        <w:suppressAutoHyphens/>
        <w:spacing w:after="120" w:line="240" w:lineRule="atLeast"/>
        <w:ind w:left="1134" w:right="1134"/>
        <w:jc w:val="both"/>
        <w:rPr>
          <w:sz w:val="20"/>
        </w:rPr>
      </w:pPr>
      <w:r w:rsidRPr="00EA6E78">
        <w:rPr>
          <w:sz w:val="20"/>
        </w:rPr>
        <w:t>14.</w:t>
      </w:r>
      <w:r w:rsidRPr="00EA6E78">
        <w:rPr>
          <w:sz w:val="20"/>
        </w:rPr>
        <w:tab/>
      </w:r>
      <w:r w:rsidRPr="00EA6E78">
        <w:rPr>
          <w:sz w:val="20"/>
          <w:lang w:val="de-DE"/>
        </w:rPr>
        <w:t>Die meisten dieser Absätze der dem ADN beigefügten Verordnung beziehen sich auf die Beförderungsanforderungen des beförderten Stoffes in Tabelle C und/oder auf die Begriffsbestimmungen für Ladetanks und Tankschiffe des Typs G.</w:t>
      </w:r>
    </w:p>
    <w:p w:rsidR="00EA6E78" w:rsidRPr="00EA6E78" w:rsidRDefault="00EA6E78" w:rsidP="00EA6E78">
      <w:pPr>
        <w:keepNext/>
        <w:keepLines/>
        <w:tabs>
          <w:tab w:val="right" w:pos="851"/>
        </w:tabs>
        <w:suppressAutoHyphens/>
        <w:spacing w:before="360" w:line="300" w:lineRule="exact"/>
        <w:ind w:left="1134" w:right="1134" w:hanging="1134"/>
        <w:rPr>
          <w:b/>
          <w:sz w:val="28"/>
        </w:rPr>
      </w:pPr>
      <w:r w:rsidRPr="00EA6E78">
        <w:rPr>
          <w:b/>
          <w:sz w:val="28"/>
        </w:rPr>
        <w:tab/>
      </w:r>
      <w:r w:rsidRPr="00EA6E78">
        <w:rPr>
          <w:b/>
          <w:sz w:val="28"/>
        </w:rPr>
        <w:tab/>
      </w:r>
      <w:r w:rsidRPr="00EA6E78">
        <w:rPr>
          <w:b/>
          <w:sz w:val="28"/>
          <w:lang w:val="de-DE"/>
        </w:rPr>
        <w:t>Mögliches weiteres Vorgehen</w:t>
      </w:r>
    </w:p>
    <w:p w:rsidR="00EA6E78" w:rsidRPr="00EA6E78" w:rsidRDefault="00EA6E78" w:rsidP="00EA6E78">
      <w:pPr>
        <w:suppressAutoHyphens/>
        <w:spacing w:after="120" w:line="240" w:lineRule="atLeast"/>
        <w:ind w:left="1134" w:right="1134"/>
        <w:jc w:val="both"/>
        <w:rPr>
          <w:sz w:val="20"/>
        </w:rPr>
      </w:pPr>
      <w:r w:rsidRPr="00EA6E78">
        <w:rPr>
          <w:sz w:val="20"/>
        </w:rPr>
        <w:t>15.</w:t>
      </w:r>
      <w:r w:rsidRPr="00EA6E78">
        <w:rPr>
          <w:sz w:val="20"/>
        </w:rPr>
        <w:tab/>
      </w:r>
      <w:r w:rsidRPr="00EA6E78">
        <w:rPr>
          <w:sz w:val="20"/>
          <w:lang w:val="de-DE"/>
        </w:rPr>
        <w:t>Um die Verwendung von Membrantanks an Bord von Binnenschiffen, die gefährliche Güter befördern, zu ermöglichen, haben die Teilnehmer der informellen Arbeitsgruppe mehrere Optionen zur Anpassung der dem ADN beigefügten Verordnung geprüft.</w:t>
      </w:r>
    </w:p>
    <w:p w:rsidR="00EA6E78" w:rsidRPr="00EA6E78" w:rsidRDefault="00EA6E78" w:rsidP="00EA6E78">
      <w:pPr>
        <w:suppressAutoHyphens/>
        <w:spacing w:after="120" w:line="240" w:lineRule="atLeast"/>
        <w:ind w:left="1134" w:right="1134" w:firstLine="567"/>
        <w:jc w:val="both"/>
        <w:rPr>
          <w:sz w:val="20"/>
        </w:rPr>
      </w:pPr>
      <w:r w:rsidRPr="00EA6E78">
        <w:rPr>
          <w:sz w:val="20"/>
          <w:lang w:val="de-DE"/>
        </w:rPr>
        <w:t>a)</w:t>
      </w:r>
      <w:r w:rsidRPr="00EA6E78">
        <w:rPr>
          <w:sz w:val="20"/>
        </w:rPr>
        <w:tab/>
      </w:r>
      <w:r w:rsidRPr="00EA6E78">
        <w:rPr>
          <w:sz w:val="20"/>
          <w:lang w:val="de-DE"/>
        </w:rPr>
        <w:t>In Kapitel 9.3 könnte ein neuer Abschnitt hinzugefügt werden, der die technischen Anforderungen für einen neuen Tankschiffstyp (Typ M) festlegt, vergleichbar mit den Anforderungen für Tankschiffe des Typs G, des Typs C und des Typs N. Diese Option beinhaltet zahlreiche Folgeänderungen in allen anderen Kapiteln der dem ADN beigefügten Verordnung.</w:t>
      </w:r>
    </w:p>
    <w:p w:rsidR="00EA6E78" w:rsidRPr="00EA6E78" w:rsidRDefault="00EA6E78" w:rsidP="00EA6E78">
      <w:pPr>
        <w:suppressAutoHyphens/>
        <w:spacing w:after="120" w:line="240" w:lineRule="atLeast"/>
        <w:ind w:left="1134" w:right="1134" w:firstLine="567"/>
        <w:jc w:val="both"/>
        <w:rPr>
          <w:sz w:val="20"/>
        </w:rPr>
      </w:pPr>
      <w:r w:rsidRPr="00EA6E78">
        <w:rPr>
          <w:sz w:val="20"/>
          <w:lang w:val="de-DE"/>
        </w:rPr>
        <w:t>b)</w:t>
      </w:r>
      <w:r w:rsidRPr="00EA6E78">
        <w:rPr>
          <w:sz w:val="20"/>
        </w:rPr>
        <w:tab/>
      </w:r>
      <w:r w:rsidRPr="00EA6E78">
        <w:rPr>
          <w:sz w:val="20"/>
          <w:lang w:val="de-DE"/>
        </w:rPr>
        <w:t>Eine weitere Möglichkeit bestünde darin, in Spalte 20 der Tabelle C für bestimmte Stoffe einen Verweis auf eine neue (noch zu entwickelnde) Sondervorschrift aufzunehmen, die Anforderungen für die Verwendung von Membrantanks festlegt oder auf andere einschlägige Rechtsvorschriften verweist.</w:t>
      </w:r>
    </w:p>
    <w:p w:rsidR="00EA6E78" w:rsidRPr="00EA6E78" w:rsidRDefault="00EA6E78" w:rsidP="00EA6E78">
      <w:pPr>
        <w:suppressAutoHyphens/>
        <w:spacing w:after="120" w:line="240" w:lineRule="atLeast"/>
        <w:ind w:left="1134" w:right="1134" w:firstLine="567"/>
        <w:jc w:val="both"/>
        <w:rPr>
          <w:sz w:val="20"/>
        </w:rPr>
      </w:pPr>
      <w:r w:rsidRPr="00EA6E78">
        <w:rPr>
          <w:sz w:val="20"/>
          <w:lang w:val="de-DE"/>
        </w:rPr>
        <w:t>c)</w:t>
      </w:r>
      <w:r w:rsidRPr="00EA6E78">
        <w:rPr>
          <w:sz w:val="20"/>
        </w:rPr>
        <w:tab/>
      </w:r>
      <w:r w:rsidRPr="00EA6E78">
        <w:rPr>
          <w:sz w:val="20"/>
          <w:lang w:val="de-DE"/>
        </w:rPr>
        <w:t>Die Begriffsbestimmung für Ladetankzustand könnte um Membrantanks erweitert werden.</w:t>
      </w:r>
      <w:r w:rsidRPr="00EA6E78">
        <w:rPr>
          <w:sz w:val="20"/>
        </w:rPr>
        <w:t xml:space="preserve"> </w:t>
      </w:r>
      <w:r w:rsidRPr="00EA6E78">
        <w:rPr>
          <w:sz w:val="20"/>
          <w:lang w:val="de-DE"/>
        </w:rPr>
        <w:t>Dieser neue Ladetankzustand könnte anschließend für bestimmte Stoffe in Tabelle C aufgenommen werden.</w:t>
      </w:r>
      <w:r w:rsidRPr="00EA6E78">
        <w:rPr>
          <w:sz w:val="20"/>
        </w:rPr>
        <w:t xml:space="preserve"> </w:t>
      </w:r>
      <w:r w:rsidRPr="00EA6E78">
        <w:rPr>
          <w:sz w:val="20"/>
          <w:lang w:val="de-DE"/>
        </w:rPr>
        <w:t>Außerdem könnte Unterabschnitt 7.2.1.21 geändert werden, um sicherzustellen, dass diese Stoffe auch in normalen unabhängigen Druckladetanks befördert werden dürfen.</w:t>
      </w:r>
    </w:p>
    <w:p w:rsidR="00EA6E78" w:rsidRPr="00EA6E78" w:rsidRDefault="00EA6E78" w:rsidP="00EA6E78">
      <w:pPr>
        <w:suppressAutoHyphens/>
        <w:spacing w:after="120" w:line="240" w:lineRule="atLeast"/>
        <w:ind w:left="1134" w:right="1134" w:firstLine="567"/>
        <w:jc w:val="both"/>
        <w:rPr>
          <w:sz w:val="20"/>
        </w:rPr>
      </w:pPr>
      <w:r w:rsidRPr="00EA6E78">
        <w:rPr>
          <w:sz w:val="20"/>
          <w:lang w:val="de-DE"/>
        </w:rPr>
        <w:t>d)</w:t>
      </w:r>
      <w:r w:rsidRPr="00EA6E78">
        <w:rPr>
          <w:sz w:val="20"/>
        </w:rPr>
        <w:tab/>
      </w:r>
      <w:r w:rsidRPr="00EA6E78">
        <w:rPr>
          <w:sz w:val="20"/>
          <w:lang w:val="de-DE"/>
        </w:rPr>
        <w:t>Schließlich könnte die Begriffsbestimmung für Ladetanktyp um den Membrantanktyp erweitert werden.</w:t>
      </w:r>
      <w:r w:rsidRPr="00EA6E78">
        <w:rPr>
          <w:sz w:val="20"/>
        </w:rPr>
        <w:t xml:space="preserve"> </w:t>
      </w:r>
      <w:r w:rsidRPr="00EA6E78">
        <w:rPr>
          <w:sz w:val="20"/>
          <w:lang w:val="de-DE"/>
        </w:rPr>
        <w:t>Dieser neue Ladetankzustand könnte anschließend für bestimmte Stoffe in Tabelle C aufgenommen werden.</w:t>
      </w:r>
      <w:r w:rsidRPr="00EA6E78">
        <w:rPr>
          <w:sz w:val="20"/>
        </w:rPr>
        <w:t xml:space="preserve"> </w:t>
      </w:r>
      <w:r w:rsidRPr="00EA6E78">
        <w:rPr>
          <w:sz w:val="20"/>
          <w:lang w:val="de-DE"/>
        </w:rPr>
        <w:t>Außerdem könnte Unterabschnitt 7.2.1.21 geändert werden, um sicherzustellen, dass diese Stoffe auch in normalen unabhängigen Druckladetanks befördert werden dürfen.</w:t>
      </w:r>
    </w:p>
    <w:p w:rsidR="00FB4A90" w:rsidRDefault="00FB4A90">
      <w:pPr>
        <w:spacing w:after="0"/>
        <w:rPr>
          <w:sz w:val="20"/>
        </w:rPr>
      </w:pPr>
      <w:r>
        <w:rPr>
          <w:sz w:val="20"/>
        </w:rPr>
        <w:br w:type="page"/>
      </w:r>
    </w:p>
    <w:p w:rsidR="00EA6E78" w:rsidRPr="00EA6E78" w:rsidRDefault="00EA6E78" w:rsidP="00EA6E78">
      <w:pPr>
        <w:suppressAutoHyphens/>
        <w:spacing w:after="120" w:line="240" w:lineRule="atLeast"/>
        <w:ind w:left="1134" w:right="1134"/>
        <w:jc w:val="both"/>
        <w:rPr>
          <w:sz w:val="20"/>
        </w:rPr>
      </w:pPr>
      <w:r w:rsidRPr="00EA6E78">
        <w:rPr>
          <w:sz w:val="20"/>
        </w:rPr>
        <w:lastRenderedPageBreak/>
        <w:t>16.</w:t>
      </w:r>
      <w:r w:rsidRPr="00EA6E78">
        <w:rPr>
          <w:sz w:val="20"/>
        </w:rPr>
        <w:tab/>
      </w:r>
      <w:r w:rsidRPr="00EA6E78">
        <w:rPr>
          <w:sz w:val="20"/>
          <w:lang w:val="de-DE"/>
        </w:rPr>
        <w:t>Bei ihrem Treffen in Antwerpen am 2. Mai 2018 äußerten die Teilnehmer der informellen Arbeitsgruppe ihre Präferenz für die letzte Option in Absatz 15.</w:t>
      </w:r>
      <w:r w:rsidRPr="00EA6E78">
        <w:rPr>
          <w:sz w:val="20"/>
        </w:rPr>
        <w:t xml:space="preserve"> </w:t>
      </w:r>
      <w:r w:rsidRPr="00EA6E78">
        <w:rPr>
          <w:sz w:val="20"/>
          <w:lang w:val="de-DE"/>
        </w:rPr>
        <w:t>Nach Ansicht der informellen Arbeitsgruppe ist dies die Option, die die Realität am besten widerspiegelt.</w:t>
      </w:r>
      <w:r w:rsidRPr="00EA6E78">
        <w:rPr>
          <w:sz w:val="20"/>
        </w:rPr>
        <w:t xml:space="preserve"> </w:t>
      </w:r>
      <w:r w:rsidRPr="00EA6E78">
        <w:rPr>
          <w:sz w:val="20"/>
          <w:lang w:val="de-DE"/>
        </w:rPr>
        <w:t>Membrantanks sind für die Beförderung von (verflüssigten) Gasen bestimmt und daher sollte das befördernde Schiff als Tankschiff des Typs G angesehen werden.</w:t>
      </w:r>
      <w:r w:rsidRPr="00EA6E78">
        <w:rPr>
          <w:sz w:val="20"/>
        </w:rPr>
        <w:t xml:space="preserve"> </w:t>
      </w:r>
      <w:r w:rsidRPr="00EA6E78">
        <w:rPr>
          <w:sz w:val="20"/>
          <w:lang w:val="de-DE"/>
        </w:rPr>
        <w:t>Der Membrantank ist als geschlossener Ladetank ausgeführt und sollte mit Einrichtungen zur Druckregelung in den Ladetanks ausgestattet sein.</w:t>
      </w:r>
      <w:r w:rsidRPr="00EA6E78">
        <w:rPr>
          <w:sz w:val="20"/>
        </w:rPr>
        <w:t xml:space="preserve"> </w:t>
      </w:r>
      <w:r w:rsidRPr="00EA6E78">
        <w:rPr>
          <w:sz w:val="20"/>
          <w:lang w:val="de-DE"/>
        </w:rPr>
        <w:t>Darüber hinaus entspricht die/der von der informellen Arbeitsgruppe vorgeschlagene Option/Ansatz dem IGC-Code der IMO, wonach Membrantanks als Alternativen für unabhängige und integrale Ladetanks gelten.</w:t>
      </w:r>
      <w:r w:rsidRPr="00EA6E78">
        <w:rPr>
          <w:sz w:val="20"/>
        </w:rPr>
        <w:t xml:space="preserve"> </w:t>
      </w:r>
    </w:p>
    <w:p w:rsidR="00EA6E78" w:rsidRPr="00EA6E78" w:rsidRDefault="00EA6E78" w:rsidP="00EA6E78">
      <w:pPr>
        <w:keepNext/>
        <w:keepLines/>
        <w:tabs>
          <w:tab w:val="right" w:pos="851"/>
        </w:tabs>
        <w:suppressAutoHyphens/>
        <w:spacing w:before="360" w:line="300" w:lineRule="exact"/>
        <w:ind w:left="1134" w:right="1134" w:hanging="1134"/>
        <w:rPr>
          <w:b/>
          <w:sz w:val="28"/>
        </w:rPr>
      </w:pPr>
      <w:r w:rsidRPr="00EA6E78">
        <w:rPr>
          <w:b/>
          <w:sz w:val="28"/>
        </w:rPr>
        <w:tab/>
      </w:r>
      <w:r w:rsidRPr="00EA6E78">
        <w:rPr>
          <w:b/>
          <w:sz w:val="28"/>
        </w:rPr>
        <w:tab/>
      </w:r>
      <w:r w:rsidRPr="00EA6E78">
        <w:rPr>
          <w:b/>
          <w:sz w:val="28"/>
          <w:lang w:val="de-DE"/>
        </w:rPr>
        <w:t>Ersuchen an den ADN-Sicherheitsausschuss</w:t>
      </w:r>
    </w:p>
    <w:p w:rsidR="00EA6E78" w:rsidRPr="00EA6E78" w:rsidRDefault="00EA6E78" w:rsidP="00EA6E78">
      <w:pPr>
        <w:suppressAutoHyphens/>
        <w:spacing w:after="120" w:line="240" w:lineRule="atLeast"/>
        <w:ind w:left="1134" w:right="1134"/>
        <w:jc w:val="both"/>
        <w:rPr>
          <w:sz w:val="20"/>
        </w:rPr>
      </w:pPr>
      <w:r w:rsidRPr="00EA6E78">
        <w:rPr>
          <w:sz w:val="20"/>
        </w:rPr>
        <w:t>17.</w:t>
      </w:r>
      <w:r w:rsidRPr="00EA6E78">
        <w:rPr>
          <w:sz w:val="20"/>
        </w:rPr>
        <w:tab/>
      </w:r>
      <w:r w:rsidRPr="00EA6E78">
        <w:rPr>
          <w:sz w:val="20"/>
          <w:lang w:val="de-DE"/>
        </w:rPr>
        <w:t>Die informelle Arbeitsgruppe ersucht den ADN-Sicherheitsausschuss, diesen Bericht zu erörtern und zu entscheiden, welche der in Absatz 15 beschriebenen Optionen er hinsichtlich der Einführung von Membrantanks auf Binnenschiffen bevorzugt.</w:t>
      </w:r>
      <w:r w:rsidRPr="00EA6E78">
        <w:rPr>
          <w:sz w:val="20"/>
        </w:rPr>
        <w:t xml:space="preserve"> </w:t>
      </w:r>
      <w:r w:rsidRPr="00EA6E78">
        <w:rPr>
          <w:sz w:val="20"/>
          <w:lang w:val="de-DE"/>
        </w:rPr>
        <w:t>Das Ergebnis könnte als aktualisierter Auftrag für die informelle Arbeitsgruppe dienen, ihre Arbeit fortzusetzen und konkrete Änderungen der ADN-Ausgabe 2019 auszuarbeiten, die am 1. Januar 2021 in Kraft treten würden.</w:t>
      </w:r>
    </w:p>
    <w:p w:rsidR="00A12DFF" w:rsidRPr="002D3FF9" w:rsidRDefault="00A12DFF" w:rsidP="004C730B">
      <w:pPr>
        <w:spacing w:after="0" w:line="360" w:lineRule="auto"/>
        <w:ind w:right="566"/>
        <w:rPr>
          <w:sz w:val="20"/>
          <w:lang w:val="de-DE"/>
        </w:rPr>
      </w:pPr>
    </w:p>
    <w:p w:rsidR="00D81755" w:rsidRPr="002D3FF9" w:rsidRDefault="0071130B" w:rsidP="00643488">
      <w:pPr>
        <w:spacing w:after="0"/>
        <w:ind w:left="567" w:right="566" w:hanging="567"/>
        <w:jc w:val="center"/>
        <w:rPr>
          <w:sz w:val="20"/>
          <w:lang w:val="de-DE"/>
        </w:rPr>
      </w:pPr>
      <w:r w:rsidRPr="002D3FF9">
        <w:rPr>
          <w:sz w:val="20"/>
          <w:lang w:val="de-DE"/>
        </w:rPr>
        <w:t>***</w:t>
      </w:r>
    </w:p>
    <w:sectPr w:rsidR="00D81755" w:rsidRPr="002D3FF9" w:rsidSect="00EA6E78">
      <w:headerReference w:type="even" r:id="rId11"/>
      <w:headerReference w:type="default" r:id="rId12"/>
      <w:footerReference w:type="even" r:id="rId13"/>
      <w:footerReference w:type="default" r:id="rId14"/>
      <w:endnotePr>
        <w:numFmt w:val="decimal"/>
      </w:endnotePr>
      <w:pgSz w:w="11907" w:h="16840" w:code="9"/>
      <w:pgMar w:top="1418" w:right="1418" w:bottom="1418" w:left="1418" w:header="680"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38E" w:rsidRDefault="00A8238E">
      <w:pPr>
        <w:pStyle w:val="Footer"/>
      </w:pPr>
    </w:p>
  </w:endnote>
  <w:endnote w:type="continuationSeparator" w:id="0">
    <w:p w:rsidR="00A8238E" w:rsidRDefault="00A8238E">
      <w:pPr>
        <w:spacing w:after="0"/>
      </w:pPr>
    </w:p>
  </w:endnote>
  <w:endnote w:type="continuationNotice" w:id="1">
    <w:p w:rsidR="00A8238E" w:rsidRDefault="00A8238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E78" w:rsidRDefault="00EA6E78" w:rsidP="00EA6E78">
    <w:pPr>
      <w:suppressAutoHyphens/>
      <w:spacing w:after="0"/>
      <w:jc w:val="right"/>
    </w:pPr>
    <w:r w:rsidRPr="00EA6E78">
      <w:rPr>
        <w:rFonts w:ascii="Arial" w:hAnsi="Arial"/>
        <w:noProof/>
        <w:snapToGrid w:val="0"/>
        <w:sz w:val="12"/>
        <w:szCs w:val="24"/>
        <w:lang w:val="en-US" w:eastAsia="fr-FR"/>
      </w:rPr>
      <w:t>mm_ba/adn_wp15_ac2_2018_3</w:t>
    </w:r>
    <w:r>
      <w:rPr>
        <w:rFonts w:ascii="Arial" w:hAnsi="Arial"/>
        <w:noProof/>
        <w:snapToGrid w:val="0"/>
        <w:sz w:val="12"/>
        <w:szCs w:val="24"/>
        <w:lang w:val="en-US" w:eastAsia="fr-FR"/>
      </w:rPr>
      <w:t>5</w:t>
    </w:r>
    <w:r w:rsidRPr="00EA6E78">
      <w:rPr>
        <w:rFonts w:ascii="Arial" w:hAnsi="Arial"/>
        <w:noProof/>
        <w:snapToGrid w:val="0"/>
        <w:sz w:val="12"/>
        <w:szCs w:val="24"/>
        <w:lang w:val="en-US" w:eastAsia="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E78" w:rsidRDefault="00EA6E78" w:rsidP="00EA6E78">
    <w:pPr>
      <w:suppressAutoHyphens/>
      <w:spacing w:after="0"/>
      <w:jc w:val="right"/>
    </w:pPr>
    <w:r w:rsidRPr="00EA6E78">
      <w:rPr>
        <w:rFonts w:ascii="Arial" w:hAnsi="Arial"/>
        <w:noProof/>
        <w:snapToGrid w:val="0"/>
        <w:sz w:val="12"/>
        <w:szCs w:val="24"/>
        <w:lang w:val="en-US" w:eastAsia="fr-FR"/>
      </w:rPr>
      <w:t>mm_ba/adn_wp15_ac2_2018_3</w:t>
    </w:r>
    <w:r>
      <w:rPr>
        <w:rFonts w:ascii="Arial" w:hAnsi="Arial"/>
        <w:noProof/>
        <w:snapToGrid w:val="0"/>
        <w:sz w:val="12"/>
        <w:szCs w:val="24"/>
        <w:lang w:val="en-US" w:eastAsia="fr-FR"/>
      </w:rPr>
      <w:t>5</w:t>
    </w:r>
    <w:r w:rsidRPr="00EA6E78">
      <w:rPr>
        <w:rFonts w:ascii="Arial" w:hAnsi="Arial"/>
        <w:noProof/>
        <w:snapToGrid w:val="0"/>
        <w:sz w:val="12"/>
        <w:szCs w:val="24"/>
        <w:lang w:val="en-US" w:eastAsia="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38E" w:rsidRDefault="00A8238E">
      <w:pPr>
        <w:spacing w:after="0"/>
      </w:pPr>
      <w:r>
        <w:separator/>
      </w:r>
    </w:p>
  </w:footnote>
  <w:footnote w:type="continuationSeparator" w:id="0">
    <w:p w:rsidR="00A8238E" w:rsidRDefault="00A8238E">
      <w:pPr>
        <w:spacing w:after="0"/>
        <w:rPr>
          <w:u w:val="single"/>
        </w:rPr>
      </w:pPr>
      <w:r>
        <w:rPr>
          <w:u w:val="single"/>
        </w:rPr>
        <w:tab/>
      </w:r>
      <w:r>
        <w:rPr>
          <w:u w:val="single"/>
        </w:rPr>
        <w:tab/>
      </w:r>
      <w:r>
        <w:rPr>
          <w:u w:val="single"/>
        </w:rPr>
        <w:tab/>
      </w:r>
      <w:r>
        <w:rPr>
          <w:u w:val="single"/>
        </w:rPr>
        <w:tab/>
      </w:r>
    </w:p>
  </w:footnote>
  <w:footnote w:type="continuationNotice" w:id="1">
    <w:p w:rsidR="00A8238E" w:rsidRDefault="00A8238E">
      <w:pPr>
        <w:spacing w:after="0"/>
      </w:pPr>
    </w:p>
  </w:footnote>
  <w:footnote w:id="2">
    <w:p w:rsidR="00EA6E78" w:rsidRPr="00EA6E78" w:rsidRDefault="00EA6E78" w:rsidP="00EA6E78">
      <w:pPr>
        <w:pStyle w:val="FootnoteText"/>
        <w:spacing w:after="0"/>
        <w:rPr>
          <w:sz w:val="16"/>
          <w:szCs w:val="16"/>
          <w:lang w:val="de-DE"/>
        </w:rPr>
      </w:pPr>
      <w:r w:rsidRPr="005D4EB0">
        <w:rPr>
          <w:rStyle w:val="FootnoteReference"/>
          <w:sz w:val="20"/>
          <w:lang w:val="en-US"/>
        </w:rPr>
        <w:t>*</w:t>
      </w:r>
      <w:r>
        <w:rPr>
          <w:sz w:val="16"/>
          <w:szCs w:val="16"/>
          <w:lang w:val="en-US"/>
        </w:rPr>
        <w:tab/>
      </w:r>
      <w:r w:rsidRPr="00EA6E78">
        <w:rPr>
          <w:sz w:val="16"/>
          <w:szCs w:val="16"/>
          <w:lang w:val="de-DE"/>
        </w:rPr>
        <w:t>Von der UN-ECE in Englisch, Französisch und Russisch unter dem Aktenzeichen ECE/TRANS/WP.15/AC.2/2018/35 verteilt.</w:t>
      </w:r>
    </w:p>
  </w:footnote>
  <w:footnote w:id="3">
    <w:p w:rsidR="00EA6E78" w:rsidRPr="00EA6E78" w:rsidRDefault="00EA6E78" w:rsidP="00EA6E78">
      <w:pPr>
        <w:pStyle w:val="FootnoteText"/>
        <w:rPr>
          <w:sz w:val="16"/>
          <w:szCs w:val="16"/>
          <w:lang w:val="de-DE"/>
        </w:rPr>
      </w:pPr>
      <w:r w:rsidRPr="005D4EB0">
        <w:rPr>
          <w:rStyle w:val="FootnoteReference"/>
          <w:sz w:val="20"/>
          <w:lang w:val="en-US"/>
        </w:rPr>
        <w:t>**</w:t>
      </w:r>
      <w:r w:rsidRPr="003A7D20">
        <w:rPr>
          <w:lang w:val="en-US"/>
        </w:rPr>
        <w:tab/>
      </w:r>
      <w:r w:rsidRPr="00EA6E78">
        <w:rPr>
          <w:sz w:val="16"/>
          <w:szCs w:val="16"/>
          <w:lang w:val="de-DE"/>
        </w:rPr>
        <w:t>Gemäß dem Arbeitsprogramm des Binnenverkehrsausschusses für 2018-2019 (ECE/TRANS/2018/21/Add.1 (9.3.)).</w:t>
      </w:r>
    </w:p>
  </w:footnote>
  <w:footnote w:id="4">
    <w:p w:rsidR="00EA6E78" w:rsidRPr="00FB4A90" w:rsidRDefault="00EA6E78" w:rsidP="00FB4A90">
      <w:pPr>
        <w:pStyle w:val="FootnoteText"/>
        <w:tabs>
          <w:tab w:val="left" w:pos="284"/>
        </w:tabs>
        <w:rPr>
          <w:sz w:val="16"/>
          <w:szCs w:val="16"/>
          <w:lang w:val="en-US"/>
        </w:rPr>
      </w:pPr>
      <w:r w:rsidRPr="00EA6E78">
        <w:rPr>
          <w:rStyle w:val="FootnoteReference"/>
          <w:sz w:val="18"/>
          <w:szCs w:val="18"/>
        </w:rPr>
        <w:footnoteRef/>
      </w:r>
      <w:r w:rsidRPr="00EA6E78">
        <w:rPr>
          <w:sz w:val="18"/>
          <w:szCs w:val="18"/>
        </w:rPr>
        <w:t xml:space="preserve"> </w:t>
      </w:r>
      <w:r w:rsidRPr="00EA6E78">
        <w:rPr>
          <w:sz w:val="18"/>
          <w:szCs w:val="18"/>
        </w:rPr>
        <w:tab/>
      </w:r>
      <w:bookmarkStart w:id="2" w:name="WfTarget"/>
      <w:r w:rsidRPr="00FB4A90">
        <w:rPr>
          <w:sz w:val="16"/>
          <w:szCs w:val="16"/>
          <w:lang w:val="de-DE"/>
        </w:rPr>
        <w:t>ECE/ADN/33 (Absatz 12 und Anlage II).</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E78" w:rsidRPr="00EA6E78" w:rsidRDefault="00EA6E78" w:rsidP="00EA6E78">
    <w:pPr>
      <w:suppressAutoHyphens/>
      <w:spacing w:after="0"/>
      <w:jc w:val="right"/>
      <w:rPr>
        <w:rFonts w:ascii="Arial" w:hAnsi="Arial"/>
        <w:snapToGrid w:val="0"/>
        <w:sz w:val="16"/>
        <w:szCs w:val="16"/>
        <w:lang w:val="de-DE" w:eastAsia="fr-FR"/>
      </w:rPr>
    </w:pPr>
    <w:r w:rsidRPr="00EA6E78">
      <w:rPr>
        <w:rFonts w:ascii="Arial" w:hAnsi="Arial"/>
        <w:snapToGrid w:val="0"/>
        <w:sz w:val="16"/>
        <w:szCs w:val="16"/>
        <w:lang w:val="de-DE" w:eastAsia="fr-FR"/>
      </w:rPr>
      <w:t>CCNR-ZKR/ADN/WP.15/AC.2/2018/</w:t>
    </w:r>
    <w:r>
      <w:rPr>
        <w:rFonts w:ascii="Arial" w:hAnsi="Arial"/>
        <w:snapToGrid w:val="0"/>
        <w:sz w:val="16"/>
        <w:szCs w:val="16"/>
        <w:lang w:val="de-DE" w:eastAsia="fr-FR"/>
      </w:rPr>
      <w:t>35</w:t>
    </w:r>
  </w:p>
  <w:p w:rsidR="00EA6E78" w:rsidRDefault="00EA6E78" w:rsidP="00EA6E78">
    <w:pPr>
      <w:suppressAutoHyphens/>
      <w:spacing w:after="0"/>
      <w:jc w:val="right"/>
    </w:pPr>
    <w:r w:rsidRPr="00EA6E78">
      <w:rPr>
        <w:rFonts w:ascii="Arial" w:hAnsi="Arial"/>
        <w:snapToGrid w:val="0"/>
        <w:sz w:val="16"/>
        <w:szCs w:val="16"/>
        <w:lang w:val="de-DE" w:eastAsia="fr-FR"/>
      </w:rPr>
      <w:t xml:space="preserve">Seite </w:t>
    </w:r>
    <w:r w:rsidRPr="00EA6E78">
      <w:rPr>
        <w:rFonts w:ascii="Arial" w:hAnsi="Arial"/>
        <w:snapToGrid w:val="0"/>
        <w:sz w:val="16"/>
        <w:szCs w:val="16"/>
        <w:lang w:val="de-DE" w:eastAsia="fr-FR"/>
      </w:rPr>
      <w:fldChar w:fldCharType="begin"/>
    </w:r>
    <w:r w:rsidRPr="00EA6E78">
      <w:rPr>
        <w:rFonts w:ascii="Arial" w:hAnsi="Arial"/>
        <w:snapToGrid w:val="0"/>
        <w:sz w:val="16"/>
        <w:szCs w:val="16"/>
        <w:lang w:val="de-DE" w:eastAsia="fr-FR"/>
      </w:rPr>
      <w:instrText xml:space="preserve"> PAGE  \* MERGEFORMAT </w:instrText>
    </w:r>
    <w:r w:rsidRPr="00EA6E78">
      <w:rPr>
        <w:rFonts w:ascii="Arial" w:hAnsi="Arial"/>
        <w:snapToGrid w:val="0"/>
        <w:sz w:val="16"/>
        <w:szCs w:val="16"/>
        <w:lang w:val="de-DE" w:eastAsia="fr-FR"/>
      </w:rPr>
      <w:fldChar w:fldCharType="separate"/>
    </w:r>
    <w:r w:rsidR="00880633">
      <w:rPr>
        <w:rFonts w:ascii="Arial" w:hAnsi="Arial"/>
        <w:noProof/>
        <w:snapToGrid w:val="0"/>
        <w:sz w:val="16"/>
        <w:szCs w:val="16"/>
        <w:lang w:val="de-DE" w:eastAsia="fr-FR"/>
      </w:rPr>
      <w:t>4</w:t>
    </w:r>
    <w:r w:rsidRPr="00EA6E78">
      <w:rPr>
        <w:rFonts w:ascii="Arial" w:hAnsi="Arial"/>
        <w:snapToGrid w:val="0"/>
        <w:sz w:val="16"/>
        <w:szCs w:val="16"/>
        <w:lang w:val="de-DE"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E78" w:rsidRPr="00EA6E78" w:rsidRDefault="00EA6E78" w:rsidP="00EA6E78">
    <w:pPr>
      <w:suppressAutoHyphens/>
      <w:spacing w:after="0"/>
      <w:rPr>
        <w:rFonts w:ascii="Arial" w:hAnsi="Arial"/>
        <w:snapToGrid w:val="0"/>
        <w:sz w:val="16"/>
        <w:szCs w:val="16"/>
        <w:lang w:val="de-DE" w:eastAsia="fr-FR"/>
      </w:rPr>
    </w:pPr>
    <w:r w:rsidRPr="00EA6E78">
      <w:rPr>
        <w:rFonts w:ascii="Arial" w:hAnsi="Arial"/>
        <w:snapToGrid w:val="0"/>
        <w:sz w:val="16"/>
        <w:szCs w:val="16"/>
        <w:lang w:val="de-DE" w:eastAsia="fr-FR"/>
      </w:rPr>
      <w:t>CCNR-ZKR/ADN/WP.15/AC.2/2018/</w:t>
    </w:r>
    <w:r>
      <w:rPr>
        <w:rFonts w:ascii="Arial" w:hAnsi="Arial"/>
        <w:snapToGrid w:val="0"/>
        <w:sz w:val="16"/>
        <w:szCs w:val="16"/>
        <w:lang w:val="de-DE" w:eastAsia="fr-FR"/>
      </w:rPr>
      <w:t>35</w:t>
    </w:r>
  </w:p>
  <w:p w:rsidR="00EA6E78" w:rsidRDefault="00EA6E78" w:rsidP="00EA6E78">
    <w:pPr>
      <w:suppressAutoHyphens/>
      <w:spacing w:after="0"/>
    </w:pPr>
    <w:r w:rsidRPr="00EA6E78">
      <w:rPr>
        <w:rFonts w:ascii="Arial" w:hAnsi="Arial"/>
        <w:snapToGrid w:val="0"/>
        <w:sz w:val="16"/>
        <w:szCs w:val="16"/>
        <w:lang w:val="de-DE" w:eastAsia="fr-FR"/>
      </w:rPr>
      <w:t xml:space="preserve">Seite </w:t>
    </w:r>
    <w:r w:rsidRPr="00EA6E78">
      <w:rPr>
        <w:rFonts w:ascii="Arial" w:hAnsi="Arial"/>
        <w:snapToGrid w:val="0"/>
        <w:sz w:val="16"/>
        <w:szCs w:val="16"/>
        <w:lang w:val="de-DE" w:eastAsia="fr-FR"/>
      </w:rPr>
      <w:fldChar w:fldCharType="begin"/>
    </w:r>
    <w:r w:rsidRPr="00EA6E78">
      <w:rPr>
        <w:rFonts w:ascii="Arial" w:hAnsi="Arial"/>
        <w:snapToGrid w:val="0"/>
        <w:sz w:val="16"/>
        <w:szCs w:val="16"/>
        <w:lang w:val="de-DE" w:eastAsia="fr-FR"/>
      </w:rPr>
      <w:instrText xml:space="preserve"> PAGE  \* MERGEFORMAT </w:instrText>
    </w:r>
    <w:r w:rsidRPr="00EA6E78">
      <w:rPr>
        <w:rFonts w:ascii="Arial" w:hAnsi="Arial"/>
        <w:snapToGrid w:val="0"/>
        <w:sz w:val="16"/>
        <w:szCs w:val="16"/>
        <w:lang w:val="de-DE" w:eastAsia="fr-FR"/>
      </w:rPr>
      <w:fldChar w:fldCharType="separate"/>
    </w:r>
    <w:r w:rsidR="00880633">
      <w:rPr>
        <w:rFonts w:ascii="Arial" w:hAnsi="Arial"/>
        <w:noProof/>
        <w:snapToGrid w:val="0"/>
        <w:sz w:val="16"/>
        <w:szCs w:val="16"/>
        <w:lang w:val="de-DE" w:eastAsia="fr-FR"/>
      </w:rPr>
      <w:t>5</w:t>
    </w:r>
    <w:r w:rsidRPr="00EA6E78">
      <w:rPr>
        <w:rFonts w:ascii="Arial" w:hAnsi="Arial"/>
        <w:snapToGrid w:val="0"/>
        <w:sz w:val="16"/>
        <w:szCs w:val="16"/>
        <w:lang w:val="de-DE" w:eastAsia="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5D04184"/>
    <w:lvl w:ilvl="0">
      <w:start w:val="1"/>
      <w:numFmt w:val="decimal"/>
      <w:pStyle w:val="Style1"/>
      <w:lvlText w:val="%1."/>
      <w:lvlJc w:val="left"/>
      <w:pPr>
        <w:tabs>
          <w:tab w:val="num" w:pos="643"/>
        </w:tabs>
        <w:ind w:left="643" w:hanging="360"/>
      </w:pPr>
    </w:lvl>
  </w:abstractNum>
  <w:abstractNum w:abstractNumId="2" w15:restartNumberingAfterBreak="0">
    <w:nsid w:val="FFFFFF83"/>
    <w:multiLevelType w:val="multilevel"/>
    <w:tmpl w:val="BFE69506"/>
    <w:lvl w:ilvl="0">
      <w:start w:val="1"/>
      <w:numFmt w:val="bullet"/>
      <w:lvlText w:val=""/>
      <w:lvlJc w:val="left"/>
      <w:pPr>
        <w:tabs>
          <w:tab w:val="num" w:pos="643"/>
        </w:tabs>
        <w:ind w:left="643"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D32185"/>
    <w:multiLevelType w:val="hybridMultilevel"/>
    <w:tmpl w:val="2E6C475E"/>
    <w:lvl w:ilvl="0" w:tplc="77F098AA">
      <w:start w:val="1"/>
      <w:numFmt w:val="lowerRoman"/>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497937"/>
    <w:multiLevelType w:val="hybridMultilevel"/>
    <w:tmpl w:val="171626F4"/>
    <w:lvl w:ilvl="0" w:tplc="040C0017">
      <w:start w:val="1"/>
      <w:numFmt w:val="low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9CE3874"/>
    <w:multiLevelType w:val="hybridMultilevel"/>
    <w:tmpl w:val="903260C8"/>
    <w:lvl w:ilvl="0" w:tplc="604CC6C2">
      <w:start w:val="56"/>
      <w:numFmt w:val="bullet"/>
      <w:lvlText w:val="•"/>
      <w:lvlJc w:val="left"/>
      <w:pPr>
        <w:ind w:left="1500" w:hanging="360"/>
      </w:pPr>
      <w:rPr>
        <w:rFonts w:ascii="Times New Roman" w:eastAsia="Times New Roman" w:hAnsi="Times New Roman" w:cs="Times New Roman" w:hint="default"/>
        <w:sz w:val="18"/>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6" w15:restartNumberingAfterBreak="0">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C96F4A"/>
    <w:multiLevelType w:val="multilevel"/>
    <w:tmpl w:val="8E3AD518"/>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1380"/>
        </w:tabs>
        <w:ind w:left="1380" w:hanging="780"/>
      </w:pPr>
      <w:rPr>
        <w:rFonts w:hint="default"/>
      </w:rPr>
    </w:lvl>
    <w:lvl w:ilvl="2">
      <w:start w:val="1"/>
      <w:numFmt w:val="decimal"/>
      <w:lvlText w:val="%1.%2.%3"/>
      <w:lvlJc w:val="left"/>
      <w:pPr>
        <w:tabs>
          <w:tab w:val="num" w:pos="1980"/>
        </w:tabs>
        <w:ind w:left="1980" w:hanging="780"/>
      </w:pPr>
      <w:rPr>
        <w:rFonts w:hint="default"/>
      </w:rPr>
    </w:lvl>
    <w:lvl w:ilvl="3">
      <w:start w:val="1"/>
      <w:numFmt w:val="decimal"/>
      <w:lvlText w:val="%1.%2.%3.%4"/>
      <w:lvlJc w:val="left"/>
      <w:pPr>
        <w:tabs>
          <w:tab w:val="num" w:pos="2580"/>
        </w:tabs>
        <w:ind w:left="2580" w:hanging="7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8" w15:restartNumberingAfterBreak="0">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88F293E"/>
    <w:multiLevelType w:val="hybridMultilevel"/>
    <w:tmpl w:val="C046EF7A"/>
    <w:lvl w:ilvl="0" w:tplc="77F098AA">
      <w:start w:val="1"/>
      <w:numFmt w:val="lowerRoman"/>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9A97F8D"/>
    <w:multiLevelType w:val="multilevel"/>
    <w:tmpl w:val="A4840074"/>
    <w:lvl w:ilvl="0">
      <w:start w:val="8"/>
      <w:numFmt w:val="decimal"/>
      <w:lvlText w:val="%1"/>
      <w:lvlJc w:val="left"/>
      <w:pPr>
        <w:tabs>
          <w:tab w:val="num" w:pos="1200"/>
        </w:tabs>
        <w:ind w:left="1200" w:hanging="1200"/>
      </w:pPr>
      <w:rPr>
        <w:rFonts w:hint="default"/>
        <w:b/>
      </w:rPr>
    </w:lvl>
    <w:lvl w:ilvl="1">
      <w:start w:val="1"/>
      <w:numFmt w:val="decimal"/>
      <w:lvlText w:val="%1.%2"/>
      <w:lvlJc w:val="left"/>
      <w:pPr>
        <w:tabs>
          <w:tab w:val="num" w:pos="1200"/>
        </w:tabs>
        <w:ind w:left="1200" w:hanging="1200"/>
      </w:pPr>
      <w:rPr>
        <w:rFonts w:hint="default"/>
        <w:b/>
      </w:rPr>
    </w:lvl>
    <w:lvl w:ilvl="2">
      <w:start w:val="2"/>
      <w:numFmt w:val="decimal"/>
      <w:lvlText w:val="%1.%2.%3"/>
      <w:lvlJc w:val="left"/>
      <w:pPr>
        <w:tabs>
          <w:tab w:val="num" w:pos="1200"/>
        </w:tabs>
        <w:ind w:left="1200" w:hanging="1200"/>
      </w:pPr>
      <w:rPr>
        <w:rFonts w:hint="default"/>
        <w:b/>
      </w:rPr>
    </w:lvl>
    <w:lvl w:ilvl="3">
      <w:start w:val="8"/>
      <w:numFmt w:val="decimal"/>
      <w:lvlText w:val="%1.%2.%3.%4"/>
      <w:lvlJc w:val="left"/>
      <w:pPr>
        <w:tabs>
          <w:tab w:val="num" w:pos="1200"/>
        </w:tabs>
        <w:ind w:left="1200" w:hanging="1200"/>
      </w:pPr>
      <w:rPr>
        <w:rFonts w:hint="default"/>
        <w:b/>
      </w:rPr>
    </w:lvl>
    <w:lvl w:ilvl="4">
      <w:start w:val="1"/>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2B3F49C6"/>
    <w:multiLevelType w:val="singleLevel"/>
    <w:tmpl w:val="3CF288AC"/>
    <w:lvl w:ilvl="0">
      <w:start w:val="1"/>
      <w:numFmt w:val="lowerRoman"/>
      <w:pStyle w:val="Rom2"/>
      <w:lvlText w:val="(%1)"/>
      <w:lvlJc w:val="right"/>
      <w:pPr>
        <w:tabs>
          <w:tab w:val="num" w:pos="2160"/>
        </w:tabs>
        <w:ind w:left="2160" w:hanging="516"/>
      </w:pPr>
    </w:lvl>
  </w:abstractNum>
  <w:abstractNum w:abstractNumId="12" w15:restartNumberingAfterBreak="0">
    <w:nsid w:val="2D0266DF"/>
    <w:multiLevelType w:val="hybridMultilevel"/>
    <w:tmpl w:val="324008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30EE2"/>
    <w:multiLevelType w:val="hybridMultilevel"/>
    <w:tmpl w:val="75D0445A"/>
    <w:lvl w:ilvl="0" w:tplc="CEDA21BC">
      <w:start w:val="9"/>
      <w:numFmt w:val="bullet"/>
      <w:lvlText w:val="–"/>
      <w:lvlJc w:val="left"/>
      <w:pPr>
        <w:tabs>
          <w:tab w:val="num" w:pos="1440"/>
        </w:tabs>
        <w:ind w:left="1440" w:hanging="360"/>
      </w:pPr>
      <w:rPr>
        <w:rFonts w:ascii="Arial" w:eastAsia="Times New Roman" w:hAnsi="Arial" w:cs="Aria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6" w15:restartNumberingAfterBreak="0">
    <w:nsid w:val="3E7F4E04"/>
    <w:multiLevelType w:val="hybridMultilevel"/>
    <w:tmpl w:val="4EA2311A"/>
    <w:lvl w:ilvl="0" w:tplc="AD786BBA">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7" w15:restartNumberingAfterBreak="0">
    <w:nsid w:val="3ED005A4"/>
    <w:multiLevelType w:val="hybridMultilevel"/>
    <w:tmpl w:val="4EA2311A"/>
    <w:lvl w:ilvl="0" w:tplc="AD786BBA">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8" w15:restartNumberingAfterBreak="0">
    <w:nsid w:val="4CD84C24"/>
    <w:multiLevelType w:val="multilevel"/>
    <w:tmpl w:val="A59E12A8"/>
    <w:lvl w:ilvl="0">
      <w:start w:val="9"/>
      <w:numFmt w:val="decimal"/>
      <w:lvlText w:val="%1"/>
      <w:lvlJc w:val="left"/>
      <w:pPr>
        <w:tabs>
          <w:tab w:val="num" w:pos="1200"/>
        </w:tabs>
        <w:ind w:left="1200" w:hanging="1200"/>
      </w:pPr>
      <w:rPr>
        <w:rFonts w:hint="default"/>
        <w:b/>
      </w:rPr>
    </w:lvl>
    <w:lvl w:ilvl="1">
      <w:start w:val="3"/>
      <w:numFmt w:val="decimal"/>
      <w:lvlText w:val="%1.%2"/>
      <w:lvlJc w:val="left"/>
      <w:pPr>
        <w:tabs>
          <w:tab w:val="num" w:pos="1200"/>
        </w:tabs>
        <w:ind w:left="1200" w:hanging="1200"/>
      </w:pPr>
      <w:rPr>
        <w:rFonts w:hint="default"/>
        <w:b/>
      </w:rPr>
    </w:lvl>
    <w:lvl w:ilvl="2">
      <w:start w:val="1"/>
      <w:numFmt w:val="decimal"/>
      <w:lvlText w:val="%1.%2.%3"/>
      <w:lvlJc w:val="left"/>
      <w:pPr>
        <w:tabs>
          <w:tab w:val="num" w:pos="1200"/>
        </w:tabs>
        <w:ind w:left="1200" w:hanging="1200"/>
      </w:pPr>
      <w:rPr>
        <w:rFonts w:hint="default"/>
        <w:b/>
      </w:rPr>
    </w:lvl>
    <w:lvl w:ilvl="3">
      <w:start w:val="25"/>
      <w:numFmt w:val="decimal"/>
      <w:lvlText w:val="%1.%2.%3.%4"/>
      <w:lvlJc w:val="left"/>
      <w:pPr>
        <w:tabs>
          <w:tab w:val="num" w:pos="1200"/>
        </w:tabs>
        <w:ind w:left="1200" w:hanging="1200"/>
      </w:pPr>
      <w:rPr>
        <w:rFonts w:hint="default"/>
        <w:b/>
      </w:rPr>
    </w:lvl>
    <w:lvl w:ilvl="4">
      <w:start w:val="7"/>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52C105CD"/>
    <w:multiLevelType w:val="hybridMultilevel"/>
    <w:tmpl w:val="E4089760"/>
    <w:lvl w:ilvl="0" w:tplc="3B0EEEFC">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2D33938"/>
    <w:multiLevelType w:val="hybridMultilevel"/>
    <w:tmpl w:val="1A1C0014"/>
    <w:lvl w:ilvl="0" w:tplc="8FEAACA8">
      <w:start w:val="6"/>
      <w:numFmt w:val="bullet"/>
      <w:lvlText w:val="-"/>
      <w:lvlJc w:val="left"/>
      <w:pPr>
        <w:ind w:left="930" w:hanging="360"/>
      </w:pPr>
      <w:rPr>
        <w:rFonts w:ascii="Times New Roman" w:eastAsia="Times New Roman" w:hAnsi="Times New Roman" w:cs="Times New Roman"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21" w15:restartNumberingAfterBreak="0">
    <w:nsid w:val="5BEE07CF"/>
    <w:multiLevelType w:val="hybridMultilevel"/>
    <w:tmpl w:val="35FED9DC"/>
    <w:lvl w:ilvl="0" w:tplc="040C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6C9686B"/>
    <w:multiLevelType w:val="hybridMultilevel"/>
    <w:tmpl w:val="3618A894"/>
    <w:lvl w:ilvl="0" w:tplc="50AE977E">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3" w15:restartNumberingAfterBreak="0">
    <w:nsid w:val="674225AE"/>
    <w:multiLevelType w:val="hybridMultilevel"/>
    <w:tmpl w:val="BADAEFC6"/>
    <w:lvl w:ilvl="0" w:tplc="FF2494AA">
      <w:start w:val="1"/>
      <w:numFmt w:val="lowerRoman"/>
      <w:lvlText w:val="%1)"/>
      <w:lvlJc w:val="left"/>
      <w:pPr>
        <w:ind w:left="1290" w:hanging="72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4" w15:restartNumberingAfterBreak="0">
    <w:nsid w:val="6EFB6CBC"/>
    <w:multiLevelType w:val="multilevel"/>
    <w:tmpl w:val="7F66D99A"/>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1CA2DFE"/>
    <w:multiLevelType w:val="hybridMultilevel"/>
    <w:tmpl w:val="9CE0E664"/>
    <w:lvl w:ilvl="0" w:tplc="D73A8728">
      <w:start w:val="1"/>
      <w:numFmt w:val="upperRoman"/>
      <w:lvlText w:val="%1."/>
      <w:lvlJc w:val="left"/>
      <w:pPr>
        <w:ind w:left="1080" w:hanging="72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71B23FD"/>
    <w:multiLevelType w:val="multilevel"/>
    <w:tmpl w:val="CB925166"/>
    <w:lvl w:ilvl="0">
      <w:start w:val="1"/>
      <w:numFmt w:val="decimal"/>
      <w:lvlText w:val="%1"/>
      <w:lvlJc w:val="left"/>
      <w:pPr>
        <w:tabs>
          <w:tab w:val="num" w:pos="1140"/>
        </w:tabs>
        <w:ind w:left="1140" w:hanging="1140"/>
      </w:pPr>
      <w:rPr>
        <w:rFonts w:hint="default"/>
        <w:b/>
      </w:rPr>
    </w:lvl>
    <w:lvl w:ilvl="1">
      <w:start w:val="16"/>
      <w:numFmt w:val="decimal"/>
      <w:lvlText w:val="%1.%2"/>
      <w:lvlJc w:val="left"/>
      <w:pPr>
        <w:tabs>
          <w:tab w:val="num" w:pos="1140"/>
        </w:tabs>
        <w:ind w:left="1140" w:hanging="1140"/>
      </w:pPr>
      <w:rPr>
        <w:rFonts w:hint="default"/>
        <w:b/>
      </w:rPr>
    </w:lvl>
    <w:lvl w:ilvl="2">
      <w:start w:val="1"/>
      <w:numFmt w:val="decimal"/>
      <w:lvlText w:val="%1.%2.%3"/>
      <w:lvlJc w:val="left"/>
      <w:pPr>
        <w:tabs>
          <w:tab w:val="num" w:pos="1140"/>
        </w:tabs>
        <w:ind w:left="1140" w:hanging="1140"/>
      </w:pPr>
      <w:rPr>
        <w:rFonts w:hint="default"/>
        <w:b/>
      </w:rPr>
    </w:lvl>
    <w:lvl w:ilvl="3">
      <w:start w:val="2"/>
      <w:numFmt w:val="decimal"/>
      <w:lvlText w:val="%1.%2.%3.%4"/>
      <w:lvlJc w:val="left"/>
      <w:pPr>
        <w:tabs>
          <w:tab w:val="num" w:pos="1140"/>
        </w:tabs>
        <w:ind w:left="1140" w:hanging="1140"/>
      </w:pPr>
      <w:rPr>
        <w:rFonts w:hint="default"/>
        <w:b/>
      </w:rPr>
    </w:lvl>
    <w:lvl w:ilvl="4">
      <w:start w:val="2"/>
      <w:numFmt w:val="decimal"/>
      <w:lvlText w:val="%1.%2.%3.%4.%5"/>
      <w:lvlJc w:val="left"/>
      <w:pPr>
        <w:tabs>
          <w:tab w:val="num" w:pos="1140"/>
        </w:tabs>
        <w:ind w:left="1140" w:hanging="1140"/>
      </w:pPr>
      <w:rPr>
        <w:rFonts w:hint="default"/>
        <w:b/>
      </w:rPr>
    </w:lvl>
    <w:lvl w:ilvl="5">
      <w:start w:val="1"/>
      <w:numFmt w:val="decimal"/>
      <w:lvlText w:val="%1.%2.%3.%4.%5.%6"/>
      <w:lvlJc w:val="left"/>
      <w:pPr>
        <w:tabs>
          <w:tab w:val="num" w:pos="1140"/>
        </w:tabs>
        <w:ind w:left="1140" w:hanging="11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5"/>
  </w:num>
  <w:num w:numId="2">
    <w:abstractNumId w:val="11"/>
  </w:num>
  <w:num w:numId="3">
    <w:abstractNumId w:val="6"/>
  </w:num>
  <w:num w:numId="4">
    <w:abstractNumId w:val="13"/>
  </w:num>
  <w:num w:numId="5">
    <w:abstractNumId w:val="1"/>
  </w:num>
  <w:num w:numId="6">
    <w:abstractNumId w:val="26"/>
  </w:num>
  <w:num w:numId="7">
    <w:abstractNumId w:val="18"/>
  </w:num>
  <w:num w:numId="8">
    <w:abstractNumId w:val="7"/>
  </w:num>
  <w:num w:numId="9">
    <w:abstractNumId w:val="8"/>
  </w:num>
  <w:num w:numId="10">
    <w:abstractNumId w:val="10"/>
  </w:num>
  <w:num w:numId="11">
    <w:abstractNumId w:val="14"/>
  </w:num>
  <w:num w:numId="12">
    <w:abstractNumId w:val="24"/>
  </w:num>
  <w:num w:numId="13">
    <w:abstractNumId w:val="2"/>
  </w:num>
  <w:num w:numId="14">
    <w:abstractNumId w:val="9"/>
  </w:num>
  <w:num w:numId="15">
    <w:abstractNumId w:val="17"/>
  </w:num>
  <w:num w:numId="16">
    <w:abstractNumId w:val="16"/>
  </w:num>
  <w:num w:numId="17">
    <w:abstractNumId w:val="3"/>
  </w:num>
  <w:num w:numId="18">
    <w:abstractNumId w:val="25"/>
  </w:num>
  <w:num w:numId="19">
    <w:abstractNumId w:val="19"/>
  </w:num>
  <w:num w:numId="20">
    <w:abstractNumId w:val="12"/>
  </w:num>
  <w:num w:numId="21">
    <w:abstractNumId w:val="23"/>
  </w:num>
  <w:num w:numId="22">
    <w:abstractNumId w:val="22"/>
  </w:num>
  <w:num w:numId="23">
    <w:abstractNumId w:val="5"/>
  </w:num>
  <w:num w:numId="24">
    <w:abstractNumId w:val="20"/>
  </w:num>
  <w:num w:numId="25">
    <w:abstractNumId w:val="21"/>
  </w:num>
  <w:num w:numId="26">
    <w:abstractNumId w:val="4"/>
  </w:num>
  <w:num w:numId="2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evenAndOddHeaders/>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922"/>
    <w:rsid w:val="00001E90"/>
    <w:rsid w:val="00002146"/>
    <w:rsid w:val="0000299C"/>
    <w:rsid w:val="000038C0"/>
    <w:rsid w:val="00007F6A"/>
    <w:rsid w:val="000151E1"/>
    <w:rsid w:val="000217BA"/>
    <w:rsid w:val="0002700B"/>
    <w:rsid w:val="0002723B"/>
    <w:rsid w:val="00034366"/>
    <w:rsid w:val="000366B7"/>
    <w:rsid w:val="00037033"/>
    <w:rsid w:val="000400C4"/>
    <w:rsid w:val="00041312"/>
    <w:rsid w:val="0004300F"/>
    <w:rsid w:val="00044BFC"/>
    <w:rsid w:val="000500BF"/>
    <w:rsid w:val="00050114"/>
    <w:rsid w:val="000516AA"/>
    <w:rsid w:val="0005197F"/>
    <w:rsid w:val="00054A90"/>
    <w:rsid w:val="000558EB"/>
    <w:rsid w:val="0005758B"/>
    <w:rsid w:val="00057A93"/>
    <w:rsid w:val="00060CCD"/>
    <w:rsid w:val="00061329"/>
    <w:rsid w:val="00061AD3"/>
    <w:rsid w:val="00064AC7"/>
    <w:rsid w:val="000667CE"/>
    <w:rsid w:val="00067498"/>
    <w:rsid w:val="00067BD0"/>
    <w:rsid w:val="00070693"/>
    <w:rsid w:val="00070E56"/>
    <w:rsid w:val="00071B40"/>
    <w:rsid w:val="00072140"/>
    <w:rsid w:val="00073EA8"/>
    <w:rsid w:val="00073FB6"/>
    <w:rsid w:val="0007426C"/>
    <w:rsid w:val="00077405"/>
    <w:rsid w:val="0008020B"/>
    <w:rsid w:val="00082E74"/>
    <w:rsid w:val="00093086"/>
    <w:rsid w:val="00095DAD"/>
    <w:rsid w:val="00096154"/>
    <w:rsid w:val="000A3277"/>
    <w:rsid w:val="000A6F97"/>
    <w:rsid w:val="000B1DCB"/>
    <w:rsid w:val="000B25D0"/>
    <w:rsid w:val="000B2FCE"/>
    <w:rsid w:val="000B360C"/>
    <w:rsid w:val="000B3F5E"/>
    <w:rsid w:val="000B697D"/>
    <w:rsid w:val="000C0E49"/>
    <w:rsid w:val="000C100E"/>
    <w:rsid w:val="000C120B"/>
    <w:rsid w:val="000C3D08"/>
    <w:rsid w:val="000C618B"/>
    <w:rsid w:val="000D3032"/>
    <w:rsid w:val="000D4774"/>
    <w:rsid w:val="000D561F"/>
    <w:rsid w:val="000E06E4"/>
    <w:rsid w:val="000E5406"/>
    <w:rsid w:val="000E71CC"/>
    <w:rsid w:val="000F3523"/>
    <w:rsid w:val="000F3B3B"/>
    <w:rsid w:val="000F574C"/>
    <w:rsid w:val="00106C1B"/>
    <w:rsid w:val="00107DFC"/>
    <w:rsid w:val="00111B8A"/>
    <w:rsid w:val="00114C05"/>
    <w:rsid w:val="00115689"/>
    <w:rsid w:val="001162B6"/>
    <w:rsid w:val="001168E3"/>
    <w:rsid w:val="0012049D"/>
    <w:rsid w:val="00122163"/>
    <w:rsid w:val="0012596F"/>
    <w:rsid w:val="001309F5"/>
    <w:rsid w:val="00131898"/>
    <w:rsid w:val="00131BD6"/>
    <w:rsid w:val="0013308C"/>
    <w:rsid w:val="0013415E"/>
    <w:rsid w:val="001366D6"/>
    <w:rsid w:val="00137616"/>
    <w:rsid w:val="00141BE2"/>
    <w:rsid w:val="00143FA2"/>
    <w:rsid w:val="0014423E"/>
    <w:rsid w:val="00144311"/>
    <w:rsid w:val="00147198"/>
    <w:rsid w:val="00152AD7"/>
    <w:rsid w:val="00152E73"/>
    <w:rsid w:val="0015395A"/>
    <w:rsid w:val="0015581D"/>
    <w:rsid w:val="00160FD5"/>
    <w:rsid w:val="0016201E"/>
    <w:rsid w:val="00163706"/>
    <w:rsid w:val="00164C45"/>
    <w:rsid w:val="001665F2"/>
    <w:rsid w:val="001675D0"/>
    <w:rsid w:val="00171BE7"/>
    <w:rsid w:val="00171E75"/>
    <w:rsid w:val="00172BDF"/>
    <w:rsid w:val="00174FF1"/>
    <w:rsid w:val="001770A9"/>
    <w:rsid w:val="001811D0"/>
    <w:rsid w:val="001817AF"/>
    <w:rsid w:val="00181ECA"/>
    <w:rsid w:val="001824E1"/>
    <w:rsid w:val="001828CA"/>
    <w:rsid w:val="001853A3"/>
    <w:rsid w:val="00186BF8"/>
    <w:rsid w:val="00186CCD"/>
    <w:rsid w:val="00187038"/>
    <w:rsid w:val="001902EF"/>
    <w:rsid w:val="001919B1"/>
    <w:rsid w:val="00192271"/>
    <w:rsid w:val="00192DC1"/>
    <w:rsid w:val="001A04FA"/>
    <w:rsid w:val="001A1361"/>
    <w:rsid w:val="001A6F70"/>
    <w:rsid w:val="001A705C"/>
    <w:rsid w:val="001A727C"/>
    <w:rsid w:val="001B478E"/>
    <w:rsid w:val="001B5295"/>
    <w:rsid w:val="001B57CF"/>
    <w:rsid w:val="001B731A"/>
    <w:rsid w:val="001C024F"/>
    <w:rsid w:val="001C43FA"/>
    <w:rsid w:val="001C6029"/>
    <w:rsid w:val="001E55C3"/>
    <w:rsid w:val="001F09CC"/>
    <w:rsid w:val="001F1079"/>
    <w:rsid w:val="001F1F05"/>
    <w:rsid w:val="001F209B"/>
    <w:rsid w:val="001F42B0"/>
    <w:rsid w:val="001F4AD7"/>
    <w:rsid w:val="001F52BC"/>
    <w:rsid w:val="001F7B38"/>
    <w:rsid w:val="00201C24"/>
    <w:rsid w:val="00207C16"/>
    <w:rsid w:val="00211B4E"/>
    <w:rsid w:val="00211CEC"/>
    <w:rsid w:val="002169C7"/>
    <w:rsid w:val="00216D73"/>
    <w:rsid w:val="00217CBA"/>
    <w:rsid w:val="00222E79"/>
    <w:rsid w:val="00226EA3"/>
    <w:rsid w:val="00230BAD"/>
    <w:rsid w:val="00232F8C"/>
    <w:rsid w:val="0023654A"/>
    <w:rsid w:val="00240A17"/>
    <w:rsid w:val="00241778"/>
    <w:rsid w:val="0024315A"/>
    <w:rsid w:val="00243860"/>
    <w:rsid w:val="00245760"/>
    <w:rsid w:val="00245CD7"/>
    <w:rsid w:val="002471F5"/>
    <w:rsid w:val="00252C35"/>
    <w:rsid w:val="00256038"/>
    <w:rsid w:val="00256BE9"/>
    <w:rsid w:val="0025725D"/>
    <w:rsid w:val="002613AC"/>
    <w:rsid w:val="00262A49"/>
    <w:rsid w:val="002725E1"/>
    <w:rsid w:val="00273048"/>
    <w:rsid w:val="00273ECF"/>
    <w:rsid w:val="0028124B"/>
    <w:rsid w:val="002850A9"/>
    <w:rsid w:val="002852DB"/>
    <w:rsid w:val="002925CC"/>
    <w:rsid w:val="00292B45"/>
    <w:rsid w:val="00293062"/>
    <w:rsid w:val="00293A26"/>
    <w:rsid w:val="00294E58"/>
    <w:rsid w:val="002953F1"/>
    <w:rsid w:val="002959A3"/>
    <w:rsid w:val="00297B40"/>
    <w:rsid w:val="00297C02"/>
    <w:rsid w:val="002A00FC"/>
    <w:rsid w:val="002A26E5"/>
    <w:rsid w:val="002A5AC5"/>
    <w:rsid w:val="002B1104"/>
    <w:rsid w:val="002B335D"/>
    <w:rsid w:val="002B5575"/>
    <w:rsid w:val="002B75F4"/>
    <w:rsid w:val="002B7B77"/>
    <w:rsid w:val="002C34CD"/>
    <w:rsid w:val="002C5D21"/>
    <w:rsid w:val="002C6003"/>
    <w:rsid w:val="002C63BE"/>
    <w:rsid w:val="002C7555"/>
    <w:rsid w:val="002C758C"/>
    <w:rsid w:val="002D134D"/>
    <w:rsid w:val="002D13CC"/>
    <w:rsid w:val="002D3FF9"/>
    <w:rsid w:val="002D4BDB"/>
    <w:rsid w:val="002E12C4"/>
    <w:rsid w:val="002E1922"/>
    <w:rsid w:val="002E1B9C"/>
    <w:rsid w:val="002E26AB"/>
    <w:rsid w:val="002E274C"/>
    <w:rsid w:val="002E3B97"/>
    <w:rsid w:val="002E4C45"/>
    <w:rsid w:val="002E4E6B"/>
    <w:rsid w:val="002E5219"/>
    <w:rsid w:val="002E5FDC"/>
    <w:rsid w:val="002E62E4"/>
    <w:rsid w:val="002F0DAB"/>
    <w:rsid w:val="002F1015"/>
    <w:rsid w:val="002F2DBA"/>
    <w:rsid w:val="002F4582"/>
    <w:rsid w:val="002F46DA"/>
    <w:rsid w:val="002F5330"/>
    <w:rsid w:val="00300C0A"/>
    <w:rsid w:val="00300DC1"/>
    <w:rsid w:val="00301CFC"/>
    <w:rsid w:val="00301EB1"/>
    <w:rsid w:val="00302FCA"/>
    <w:rsid w:val="00303F98"/>
    <w:rsid w:val="00306640"/>
    <w:rsid w:val="00311520"/>
    <w:rsid w:val="003119F2"/>
    <w:rsid w:val="00311C72"/>
    <w:rsid w:val="0031257D"/>
    <w:rsid w:val="0031273A"/>
    <w:rsid w:val="003146BA"/>
    <w:rsid w:val="003148C5"/>
    <w:rsid w:val="00315C33"/>
    <w:rsid w:val="0031672F"/>
    <w:rsid w:val="0031701F"/>
    <w:rsid w:val="00321463"/>
    <w:rsid w:val="00321655"/>
    <w:rsid w:val="003240A1"/>
    <w:rsid w:val="003241E3"/>
    <w:rsid w:val="00325611"/>
    <w:rsid w:val="0033076D"/>
    <w:rsid w:val="00333327"/>
    <w:rsid w:val="0033405A"/>
    <w:rsid w:val="003371B3"/>
    <w:rsid w:val="003378C4"/>
    <w:rsid w:val="0034431A"/>
    <w:rsid w:val="0035078B"/>
    <w:rsid w:val="00350951"/>
    <w:rsid w:val="00352C95"/>
    <w:rsid w:val="00352F30"/>
    <w:rsid w:val="0035388D"/>
    <w:rsid w:val="00354FB0"/>
    <w:rsid w:val="00356BA4"/>
    <w:rsid w:val="00357395"/>
    <w:rsid w:val="00357FB2"/>
    <w:rsid w:val="00360661"/>
    <w:rsid w:val="00360945"/>
    <w:rsid w:val="00360A29"/>
    <w:rsid w:val="00361D58"/>
    <w:rsid w:val="0037285C"/>
    <w:rsid w:val="00372C33"/>
    <w:rsid w:val="00375625"/>
    <w:rsid w:val="00375E4E"/>
    <w:rsid w:val="003775F5"/>
    <w:rsid w:val="00377B53"/>
    <w:rsid w:val="00380FFA"/>
    <w:rsid w:val="00381EBE"/>
    <w:rsid w:val="00385969"/>
    <w:rsid w:val="00385C45"/>
    <w:rsid w:val="00385FB2"/>
    <w:rsid w:val="00387E5C"/>
    <w:rsid w:val="00390BB7"/>
    <w:rsid w:val="003913D5"/>
    <w:rsid w:val="003927D1"/>
    <w:rsid w:val="00392D80"/>
    <w:rsid w:val="0039615E"/>
    <w:rsid w:val="00396812"/>
    <w:rsid w:val="003968A0"/>
    <w:rsid w:val="00396BD5"/>
    <w:rsid w:val="00396E3E"/>
    <w:rsid w:val="003A103A"/>
    <w:rsid w:val="003A142E"/>
    <w:rsid w:val="003A19F3"/>
    <w:rsid w:val="003A2C42"/>
    <w:rsid w:val="003A410E"/>
    <w:rsid w:val="003A4137"/>
    <w:rsid w:val="003A5CB0"/>
    <w:rsid w:val="003A6B3B"/>
    <w:rsid w:val="003B2AD6"/>
    <w:rsid w:val="003B51D5"/>
    <w:rsid w:val="003B565E"/>
    <w:rsid w:val="003B5C47"/>
    <w:rsid w:val="003C1B4B"/>
    <w:rsid w:val="003C242B"/>
    <w:rsid w:val="003C2B9A"/>
    <w:rsid w:val="003D07DF"/>
    <w:rsid w:val="003D0C6D"/>
    <w:rsid w:val="003D1551"/>
    <w:rsid w:val="003D1A3C"/>
    <w:rsid w:val="003D2C72"/>
    <w:rsid w:val="003D3C1B"/>
    <w:rsid w:val="003D3D3B"/>
    <w:rsid w:val="003D55E0"/>
    <w:rsid w:val="003D605F"/>
    <w:rsid w:val="003D6093"/>
    <w:rsid w:val="003D6959"/>
    <w:rsid w:val="003E200E"/>
    <w:rsid w:val="003E2A6D"/>
    <w:rsid w:val="003E3EF1"/>
    <w:rsid w:val="003E4185"/>
    <w:rsid w:val="003E45A3"/>
    <w:rsid w:val="003E4BEE"/>
    <w:rsid w:val="003E4D2B"/>
    <w:rsid w:val="003E5C85"/>
    <w:rsid w:val="003F1078"/>
    <w:rsid w:val="003F343E"/>
    <w:rsid w:val="003F42D3"/>
    <w:rsid w:val="003F50EF"/>
    <w:rsid w:val="00400C64"/>
    <w:rsid w:val="00401556"/>
    <w:rsid w:val="004017B5"/>
    <w:rsid w:val="00403245"/>
    <w:rsid w:val="004047B2"/>
    <w:rsid w:val="00405582"/>
    <w:rsid w:val="00413D2B"/>
    <w:rsid w:val="0041550B"/>
    <w:rsid w:val="0041579A"/>
    <w:rsid w:val="00415FF4"/>
    <w:rsid w:val="0041778F"/>
    <w:rsid w:val="00424CC3"/>
    <w:rsid w:val="0042684E"/>
    <w:rsid w:val="004277C7"/>
    <w:rsid w:val="00431FD0"/>
    <w:rsid w:val="004320DB"/>
    <w:rsid w:val="00434780"/>
    <w:rsid w:val="00435FBA"/>
    <w:rsid w:val="00444304"/>
    <w:rsid w:val="00444CFD"/>
    <w:rsid w:val="0045185F"/>
    <w:rsid w:val="00451F3B"/>
    <w:rsid w:val="00452288"/>
    <w:rsid w:val="004525D6"/>
    <w:rsid w:val="00453FF2"/>
    <w:rsid w:val="00460297"/>
    <w:rsid w:val="00464E2F"/>
    <w:rsid w:val="004669B8"/>
    <w:rsid w:val="0046718F"/>
    <w:rsid w:val="00467EB8"/>
    <w:rsid w:val="0047033C"/>
    <w:rsid w:val="00470EAF"/>
    <w:rsid w:val="004721EA"/>
    <w:rsid w:val="00473011"/>
    <w:rsid w:val="0047312D"/>
    <w:rsid w:val="00475CAE"/>
    <w:rsid w:val="0048017F"/>
    <w:rsid w:val="00482795"/>
    <w:rsid w:val="00482CBF"/>
    <w:rsid w:val="0048327E"/>
    <w:rsid w:val="00483AB8"/>
    <w:rsid w:val="00484D3D"/>
    <w:rsid w:val="00485603"/>
    <w:rsid w:val="004867AC"/>
    <w:rsid w:val="0048680A"/>
    <w:rsid w:val="00491BBA"/>
    <w:rsid w:val="004931BA"/>
    <w:rsid w:val="00493F3A"/>
    <w:rsid w:val="00497080"/>
    <w:rsid w:val="004A5A4A"/>
    <w:rsid w:val="004A62A6"/>
    <w:rsid w:val="004A70B5"/>
    <w:rsid w:val="004B12C7"/>
    <w:rsid w:val="004B1341"/>
    <w:rsid w:val="004B14EA"/>
    <w:rsid w:val="004B71E1"/>
    <w:rsid w:val="004C1A89"/>
    <w:rsid w:val="004C6E8E"/>
    <w:rsid w:val="004C730B"/>
    <w:rsid w:val="004C7D3E"/>
    <w:rsid w:val="004C7D6F"/>
    <w:rsid w:val="004D0ECF"/>
    <w:rsid w:val="004D17C6"/>
    <w:rsid w:val="004D290A"/>
    <w:rsid w:val="004D2EAD"/>
    <w:rsid w:val="004D345F"/>
    <w:rsid w:val="004D682A"/>
    <w:rsid w:val="004D6CE9"/>
    <w:rsid w:val="004D74A8"/>
    <w:rsid w:val="004E0C85"/>
    <w:rsid w:val="004E1CB7"/>
    <w:rsid w:val="004E33F4"/>
    <w:rsid w:val="004E3467"/>
    <w:rsid w:val="004E3918"/>
    <w:rsid w:val="004E39CD"/>
    <w:rsid w:val="004E5AE9"/>
    <w:rsid w:val="004E609B"/>
    <w:rsid w:val="004F17AC"/>
    <w:rsid w:val="004F21B6"/>
    <w:rsid w:val="004F3218"/>
    <w:rsid w:val="004F44F6"/>
    <w:rsid w:val="004F669F"/>
    <w:rsid w:val="004F6F62"/>
    <w:rsid w:val="00501044"/>
    <w:rsid w:val="005028C1"/>
    <w:rsid w:val="00504561"/>
    <w:rsid w:val="00504FE6"/>
    <w:rsid w:val="00506EDE"/>
    <w:rsid w:val="00510DAE"/>
    <w:rsid w:val="0051579D"/>
    <w:rsid w:val="00520195"/>
    <w:rsid w:val="0052062B"/>
    <w:rsid w:val="005206AB"/>
    <w:rsid w:val="00521D94"/>
    <w:rsid w:val="00521F18"/>
    <w:rsid w:val="0052247E"/>
    <w:rsid w:val="005232E3"/>
    <w:rsid w:val="005241F0"/>
    <w:rsid w:val="00524311"/>
    <w:rsid w:val="00525173"/>
    <w:rsid w:val="00526388"/>
    <w:rsid w:val="005275C4"/>
    <w:rsid w:val="005302AD"/>
    <w:rsid w:val="0053272D"/>
    <w:rsid w:val="00532AFB"/>
    <w:rsid w:val="00532CD7"/>
    <w:rsid w:val="00534113"/>
    <w:rsid w:val="00534523"/>
    <w:rsid w:val="00534C16"/>
    <w:rsid w:val="00535D51"/>
    <w:rsid w:val="005379ED"/>
    <w:rsid w:val="00545E66"/>
    <w:rsid w:val="00550ADC"/>
    <w:rsid w:val="00550D9B"/>
    <w:rsid w:val="005525CA"/>
    <w:rsid w:val="00552E59"/>
    <w:rsid w:val="00552F76"/>
    <w:rsid w:val="0055568E"/>
    <w:rsid w:val="00556D9C"/>
    <w:rsid w:val="00557099"/>
    <w:rsid w:val="00557DAC"/>
    <w:rsid w:val="00561CA6"/>
    <w:rsid w:val="00562BC7"/>
    <w:rsid w:val="0056334B"/>
    <w:rsid w:val="00563DCC"/>
    <w:rsid w:val="00564D7E"/>
    <w:rsid w:val="005664DA"/>
    <w:rsid w:val="00571CD2"/>
    <w:rsid w:val="00574037"/>
    <w:rsid w:val="00574306"/>
    <w:rsid w:val="00574F1F"/>
    <w:rsid w:val="00576A92"/>
    <w:rsid w:val="00580650"/>
    <w:rsid w:val="0058091D"/>
    <w:rsid w:val="00584634"/>
    <w:rsid w:val="00584873"/>
    <w:rsid w:val="0058574D"/>
    <w:rsid w:val="00593BD5"/>
    <w:rsid w:val="005948EF"/>
    <w:rsid w:val="005962CC"/>
    <w:rsid w:val="005A02C4"/>
    <w:rsid w:val="005A0A89"/>
    <w:rsid w:val="005A1286"/>
    <w:rsid w:val="005A1DA4"/>
    <w:rsid w:val="005A1ED0"/>
    <w:rsid w:val="005A24F3"/>
    <w:rsid w:val="005A5A3E"/>
    <w:rsid w:val="005A6A70"/>
    <w:rsid w:val="005A7D30"/>
    <w:rsid w:val="005A7E96"/>
    <w:rsid w:val="005B1DF1"/>
    <w:rsid w:val="005B7895"/>
    <w:rsid w:val="005B7ABF"/>
    <w:rsid w:val="005C042B"/>
    <w:rsid w:val="005C14F8"/>
    <w:rsid w:val="005C16F4"/>
    <w:rsid w:val="005C1C48"/>
    <w:rsid w:val="005C4896"/>
    <w:rsid w:val="005C742B"/>
    <w:rsid w:val="005D10B8"/>
    <w:rsid w:val="005D1B6E"/>
    <w:rsid w:val="005D23C3"/>
    <w:rsid w:val="005D462C"/>
    <w:rsid w:val="005D5010"/>
    <w:rsid w:val="005D6AB2"/>
    <w:rsid w:val="005D7A3F"/>
    <w:rsid w:val="005E0960"/>
    <w:rsid w:val="005E0ABD"/>
    <w:rsid w:val="005E450E"/>
    <w:rsid w:val="005E4558"/>
    <w:rsid w:val="005F4324"/>
    <w:rsid w:val="005F49E4"/>
    <w:rsid w:val="005F4F17"/>
    <w:rsid w:val="005F5A66"/>
    <w:rsid w:val="005F6C6E"/>
    <w:rsid w:val="005F7AFA"/>
    <w:rsid w:val="006010D9"/>
    <w:rsid w:val="00603538"/>
    <w:rsid w:val="006035A9"/>
    <w:rsid w:val="006071ED"/>
    <w:rsid w:val="00607392"/>
    <w:rsid w:val="0061282B"/>
    <w:rsid w:val="00615BE1"/>
    <w:rsid w:val="00616DFD"/>
    <w:rsid w:val="006177D0"/>
    <w:rsid w:val="00617821"/>
    <w:rsid w:val="006215A8"/>
    <w:rsid w:val="00623737"/>
    <w:rsid w:val="006237A3"/>
    <w:rsid w:val="00624AF3"/>
    <w:rsid w:val="006254A7"/>
    <w:rsid w:val="00632B6A"/>
    <w:rsid w:val="006346A6"/>
    <w:rsid w:val="0063521C"/>
    <w:rsid w:val="00636D08"/>
    <w:rsid w:val="006379E1"/>
    <w:rsid w:val="006403C8"/>
    <w:rsid w:val="006415D0"/>
    <w:rsid w:val="006427B4"/>
    <w:rsid w:val="00642D96"/>
    <w:rsid w:val="00642FC8"/>
    <w:rsid w:val="00643488"/>
    <w:rsid w:val="0064348A"/>
    <w:rsid w:val="0064425A"/>
    <w:rsid w:val="00645F99"/>
    <w:rsid w:val="0064737B"/>
    <w:rsid w:val="00647AEE"/>
    <w:rsid w:val="00651653"/>
    <w:rsid w:val="00652372"/>
    <w:rsid w:val="006550C1"/>
    <w:rsid w:val="00656F5A"/>
    <w:rsid w:val="00660D06"/>
    <w:rsid w:val="00661D83"/>
    <w:rsid w:val="00662DED"/>
    <w:rsid w:val="00665F81"/>
    <w:rsid w:val="00666408"/>
    <w:rsid w:val="00667E99"/>
    <w:rsid w:val="00670009"/>
    <w:rsid w:val="00670847"/>
    <w:rsid w:val="006710C1"/>
    <w:rsid w:val="00673E42"/>
    <w:rsid w:val="00676230"/>
    <w:rsid w:val="0068283F"/>
    <w:rsid w:val="00687361"/>
    <w:rsid w:val="00690ADA"/>
    <w:rsid w:val="00690BDD"/>
    <w:rsid w:val="006929E3"/>
    <w:rsid w:val="00695570"/>
    <w:rsid w:val="00697D8B"/>
    <w:rsid w:val="006A3505"/>
    <w:rsid w:val="006A37D9"/>
    <w:rsid w:val="006A4A5E"/>
    <w:rsid w:val="006A583B"/>
    <w:rsid w:val="006A73B5"/>
    <w:rsid w:val="006A7803"/>
    <w:rsid w:val="006B1A99"/>
    <w:rsid w:val="006B3A28"/>
    <w:rsid w:val="006B409D"/>
    <w:rsid w:val="006B439E"/>
    <w:rsid w:val="006B6840"/>
    <w:rsid w:val="006B74E9"/>
    <w:rsid w:val="006B7CD6"/>
    <w:rsid w:val="006C0F50"/>
    <w:rsid w:val="006C47D4"/>
    <w:rsid w:val="006C78BD"/>
    <w:rsid w:val="006C7BD1"/>
    <w:rsid w:val="006D04FB"/>
    <w:rsid w:val="006D07E9"/>
    <w:rsid w:val="006D1C95"/>
    <w:rsid w:val="006D375F"/>
    <w:rsid w:val="006D4D40"/>
    <w:rsid w:val="006D6CC3"/>
    <w:rsid w:val="006E0282"/>
    <w:rsid w:val="006E224E"/>
    <w:rsid w:val="006E2B98"/>
    <w:rsid w:val="006E4FB2"/>
    <w:rsid w:val="006E503C"/>
    <w:rsid w:val="006E5E0A"/>
    <w:rsid w:val="006E628C"/>
    <w:rsid w:val="006E6D0B"/>
    <w:rsid w:val="006F6522"/>
    <w:rsid w:val="006F6722"/>
    <w:rsid w:val="006F78EB"/>
    <w:rsid w:val="00703983"/>
    <w:rsid w:val="00705FBA"/>
    <w:rsid w:val="00707151"/>
    <w:rsid w:val="0071130B"/>
    <w:rsid w:val="00711C96"/>
    <w:rsid w:val="007124FA"/>
    <w:rsid w:val="00712D66"/>
    <w:rsid w:val="00713E8C"/>
    <w:rsid w:val="00714E16"/>
    <w:rsid w:val="00717656"/>
    <w:rsid w:val="007209DF"/>
    <w:rsid w:val="00720BC0"/>
    <w:rsid w:val="00720F7C"/>
    <w:rsid w:val="00721643"/>
    <w:rsid w:val="00722970"/>
    <w:rsid w:val="00723EB5"/>
    <w:rsid w:val="00723EE6"/>
    <w:rsid w:val="007242FE"/>
    <w:rsid w:val="007244CD"/>
    <w:rsid w:val="007249A6"/>
    <w:rsid w:val="0072642F"/>
    <w:rsid w:val="00730EC5"/>
    <w:rsid w:val="00732C7A"/>
    <w:rsid w:val="00733AFF"/>
    <w:rsid w:val="00736396"/>
    <w:rsid w:val="0073656A"/>
    <w:rsid w:val="00737F74"/>
    <w:rsid w:val="00740672"/>
    <w:rsid w:val="0075157E"/>
    <w:rsid w:val="00755AD5"/>
    <w:rsid w:val="00756996"/>
    <w:rsid w:val="00756D24"/>
    <w:rsid w:val="00765C89"/>
    <w:rsid w:val="00766C3D"/>
    <w:rsid w:val="00767A33"/>
    <w:rsid w:val="007741AF"/>
    <w:rsid w:val="007771AD"/>
    <w:rsid w:val="0077743D"/>
    <w:rsid w:val="00777B5A"/>
    <w:rsid w:val="00777C84"/>
    <w:rsid w:val="007840AA"/>
    <w:rsid w:val="00787CC8"/>
    <w:rsid w:val="00787D80"/>
    <w:rsid w:val="0079054B"/>
    <w:rsid w:val="00793B03"/>
    <w:rsid w:val="00795A5A"/>
    <w:rsid w:val="00796034"/>
    <w:rsid w:val="00796688"/>
    <w:rsid w:val="007A35AF"/>
    <w:rsid w:val="007B1970"/>
    <w:rsid w:val="007B4161"/>
    <w:rsid w:val="007B42F6"/>
    <w:rsid w:val="007B4310"/>
    <w:rsid w:val="007B5F64"/>
    <w:rsid w:val="007B6660"/>
    <w:rsid w:val="007C5820"/>
    <w:rsid w:val="007C68C9"/>
    <w:rsid w:val="007C76BD"/>
    <w:rsid w:val="007D10EE"/>
    <w:rsid w:val="007D479C"/>
    <w:rsid w:val="007D5C9D"/>
    <w:rsid w:val="007D6A34"/>
    <w:rsid w:val="007D75CB"/>
    <w:rsid w:val="007E3149"/>
    <w:rsid w:val="007E5972"/>
    <w:rsid w:val="007E68D0"/>
    <w:rsid w:val="007E7672"/>
    <w:rsid w:val="007F45B9"/>
    <w:rsid w:val="007F6403"/>
    <w:rsid w:val="00801740"/>
    <w:rsid w:val="0080210F"/>
    <w:rsid w:val="00805BE6"/>
    <w:rsid w:val="008103AD"/>
    <w:rsid w:val="008135B4"/>
    <w:rsid w:val="00813997"/>
    <w:rsid w:val="00815183"/>
    <w:rsid w:val="00816D36"/>
    <w:rsid w:val="0081737D"/>
    <w:rsid w:val="0082034F"/>
    <w:rsid w:val="008210C8"/>
    <w:rsid w:val="0082209E"/>
    <w:rsid w:val="00822FA5"/>
    <w:rsid w:val="0082770C"/>
    <w:rsid w:val="00830E22"/>
    <w:rsid w:val="00834E6B"/>
    <w:rsid w:val="00835CE3"/>
    <w:rsid w:val="00843972"/>
    <w:rsid w:val="008457DC"/>
    <w:rsid w:val="00845810"/>
    <w:rsid w:val="00845A5E"/>
    <w:rsid w:val="00845B47"/>
    <w:rsid w:val="00847985"/>
    <w:rsid w:val="00850CEE"/>
    <w:rsid w:val="008532FF"/>
    <w:rsid w:val="008540C5"/>
    <w:rsid w:val="008548F1"/>
    <w:rsid w:val="00854A1E"/>
    <w:rsid w:val="00854C16"/>
    <w:rsid w:val="008567CB"/>
    <w:rsid w:val="00861149"/>
    <w:rsid w:val="0086128F"/>
    <w:rsid w:val="008620F0"/>
    <w:rsid w:val="00862626"/>
    <w:rsid w:val="00863DE4"/>
    <w:rsid w:val="00871AE4"/>
    <w:rsid w:val="00871DCE"/>
    <w:rsid w:val="0087499F"/>
    <w:rsid w:val="008757CE"/>
    <w:rsid w:val="00876E72"/>
    <w:rsid w:val="0087790A"/>
    <w:rsid w:val="008804A8"/>
    <w:rsid w:val="00880633"/>
    <w:rsid w:val="00881A3D"/>
    <w:rsid w:val="00881C7E"/>
    <w:rsid w:val="00881DBA"/>
    <w:rsid w:val="00893829"/>
    <w:rsid w:val="00896461"/>
    <w:rsid w:val="008966F8"/>
    <w:rsid w:val="00896B34"/>
    <w:rsid w:val="00897EC0"/>
    <w:rsid w:val="008A1E11"/>
    <w:rsid w:val="008A25B5"/>
    <w:rsid w:val="008A2AC3"/>
    <w:rsid w:val="008A2F33"/>
    <w:rsid w:val="008A67F3"/>
    <w:rsid w:val="008A7ECC"/>
    <w:rsid w:val="008B1A8E"/>
    <w:rsid w:val="008B2183"/>
    <w:rsid w:val="008B22A0"/>
    <w:rsid w:val="008B36BE"/>
    <w:rsid w:val="008B4377"/>
    <w:rsid w:val="008B5108"/>
    <w:rsid w:val="008B548D"/>
    <w:rsid w:val="008B6991"/>
    <w:rsid w:val="008B793E"/>
    <w:rsid w:val="008C0126"/>
    <w:rsid w:val="008C07C6"/>
    <w:rsid w:val="008C1BEE"/>
    <w:rsid w:val="008C2DDB"/>
    <w:rsid w:val="008C36B5"/>
    <w:rsid w:val="008C659B"/>
    <w:rsid w:val="008D0F23"/>
    <w:rsid w:val="008D472C"/>
    <w:rsid w:val="008D659E"/>
    <w:rsid w:val="008E0593"/>
    <w:rsid w:val="008E133C"/>
    <w:rsid w:val="008E4E36"/>
    <w:rsid w:val="008F0210"/>
    <w:rsid w:val="008F3F20"/>
    <w:rsid w:val="008F3FEB"/>
    <w:rsid w:val="008F55B1"/>
    <w:rsid w:val="008F5EB6"/>
    <w:rsid w:val="008F602B"/>
    <w:rsid w:val="008F60C8"/>
    <w:rsid w:val="008F7A9D"/>
    <w:rsid w:val="008F7EF3"/>
    <w:rsid w:val="00905493"/>
    <w:rsid w:val="00907569"/>
    <w:rsid w:val="00907B4B"/>
    <w:rsid w:val="00907BC9"/>
    <w:rsid w:val="0091058F"/>
    <w:rsid w:val="0091229C"/>
    <w:rsid w:val="00912349"/>
    <w:rsid w:val="00916F16"/>
    <w:rsid w:val="00917269"/>
    <w:rsid w:val="0092087D"/>
    <w:rsid w:val="009247F8"/>
    <w:rsid w:val="00924B83"/>
    <w:rsid w:val="009253F7"/>
    <w:rsid w:val="00926D80"/>
    <w:rsid w:val="00927375"/>
    <w:rsid w:val="009345A9"/>
    <w:rsid w:val="00934FDB"/>
    <w:rsid w:val="00937007"/>
    <w:rsid w:val="00937E71"/>
    <w:rsid w:val="00941577"/>
    <w:rsid w:val="00942BC4"/>
    <w:rsid w:val="00943ECB"/>
    <w:rsid w:val="009468B6"/>
    <w:rsid w:val="0095070F"/>
    <w:rsid w:val="009523A3"/>
    <w:rsid w:val="00954489"/>
    <w:rsid w:val="00956CE2"/>
    <w:rsid w:val="00960A3C"/>
    <w:rsid w:val="00963140"/>
    <w:rsid w:val="00964AF5"/>
    <w:rsid w:val="00964E49"/>
    <w:rsid w:val="00972D99"/>
    <w:rsid w:val="00976A3A"/>
    <w:rsid w:val="00977D9C"/>
    <w:rsid w:val="00980439"/>
    <w:rsid w:val="0098160C"/>
    <w:rsid w:val="009818D4"/>
    <w:rsid w:val="00985482"/>
    <w:rsid w:val="00986F59"/>
    <w:rsid w:val="009875BF"/>
    <w:rsid w:val="0099210F"/>
    <w:rsid w:val="00992861"/>
    <w:rsid w:val="009962C8"/>
    <w:rsid w:val="00997398"/>
    <w:rsid w:val="009A1515"/>
    <w:rsid w:val="009A5195"/>
    <w:rsid w:val="009A65C7"/>
    <w:rsid w:val="009A72CF"/>
    <w:rsid w:val="009A7511"/>
    <w:rsid w:val="009B000B"/>
    <w:rsid w:val="009B12E9"/>
    <w:rsid w:val="009B4B28"/>
    <w:rsid w:val="009B6193"/>
    <w:rsid w:val="009C4843"/>
    <w:rsid w:val="009C6A78"/>
    <w:rsid w:val="009C72E9"/>
    <w:rsid w:val="009D383D"/>
    <w:rsid w:val="009D5B89"/>
    <w:rsid w:val="009D6C0E"/>
    <w:rsid w:val="009E05E7"/>
    <w:rsid w:val="009E0D70"/>
    <w:rsid w:val="009E50A6"/>
    <w:rsid w:val="009F0F05"/>
    <w:rsid w:val="009F1136"/>
    <w:rsid w:val="009F5181"/>
    <w:rsid w:val="009F6412"/>
    <w:rsid w:val="009F7F4B"/>
    <w:rsid w:val="00A032DA"/>
    <w:rsid w:val="00A06582"/>
    <w:rsid w:val="00A0702A"/>
    <w:rsid w:val="00A115CD"/>
    <w:rsid w:val="00A12385"/>
    <w:rsid w:val="00A12DFF"/>
    <w:rsid w:val="00A131F7"/>
    <w:rsid w:val="00A16343"/>
    <w:rsid w:val="00A20B30"/>
    <w:rsid w:val="00A22B64"/>
    <w:rsid w:val="00A22E71"/>
    <w:rsid w:val="00A24DD5"/>
    <w:rsid w:val="00A25F3A"/>
    <w:rsid w:val="00A2761C"/>
    <w:rsid w:val="00A306F8"/>
    <w:rsid w:val="00A30A34"/>
    <w:rsid w:val="00A31158"/>
    <w:rsid w:val="00A407F3"/>
    <w:rsid w:val="00A41065"/>
    <w:rsid w:val="00A426F2"/>
    <w:rsid w:val="00A472DE"/>
    <w:rsid w:val="00A52144"/>
    <w:rsid w:val="00A5282A"/>
    <w:rsid w:val="00A53D58"/>
    <w:rsid w:val="00A540B2"/>
    <w:rsid w:val="00A57B14"/>
    <w:rsid w:val="00A65A4D"/>
    <w:rsid w:val="00A70B19"/>
    <w:rsid w:val="00A71EE3"/>
    <w:rsid w:val="00A72BED"/>
    <w:rsid w:val="00A73820"/>
    <w:rsid w:val="00A77FE4"/>
    <w:rsid w:val="00A805E3"/>
    <w:rsid w:val="00A8238E"/>
    <w:rsid w:val="00A832D0"/>
    <w:rsid w:val="00A835A9"/>
    <w:rsid w:val="00A836B9"/>
    <w:rsid w:val="00A83CAE"/>
    <w:rsid w:val="00A84AB9"/>
    <w:rsid w:val="00A86012"/>
    <w:rsid w:val="00A861EE"/>
    <w:rsid w:val="00A87795"/>
    <w:rsid w:val="00A909D8"/>
    <w:rsid w:val="00A94AB7"/>
    <w:rsid w:val="00AA01E2"/>
    <w:rsid w:val="00AA0218"/>
    <w:rsid w:val="00AA2ACD"/>
    <w:rsid w:val="00AA3F46"/>
    <w:rsid w:val="00AA4B49"/>
    <w:rsid w:val="00AA6FEE"/>
    <w:rsid w:val="00AB11CA"/>
    <w:rsid w:val="00AB4F31"/>
    <w:rsid w:val="00AB5FD1"/>
    <w:rsid w:val="00AB7E1A"/>
    <w:rsid w:val="00AC1192"/>
    <w:rsid w:val="00AC131D"/>
    <w:rsid w:val="00AC1BD0"/>
    <w:rsid w:val="00AC1DC6"/>
    <w:rsid w:val="00AC38B2"/>
    <w:rsid w:val="00AC3915"/>
    <w:rsid w:val="00AC3C04"/>
    <w:rsid w:val="00AC47E9"/>
    <w:rsid w:val="00AC4E86"/>
    <w:rsid w:val="00AC5DB1"/>
    <w:rsid w:val="00AC6E0C"/>
    <w:rsid w:val="00AD34EE"/>
    <w:rsid w:val="00AD41D1"/>
    <w:rsid w:val="00AD4555"/>
    <w:rsid w:val="00AD78EA"/>
    <w:rsid w:val="00AD798E"/>
    <w:rsid w:val="00AE3FD6"/>
    <w:rsid w:val="00AE4E31"/>
    <w:rsid w:val="00AE7A02"/>
    <w:rsid w:val="00AF04CB"/>
    <w:rsid w:val="00AF06D0"/>
    <w:rsid w:val="00AF1323"/>
    <w:rsid w:val="00AF182B"/>
    <w:rsid w:val="00AF2133"/>
    <w:rsid w:val="00AF2DFF"/>
    <w:rsid w:val="00AF42C7"/>
    <w:rsid w:val="00AF5664"/>
    <w:rsid w:val="00AF5CEB"/>
    <w:rsid w:val="00AF7C6A"/>
    <w:rsid w:val="00B0003E"/>
    <w:rsid w:val="00B02BF9"/>
    <w:rsid w:val="00B044AC"/>
    <w:rsid w:val="00B06A1E"/>
    <w:rsid w:val="00B079D9"/>
    <w:rsid w:val="00B10764"/>
    <w:rsid w:val="00B1098C"/>
    <w:rsid w:val="00B12678"/>
    <w:rsid w:val="00B13568"/>
    <w:rsid w:val="00B13AEA"/>
    <w:rsid w:val="00B1574C"/>
    <w:rsid w:val="00B16AF5"/>
    <w:rsid w:val="00B170AC"/>
    <w:rsid w:val="00B2103A"/>
    <w:rsid w:val="00B220CB"/>
    <w:rsid w:val="00B23143"/>
    <w:rsid w:val="00B242A2"/>
    <w:rsid w:val="00B25831"/>
    <w:rsid w:val="00B33376"/>
    <w:rsid w:val="00B342FC"/>
    <w:rsid w:val="00B34BCD"/>
    <w:rsid w:val="00B3645E"/>
    <w:rsid w:val="00B378C7"/>
    <w:rsid w:val="00B378D2"/>
    <w:rsid w:val="00B37EBC"/>
    <w:rsid w:val="00B4014B"/>
    <w:rsid w:val="00B417DF"/>
    <w:rsid w:val="00B43A18"/>
    <w:rsid w:val="00B44E07"/>
    <w:rsid w:val="00B45DC6"/>
    <w:rsid w:val="00B46E1F"/>
    <w:rsid w:val="00B46EDF"/>
    <w:rsid w:val="00B47455"/>
    <w:rsid w:val="00B47900"/>
    <w:rsid w:val="00B47EFD"/>
    <w:rsid w:val="00B5116B"/>
    <w:rsid w:val="00B526B0"/>
    <w:rsid w:val="00B543CF"/>
    <w:rsid w:val="00B55404"/>
    <w:rsid w:val="00B557B5"/>
    <w:rsid w:val="00B558A8"/>
    <w:rsid w:val="00B5738F"/>
    <w:rsid w:val="00B60E0C"/>
    <w:rsid w:val="00B619ED"/>
    <w:rsid w:val="00B61DDD"/>
    <w:rsid w:val="00B62EFF"/>
    <w:rsid w:val="00B63545"/>
    <w:rsid w:val="00B64AF3"/>
    <w:rsid w:val="00B6534B"/>
    <w:rsid w:val="00B65E73"/>
    <w:rsid w:val="00B67C7E"/>
    <w:rsid w:val="00B71577"/>
    <w:rsid w:val="00B746F2"/>
    <w:rsid w:val="00B7519D"/>
    <w:rsid w:val="00B80C0A"/>
    <w:rsid w:val="00B8177F"/>
    <w:rsid w:val="00B82146"/>
    <w:rsid w:val="00B83142"/>
    <w:rsid w:val="00B851A1"/>
    <w:rsid w:val="00B85278"/>
    <w:rsid w:val="00B875C8"/>
    <w:rsid w:val="00B91921"/>
    <w:rsid w:val="00B946CB"/>
    <w:rsid w:val="00B94A4E"/>
    <w:rsid w:val="00B94D10"/>
    <w:rsid w:val="00B95A46"/>
    <w:rsid w:val="00BA5BE3"/>
    <w:rsid w:val="00BA772E"/>
    <w:rsid w:val="00BB27CA"/>
    <w:rsid w:val="00BB2C30"/>
    <w:rsid w:val="00BB3BBC"/>
    <w:rsid w:val="00BB3D14"/>
    <w:rsid w:val="00BB473A"/>
    <w:rsid w:val="00BB4FB3"/>
    <w:rsid w:val="00BB58FA"/>
    <w:rsid w:val="00BB6375"/>
    <w:rsid w:val="00BB6AED"/>
    <w:rsid w:val="00BB6AFD"/>
    <w:rsid w:val="00BC09EB"/>
    <w:rsid w:val="00BC1A7E"/>
    <w:rsid w:val="00BC4CA8"/>
    <w:rsid w:val="00BC51C3"/>
    <w:rsid w:val="00BC6787"/>
    <w:rsid w:val="00BD02CA"/>
    <w:rsid w:val="00BD16FE"/>
    <w:rsid w:val="00BD59DC"/>
    <w:rsid w:val="00BD6395"/>
    <w:rsid w:val="00BD7858"/>
    <w:rsid w:val="00BE2CDA"/>
    <w:rsid w:val="00BE349B"/>
    <w:rsid w:val="00BE4452"/>
    <w:rsid w:val="00BE4E88"/>
    <w:rsid w:val="00BE70A3"/>
    <w:rsid w:val="00C00BF4"/>
    <w:rsid w:val="00C01430"/>
    <w:rsid w:val="00C03CFF"/>
    <w:rsid w:val="00C05571"/>
    <w:rsid w:val="00C06322"/>
    <w:rsid w:val="00C10EE6"/>
    <w:rsid w:val="00C11DFD"/>
    <w:rsid w:val="00C20976"/>
    <w:rsid w:val="00C21497"/>
    <w:rsid w:val="00C223CA"/>
    <w:rsid w:val="00C23A29"/>
    <w:rsid w:val="00C24C14"/>
    <w:rsid w:val="00C3129B"/>
    <w:rsid w:val="00C317E6"/>
    <w:rsid w:val="00C33785"/>
    <w:rsid w:val="00C35588"/>
    <w:rsid w:val="00C36298"/>
    <w:rsid w:val="00C377DC"/>
    <w:rsid w:val="00C4318F"/>
    <w:rsid w:val="00C43892"/>
    <w:rsid w:val="00C470CF"/>
    <w:rsid w:val="00C50CBF"/>
    <w:rsid w:val="00C51080"/>
    <w:rsid w:val="00C54F79"/>
    <w:rsid w:val="00C5649B"/>
    <w:rsid w:val="00C56BCF"/>
    <w:rsid w:val="00C57D9A"/>
    <w:rsid w:val="00C61221"/>
    <w:rsid w:val="00C62ECE"/>
    <w:rsid w:val="00C63EA0"/>
    <w:rsid w:val="00C640EF"/>
    <w:rsid w:val="00C653F5"/>
    <w:rsid w:val="00C720F6"/>
    <w:rsid w:val="00C735E5"/>
    <w:rsid w:val="00C7413C"/>
    <w:rsid w:val="00C7477E"/>
    <w:rsid w:val="00C7481E"/>
    <w:rsid w:val="00C74837"/>
    <w:rsid w:val="00C75947"/>
    <w:rsid w:val="00C80727"/>
    <w:rsid w:val="00C82A6D"/>
    <w:rsid w:val="00C8428C"/>
    <w:rsid w:val="00C84EC6"/>
    <w:rsid w:val="00C852A7"/>
    <w:rsid w:val="00C867FC"/>
    <w:rsid w:val="00C90459"/>
    <w:rsid w:val="00C91506"/>
    <w:rsid w:val="00C95417"/>
    <w:rsid w:val="00CA1DEE"/>
    <w:rsid w:val="00CA47C6"/>
    <w:rsid w:val="00CA600E"/>
    <w:rsid w:val="00CB0799"/>
    <w:rsid w:val="00CB3E88"/>
    <w:rsid w:val="00CB427F"/>
    <w:rsid w:val="00CB6E45"/>
    <w:rsid w:val="00CC29FA"/>
    <w:rsid w:val="00CC32DC"/>
    <w:rsid w:val="00CC4250"/>
    <w:rsid w:val="00CC43C2"/>
    <w:rsid w:val="00CC4550"/>
    <w:rsid w:val="00CD2420"/>
    <w:rsid w:val="00CD3889"/>
    <w:rsid w:val="00CD3B29"/>
    <w:rsid w:val="00CD4390"/>
    <w:rsid w:val="00CD4E5C"/>
    <w:rsid w:val="00CD63E6"/>
    <w:rsid w:val="00CD7D14"/>
    <w:rsid w:val="00CE118C"/>
    <w:rsid w:val="00CE2F6E"/>
    <w:rsid w:val="00CE4118"/>
    <w:rsid w:val="00CF15A4"/>
    <w:rsid w:val="00CF3484"/>
    <w:rsid w:val="00CF34F4"/>
    <w:rsid w:val="00CF7145"/>
    <w:rsid w:val="00CF7E6C"/>
    <w:rsid w:val="00D05A59"/>
    <w:rsid w:val="00D1071A"/>
    <w:rsid w:val="00D16F47"/>
    <w:rsid w:val="00D23132"/>
    <w:rsid w:val="00D23770"/>
    <w:rsid w:val="00D25741"/>
    <w:rsid w:val="00D27EF4"/>
    <w:rsid w:val="00D30E38"/>
    <w:rsid w:val="00D31121"/>
    <w:rsid w:val="00D31EF3"/>
    <w:rsid w:val="00D32E7D"/>
    <w:rsid w:val="00D33E2C"/>
    <w:rsid w:val="00D34DCA"/>
    <w:rsid w:val="00D3628A"/>
    <w:rsid w:val="00D36AF5"/>
    <w:rsid w:val="00D37349"/>
    <w:rsid w:val="00D40213"/>
    <w:rsid w:val="00D41287"/>
    <w:rsid w:val="00D41B8A"/>
    <w:rsid w:val="00D4210E"/>
    <w:rsid w:val="00D43EA3"/>
    <w:rsid w:val="00D504FE"/>
    <w:rsid w:val="00D50501"/>
    <w:rsid w:val="00D510E4"/>
    <w:rsid w:val="00D518FB"/>
    <w:rsid w:val="00D529B9"/>
    <w:rsid w:val="00D52E86"/>
    <w:rsid w:val="00D539C7"/>
    <w:rsid w:val="00D53F87"/>
    <w:rsid w:val="00D5492C"/>
    <w:rsid w:val="00D602C6"/>
    <w:rsid w:val="00D67709"/>
    <w:rsid w:val="00D70ABD"/>
    <w:rsid w:val="00D72B62"/>
    <w:rsid w:val="00D72D39"/>
    <w:rsid w:val="00D7392E"/>
    <w:rsid w:val="00D73AA1"/>
    <w:rsid w:val="00D742DF"/>
    <w:rsid w:val="00D77325"/>
    <w:rsid w:val="00D77430"/>
    <w:rsid w:val="00D77E63"/>
    <w:rsid w:val="00D81755"/>
    <w:rsid w:val="00D82A95"/>
    <w:rsid w:val="00D832FF"/>
    <w:rsid w:val="00D83CD2"/>
    <w:rsid w:val="00D84809"/>
    <w:rsid w:val="00D90476"/>
    <w:rsid w:val="00D91F4B"/>
    <w:rsid w:val="00D924D1"/>
    <w:rsid w:val="00D94137"/>
    <w:rsid w:val="00D943B2"/>
    <w:rsid w:val="00D95313"/>
    <w:rsid w:val="00D978F3"/>
    <w:rsid w:val="00D97B6C"/>
    <w:rsid w:val="00DA2184"/>
    <w:rsid w:val="00DA2481"/>
    <w:rsid w:val="00DA4AA5"/>
    <w:rsid w:val="00DA54D4"/>
    <w:rsid w:val="00DA62CB"/>
    <w:rsid w:val="00DA7296"/>
    <w:rsid w:val="00DA7D19"/>
    <w:rsid w:val="00DB1BB5"/>
    <w:rsid w:val="00DB3A90"/>
    <w:rsid w:val="00DB3E85"/>
    <w:rsid w:val="00DB620A"/>
    <w:rsid w:val="00DC627D"/>
    <w:rsid w:val="00DD4465"/>
    <w:rsid w:val="00DD609C"/>
    <w:rsid w:val="00DE018E"/>
    <w:rsid w:val="00DE025E"/>
    <w:rsid w:val="00DE1210"/>
    <w:rsid w:val="00DF07B9"/>
    <w:rsid w:val="00DF1938"/>
    <w:rsid w:val="00E00440"/>
    <w:rsid w:val="00E03D0D"/>
    <w:rsid w:val="00E05D42"/>
    <w:rsid w:val="00E158B0"/>
    <w:rsid w:val="00E15EAD"/>
    <w:rsid w:val="00E221A8"/>
    <w:rsid w:val="00E22751"/>
    <w:rsid w:val="00E22CB6"/>
    <w:rsid w:val="00E23447"/>
    <w:rsid w:val="00E24726"/>
    <w:rsid w:val="00E255D2"/>
    <w:rsid w:val="00E279C8"/>
    <w:rsid w:val="00E27F28"/>
    <w:rsid w:val="00E33401"/>
    <w:rsid w:val="00E33FE4"/>
    <w:rsid w:val="00E35A72"/>
    <w:rsid w:val="00E37C6A"/>
    <w:rsid w:val="00E43362"/>
    <w:rsid w:val="00E4489A"/>
    <w:rsid w:val="00E46234"/>
    <w:rsid w:val="00E46E69"/>
    <w:rsid w:val="00E510CC"/>
    <w:rsid w:val="00E55206"/>
    <w:rsid w:val="00E5797E"/>
    <w:rsid w:val="00E609B3"/>
    <w:rsid w:val="00E61C68"/>
    <w:rsid w:val="00E625A0"/>
    <w:rsid w:val="00E63287"/>
    <w:rsid w:val="00E65E9D"/>
    <w:rsid w:val="00E67B39"/>
    <w:rsid w:val="00E71080"/>
    <w:rsid w:val="00E73729"/>
    <w:rsid w:val="00E75272"/>
    <w:rsid w:val="00E75599"/>
    <w:rsid w:val="00E84B69"/>
    <w:rsid w:val="00E869E9"/>
    <w:rsid w:val="00E86A34"/>
    <w:rsid w:val="00E93570"/>
    <w:rsid w:val="00E93623"/>
    <w:rsid w:val="00E9539D"/>
    <w:rsid w:val="00E95B30"/>
    <w:rsid w:val="00E96CE0"/>
    <w:rsid w:val="00EA0EFB"/>
    <w:rsid w:val="00EA298E"/>
    <w:rsid w:val="00EA4020"/>
    <w:rsid w:val="00EA47D9"/>
    <w:rsid w:val="00EA6E57"/>
    <w:rsid w:val="00EA6E78"/>
    <w:rsid w:val="00EA701B"/>
    <w:rsid w:val="00EB17CF"/>
    <w:rsid w:val="00EB4B80"/>
    <w:rsid w:val="00EB6CDE"/>
    <w:rsid w:val="00EC05C0"/>
    <w:rsid w:val="00EC296E"/>
    <w:rsid w:val="00ED2E91"/>
    <w:rsid w:val="00ED6D59"/>
    <w:rsid w:val="00ED722E"/>
    <w:rsid w:val="00EE00C6"/>
    <w:rsid w:val="00EE351C"/>
    <w:rsid w:val="00EE4F32"/>
    <w:rsid w:val="00EF027A"/>
    <w:rsid w:val="00EF12AF"/>
    <w:rsid w:val="00EF5115"/>
    <w:rsid w:val="00EF771E"/>
    <w:rsid w:val="00F0149D"/>
    <w:rsid w:val="00F02045"/>
    <w:rsid w:val="00F03806"/>
    <w:rsid w:val="00F0659D"/>
    <w:rsid w:val="00F07C1A"/>
    <w:rsid w:val="00F1213F"/>
    <w:rsid w:val="00F122E2"/>
    <w:rsid w:val="00F13346"/>
    <w:rsid w:val="00F14F53"/>
    <w:rsid w:val="00F17D52"/>
    <w:rsid w:val="00F20225"/>
    <w:rsid w:val="00F2127E"/>
    <w:rsid w:val="00F253B3"/>
    <w:rsid w:val="00F26645"/>
    <w:rsid w:val="00F26AD9"/>
    <w:rsid w:val="00F31F3A"/>
    <w:rsid w:val="00F332CA"/>
    <w:rsid w:val="00F33B57"/>
    <w:rsid w:val="00F34976"/>
    <w:rsid w:val="00F35183"/>
    <w:rsid w:val="00F35DFD"/>
    <w:rsid w:val="00F3604E"/>
    <w:rsid w:val="00F379E8"/>
    <w:rsid w:val="00F4711A"/>
    <w:rsid w:val="00F502D8"/>
    <w:rsid w:val="00F526DE"/>
    <w:rsid w:val="00F532FA"/>
    <w:rsid w:val="00F53B0F"/>
    <w:rsid w:val="00F53F96"/>
    <w:rsid w:val="00F54000"/>
    <w:rsid w:val="00F554C7"/>
    <w:rsid w:val="00F56AB8"/>
    <w:rsid w:val="00F6259B"/>
    <w:rsid w:val="00F62CF1"/>
    <w:rsid w:val="00F63F69"/>
    <w:rsid w:val="00F64728"/>
    <w:rsid w:val="00F64AFA"/>
    <w:rsid w:val="00F64D78"/>
    <w:rsid w:val="00F67677"/>
    <w:rsid w:val="00F72932"/>
    <w:rsid w:val="00F73DFC"/>
    <w:rsid w:val="00F74EF6"/>
    <w:rsid w:val="00F773D1"/>
    <w:rsid w:val="00F80BF4"/>
    <w:rsid w:val="00F822DF"/>
    <w:rsid w:val="00F82426"/>
    <w:rsid w:val="00F82632"/>
    <w:rsid w:val="00F82EE4"/>
    <w:rsid w:val="00F84947"/>
    <w:rsid w:val="00F85974"/>
    <w:rsid w:val="00F86C97"/>
    <w:rsid w:val="00F91B5E"/>
    <w:rsid w:val="00F925E6"/>
    <w:rsid w:val="00F92A7A"/>
    <w:rsid w:val="00F92B25"/>
    <w:rsid w:val="00F94568"/>
    <w:rsid w:val="00F94D1A"/>
    <w:rsid w:val="00F95C6C"/>
    <w:rsid w:val="00F9708F"/>
    <w:rsid w:val="00F97358"/>
    <w:rsid w:val="00FA01C5"/>
    <w:rsid w:val="00FA380B"/>
    <w:rsid w:val="00FA39DC"/>
    <w:rsid w:val="00FA519A"/>
    <w:rsid w:val="00FA6C64"/>
    <w:rsid w:val="00FA73EC"/>
    <w:rsid w:val="00FB0680"/>
    <w:rsid w:val="00FB1EA2"/>
    <w:rsid w:val="00FB4215"/>
    <w:rsid w:val="00FB4A90"/>
    <w:rsid w:val="00FB6593"/>
    <w:rsid w:val="00FB65A3"/>
    <w:rsid w:val="00FC104A"/>
    <w:rsid w:val="00FC4613"/>
    <w:rsid w:val="00FC60ED"/>
    <w:rsid w:val="00FC6E22"/>
    <w:rsid w:val="00FC7353"/>
    <w:rsid w:val="00FD1312"/>
    <w:rsid w:val="00FE15B7"/>
    <w:rsid w:val="00FE2519"/>
    <w:rsid w:val="00FE54C8"/>
    <w:rsid w:val="00FE727C"/>
    <w:rsid w:val="00FF03DD"/>
    <w:rsid w:val="00FF1129"/>
    <w:rsid w:val="00FF20BF"/>
    <w:rsid w:val="00FF64AF"/>
    <w:rsid w:val="00FF775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4E9A82D-B8F5-4F17-A4E4-4714A39C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A70"/>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A909D8"/>
    <w:rPr>
      <w:b/>
      <w:i/>
      <w:sz w:val="24"/>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A909D8"/>
    <w:rPr>
      <w:sz w:val="24"/>
      <w:lang w:val="en-GB" w:eastAsia="en-US"/>
    </w:r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style>
  <w:style w:type="paragraph" w:customStyle="1" w:styleId="Rom2">
    <w:name w:val="Rom2"/>
    <w:basedOn w:val="Normal"/>
    <w:pPr>
      <w:numPr>
        <w:numId w:val="2"/>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aliases w:val="Footnote Reference/"/>
    <w:rPr>
      <w:b/>
      <w:sz w:val="24"/>
      <w:vertAlign w:val="superscript"/>
    </w:rPr>
  </w:style>
  <w:style w:type="paragraph" w:styleId="FootnoteText">
    <w:name w:val="footnote text"/>
    <w:basedOn w:val="Normal"/>
    <w:link w:val="FootnoteTextChar"/>
  </w:style>
  <w:style w:type="character" w:customStyle="1" w:styleId="FootnoteTextChar">
    <w:name w:val="Footnote Text Char"/>
    <w:link w:val="FootnoteText"/>
    <w:rsid w:val="00A909D8"/>
    <w:rPr>
      <w:sz w:val="24"/>
      <w:lang w:val="en-GB" w:eastAsia="en-US"/>
    </w:rPr>
  </w:style>
  <w:style w:type="character" w:styleId="PageNumber">
    <w:name w:val="page number"/>
    <w:basedOn w:val="DefaultParagraphFont"/>
  </w:style>
  <w:style w:type="paragraph" w:styleId="BodyTextIndent">
    <w:name w:val="Body Text Indent"/>
    <w:basedOn w:val="Normal"/>
    <w:next w:val="Normal"/>
    <w:rsid w:val="003A103A"/>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3A103A"/>
    <w:pPr>
      <w:numPr>
        <w:numId w:val="3"/>
      </w:numPr>
    </w:pPr>
  </w:style>
  <w:style w:type="paragraph" w:customStyle="1" w:styleId="Dash">
    <w:name w:val="Dash"/>
    <w:basedOn w:val="Normal"/>
    <w:rsid w:val="003A103A"/>
    <w:pPr>
      <w:numPr>
        <w:numId w:val="4"/>
      </w:numPr>
      <w:adjustRightInd w:val="0"/>
      <w:snapToGrid w:val="0"/>
    </w:pPr>
  </w:style>
  <w:style w:type="paragraph" w:customStyle="1" w:styleId="N3">
    <w:name w:val="N3"/>
    <w:basedOn w:val="Normal"/>
    <w:rsid w:val="00E5797E"/>
    <w:pPr>
      <w:widowControl w:val="0"/>
      <w:tabs>
        <w:tab w:val="left" w:pos="170"/>
      </w:tabs>
      <w:overflowPunct w:val="0"/>
      <w:autoSpaceDE w:val="0"/>
      <w:autoSpaceDN w:val="0"/>
      <w:adjustRightInd w:val="0"/>
      <w:spacing w:after="0"/>
      <w:jc w:val="both"/>
      <w:textAlignment w:val="baseline"/>
    </w:pPr>
    <w:rPr>
      <w:rFonts w:ascii="Tms Rmn" w:hAnsi="Tms Rmn" w:cs="Tms Rmn"/>
      <w:snapToGrid w:val="0"/>
      <w:sz w:val="22"/>
      <w:szCs w:val="22"/>
      <w:lang w:val="fr-FR" w:eastAsia="de-DE"/>
    </w:rPr>
  </w:style>
  <w:style w:type="paragraph" w:styleId="BodyTextIndent2">
    <w:name w:val="Body Text Indent 2"/>
    <w:basedOn w:val="Normal"/>
    <w:rsid w:val="00615BE1"/>
    <w:pPr>
      <w:spacing w:after="120" w:line="480" w:lineRule="auto"/>
      <w:ind w:left="283"/>
    </w:pPr>
  </w:style>
  <w:style w:type="paragraph" w:styleId="BodyText">
    <w:name w:val="Body Text"/>
    <w:basedOn w:val="Normal"/>
    <w:rsid w:val="00615BE1"/>
    <w:pPr>
      <w:spacing w:after="120"/>
    </w:pPr>
  </w:style>
  <w:style w:type="paragraph" w:customStyle="1" w:styleId="Index">
    <w:name w:val="Index"/>
    <w:basedOn w:val="Normal"/>
    <w:rsid w:val="007B5F64"/>
    <w:pPr>
      <w:widowControl w:val="0"/>
      <w:suppressLineNumbers/>
      <w:suppressAutoHyphens/>
      <w:overflowPunct w:val="0"/>
      <w:autoSpaceDE w:val="0"/>
      <w:autoSpaceDN w:val="0"/>
      <w:adjustRightInd w:val="0"/>
      <w:spacing w:after="0"/>
      <w:jc w:val="both"/>
      <w:textAlignment w:val="baseline"/>
    </w:pPr>
    <w:rPr>
      <w:lang w:val="en-US"/>
    </w:rPr>
  </w:style>
  <w:style w:type="paragraph" w:customStyle="1" w:styleId="Style1">
    <w:name w:val="Style1"/>
    <w:basedOn w:val="Normal"/>
    <w:rsid w:val="00357FB2"/>
    <w:pPr>
      <w:numPr>
        <w:numId w:val="5"/>
      </w:numPr>
      <w:spacing w:after="0"/>
    </w:pPr>
    <w:rPr>
      <w:sz w:val="22"/>
      <w:szCs w:val="24"/>
    </w:rPr>
  </w:style>
  <w:style w:type="paragraph" w:styleId="BalloonText">
    <w:name w:val="Balloon Text"/>
    <w:basedOn w:val="Normal"/>
    <w:semiHidden/>
    <w:rsid w:val="00D504FE"/>
    <w:rPr>
      <w:rFonts w:ascii="Tahoma" w:hAnsi="Tahoma" w:cs="Tahoma"/>
      <w:sz w:val="16"/>
      <w:szCs w:val="16"/>
    </w:rPr>
  </w:style>
  <w:style w:type="table" w:styleId="TableGrid">
    <w:name w:val="Table Grid"/>
    <w:basedOn w:val="TableNormal"/>
    <w:uiPriority w:val="59"/>
    <w:rsid w:val="00070E56"/>
    <w:pPr>
      <w:tabs>
        <w:tab w:val="left" w:pos="425"/>
        <w:tab w:val="left" w:pos="851"/>
        <w:tab w:val="left" w:pos="1276"/>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070E56"/>
    <w:pPr>
      <w:tabs>
        <w:tab w:val="left" w:pos="425"/>
        <w:tab w:val="left" w:pos="851"/>
        <w:tab w:val="left" w:pos="1276"/>
      </w:tabs>
      <w:spacing w:after="0"/>
      <w:jc w:val="both"/>
    </w:pPr>
    <w:rPr>
      <w:rFonts w:ascii="Arial" w:hAnsi="Arial"/>
      <w:color w:val="000000"/>
      <w:sz w:val="20"/>
      <w:lang w:val="de-DE" w:eastAsia="de-DE"/>
    </w:rPr>
  </w:style>
  <w:style w:type="character" w:customStyle="1" w:styleId="CommentTextChar">
    <w:name w:val="Comment Text Char"/>
    <w:link w:val="CommentText"/>
    <w:rsid w:val="00070E56"/>
    <w:rPr>
      <w:rFonts w:ascii="Arial" w:hAnsi="Arial"/>
      <w:color w:val="000000"/>
      <w:lang w:val="de-DE" w:eastAsia="de-DE"/>
    </w:rPr>
  </w:style>
  <w:style w:type="character" w:styleId="CommentReference">
    <w:name w:val="annotation reference"/>
    <w:rsid w:val="00070E56"/>
    <w:rPr>
      <w:rFonts w:ascii="Arial" w:hAnsi="Arial"/>
      <w:sz w:val="16"/>
    </w:rPr>
  </w:style>
  <w:style w:type="paragraph" w:customStyle="1" w:styleId="NormaltextSpalte">
    <w:name w:val="Normaltext Spalte"/>
    <w:basedOn w:val="Normal"/>
    <w:rsid w:val="00070E56"/>
    <w:pPr>
      <w:tabs>
        <w:tab w:val="left" w:pos="425"/>
        <w:tab w:val="left" w:pos="851"/>
        <w:tab w:val="left" w:pos="1276"/>
      </w:tabs>
      <w:spacing w:before="180" w:after="0"/>
      <w:jc w:val="both"/>
    </w:pPr>
    <w:rPr>
      <w:rFonts w:ascii="Arial" w:hAnsi="Arial"/>
      <w:color w:val="000000"/>
      <w:sz w:val="18"/>
      <w:lang w:val="de-DE" w:eastAsia="de-DE"/>
    </w:rPr>
  </w:style>
  <w:style w:type="paragraph" w:customStyle="1" w:styleId="NormalListSpalte">
    <w:name w:val="Normal List Spalte"/>
    <w:basedOn w:val="Normal"/>
    <w:link w:val="NormalListSpalteChar"/>
    <w:rsid w:val="00070E56"/>
    <w:pPr>
      <w:tabs>
        <w:tab w:val="left" w:pos="215"/>
        <w:tab w:val="left" w:pos="425"/>
        <w:tab w:val="left" w:pos="851"/>
        <w:tab w:val="left" w:pos="1276"/>
      </w:tabs>
      <w:spacing w:before="60" w:after="0"/>
      <w:ind w:left="215" w:hanging="215"/>
      <w:jc w:val="both"/>
    </w:pPr>
    <w:rPr>
      <w:rFonts w:ascii="Arial" w:hAnsi="Arial"/>
      <w:color w:val="000000"/>
      <w:sz w:val="18"/>
      <w:lang w:val="de-DE" w:eastAsia="de-DE"/>
    </w:rPr>
  </w:style>
  <w:style w:type="character" w:customStyle="1" w:styleId="NormalListSpalteChar">
    <w:name w:val="Normal List Spalte Char"/>
    <w:basedOn w:val="NormalListChar"/>
    <w:link w:val="NormalListSpalte"/>
    <w:rsid w:val="00070E56"/>
    <w:rPr>
      <w:rFonts w:ascii="Arial" w:hAnsi="Arial"/>
      <w:color w:val="000000"/>
      <w:sz w:val="18"/>
      <w:lang w:val="de-DE" w:eastAsia="de-DE"/>
    </w:rPr>
  </w:style>
  <w:style w:type="character" w:customStyle="1" w:styleId="NormalListChar">
    <w:name w:val="Normal List Char"/>
    <w:link w:val="NormalList"/>
    <w:rsid w:val="00070E56"/>
    <w:rPr>
      <w:rFonts w:ascii="Arial" w:hAnsi="Arial"/>
      <w:color w:val="000000"/>
      <w:sz w:val="18"/>
      <w:lang w:val="de-DE" w:eastAsia="de-DE"/>
    </w:rPr>
  </w:style>
  <w:style w:type="paragraph" w:customStyle="1" w:styleId="NormalList">
    <w:name w:val="Normal List"/>
    <w:basedOn w:val="Normal"/>
    <w:link w:val="NormalListChar"/>
    <w:rsid w:val="00070E56"/>
    <w:pPr>
      <w:tabs>
        <w:tab w:val="left" w:pos="1400"/>
      </w:tabs>
      <w:spacing w:before="60" w:after="0"/>
      <w:ind w:left="1380" w:hanging="300"/>
      <w:jc w:val="both"/>
    </w:pPr>
    <w:rPr>
      <w:rFonts w:ascii="Arial" w:hAnsi="Arial"/>
      <w:color w:val="000000"/>
      <w:sz w:val="18"/>
      <w:lang w:val="de-DE" w:eastAsia="de-DE"/>
    </w:rPr>
  </w:style>
  <w:style w:type="paragraph" w:styleId="CommentSubject">
    <w:name w:val="annotation subject"/>
    <w:basedOn w:val="CommentText"/>
    <w:next w:val="CommentText"/>
    <w:link w:val="CommentSubjectChar"/>
    <w:rsid w:val="00070E56"/>
    <w:rPr>
      <w:b/>
      <w:bCs/>
    </w:rPr>
  </w:style>
  <w:style w:type="character" w:customStyle="1" w:styleId="CommentSubjectChar">
    <w:name w:val="Comment Subject Char"/>
    <w:link w:val="CommentSubject"/>
    <w:rsid w:val="00070E56"/>
    <w:rPr>
      <w:rFonts w:ascii="Arial" w:hAnsi="Arial"/>
      <w:b/>
      <w:bCs/>
      <w:color w:val="000000"/>
      <w:lang w:val="de-DE" w:eastAsia="de-DE"/>
    </w:rPr>
  </w:style>
  <w:style w:type="paragraph" w:customStyle="1" w:styleId="Randnummer">
    <w:name w:val="Randnummer"/>
    <w:basedOn w:val="Normal"/>
    <w:rsid w:val="00070E56"/>
    <w:pPr>
      <w:tabs>
        <w:tab w:val="left" w:pos="580"/>
        <w:tab w:val="left" w:pos="1100"/>
      </w:tabs>
      <w:spacing w:before="180" w:after="0"/>
      <w:ind w:left="1080" w:hanging="1080"/>
      <w:jc w:val="both"/>
    </w:pPr>
    <w:rPr>
      <w:rFonts w:ascii="Arial" w:hAnsi="Arial"/>
      <w:color w:val="000000"/>
      <w:sz w:val="18"/>
      <w:lang w:val="de-DE" w:eastAsia="de-DE"/>
    </w:rPr>
  </w:style>
  <w:style w:type="paragraph" w:customStyle="1" w:styleId="NormalBemerkung123">
    <w:name w:val="Normal Bemerkung123"/>
    <w:basedOn w:val="Normal"/>
    <w:rsid w:val="00070E56"/>
    <w:pPr>
      <w:tabs>
        <w:tab w:val="left" w:pos="1700"/>
        <w:tab w:val="left" w:pos="1980"/>
      </w:tabs>
      <w:spacing w:before="60" w:after="0"/>
      <w:ind w:left="1680" w:hanging="600"/>
      <w:jc w:val="both"/>
    </w:pPr>
    <w:rPr>
      <w:rFonts w:ascii="Arial" w:hAnsi="Arial"/>
      <w:color w:val="000000"/>
      <w:sz w:val="18"/>
      <w:lang w:val="de-DE" w:eastAsia="de-DE"/>
    </w:rPr>
  </w:style>
  <w:style w:type="paragraph" w:customStyle="1" w:styleId="NormalBemerkung">
    <w:name w:val="Normal Bemerkung"/>
    <w:basedOn w:val="Normal"/>
    <w:rsid w:val="00070E56"/>
    <w:pPr>
      <w:tabs>
        <w:tab w:val="left" w:pos="1700"/>
      </w:tabs>
      <w:spacing w:before="60" w:after="0"/>
      <w:ind w:left="1680" w:hanging="600"/>
      <w:jc w:val="both"/>
    </w:pPr>
    <w:rPr>
      <w:rFonts w:ascii="Arial" w:hAnsi="Arial"/>
      <w:color w:val="000000"/>
      <w:sz w:val="18"/>
      <w:lang w:val="de-DE" w:eastAsia="de-DE"/>
    </w:rPr>
  </w:style>
  <w:style w:type="paragraph" w:customStyle="1" w:styleId="TabelleAnhangVI">
    <w:name w:val="Tabelle Anhang VI"/>
    <w:rsid w:val="00070E56"/>
    <w:pPr>
      <w:keepLines/>
      <w:tabs>
        <w:tab w:val="right" w:pos="1191"/>
      </w:tabs>
      <w:spacing w:before="80" w:after="80" w:line="180" w:lineRule="atLeast"/>
    </w:pPr>
    <w:rPr>
      <w:rFonts w:ascii="Arial" w:hAnsi="Arial"/>
      <w:color w:val="000000"/>
      <w:sz w:val="18"/>
      <w:lang w:val="en-US"/>
    </w:rPr>
  </w:style>
  <w:style w:type="paragraph" w:customStyle="1" w:styleId="Normaltext">
    <w:name w:val="Normaltext"/>
    <w:basedOn w:val="Normal"/>
    <w:rsid w:val="00070E56"/>
    <w:pPr>
      <w:spacing w:before="180" w:after="0"/>
      <w:ind w:left="1080"/>
      <w:jc w:val="both"/>
    </w:pPr>
    <w:rPr>
      <w:rFonts w:ascii="Arial" w:hAnsi="Arial"/>
      <w:color w:val="000000"/>
      <w:sz w:val="18"/>
      <w:lang w:val="de-DE" w:eastAsia="de-DE"/>
    </w:rPr>
  </w:style>
  <w:style w:type="paragraph" w:customStyle="1" w:styleId="TabellenformatKlasse2">
    <w:name w:val="Tabellenformat Klasse 2"/>
    <w:basedOn w:val="Normal"/>
    <w:rsid w:val="00070E56"/>
    <w:pPr>
      <w:tabs>
        <w:tab w:val="left" w:pos="567"/>
      </w:tabs>
      <w:spacing w:after="0"/>
      <w:ind w:left="567" w:hanging="567"/>
    </w:pPr>
    <w:rPr>
      <w:rFonts w:ascii="Arial" w:hAnsi="Arial"/>
      <w:color w:val="000000"/>
      <w:sz w:val="18"/>
      <w:lang w:val="de-DE" w:eastAsia="de-DE"/>
    </w:rPr>
  </w:style>
  <w:style w:type="paragraph" w:customStyle="1" w:styleId="NormaltextSpalte0">
    <w:name w:val="Normaltext_Spalte"/>
    <w:basedOn w:val="Normal"/>
    <w:rsid w:val="00070E56"/>
    <w:pPr>
      <w:spacing w:before="180" w:after="0"/>
      <w:jc w:val="both"/>
    </w:pPr>
    <w:rPr>
      <w:rFonts w:ascii="Arial" w:hAnsi="Arial"/>
      <w:sz w:val="18"/>
      <w:lang w:val="de-DE" w:eastAsia="de-DE"/>
    </w:rPr>
  </w:style>
  <w:style w:type="paragraph" w:styleId="BodyText2">
    <w:name w:val="Body Text 2"/>
    <w:basedOn w:val="Normal"/>
    <w:link w:val="BodyText2Char"/>
    <w:rsid w:val="00070E56"/>
    <w:pPr>
      <w:tabs>
        <w:tab w:val="left" w:pos="425"/>
        <w:tab w:val="left" w:pos="851"/>
        <w:tab w:val="left" w:pos="1276"/>
      </w:tabs>
      <w:spacing w:after="120" w:line="480" w:lineRule="auto"/>
      <w:jc w:val="both"/>
    </w:pPr>
    <w:rPr>
      <w:rFonts w:ascii="Arial" w:hAnsi="Arial"/>
      <w:color w:val="000000"/>
      <w:sz w:val="22"/>
      <w:lang w:val="de-DE" w:eastAsia="de-DE"/>
    </w:rPr>
  </w:style>
  <w:style w:type="character" w:customStyle="1" w:styleId="BodyText2Char">
    <w:name w:val="Body Text 2 Char"/>
    <w:link w:val="BodyText2"/>
    <w:rsid w:val="00070E56"/>
    <w:rPr>
      <w:rFonts w:ascii="Arial" w:hAnsi="Arial"/>
      <w:color w:val="000000"/>
      <w:sz w:val="22"/>
      <w:lang w:val="de-DE" w:eastAsia="de-DE"/>
    </w:rPr>
  </w:style>
  <w:style w:type="paragraph" w:customStyle="1" w:styleId="Standardowy">
    <w:name w:val="Standardowy"/>
    <w:rsid w:val="00070E56"/>
    <w:rPr>
      <w:rFonts w:ascii="Arial" w:hAnsi="Arial"/>
      <w:snapToGrid w:val="0"/>
      <w:sz w:val="24"/>
      <w:lang w:val="en-GB" w:eastAsia="en-US"/>
    </w:rPr>
  </w:style>
  <w:style w:type="paragraph" w:customStyle="1" w:styleId="NumDocPara">
    <w:name w:val="Num©Doc Para"/>
    <w:basedOn w:val="Normal"/>
    <w:rsid w:val="00070E56"/>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after="0"/>
    </w:pPr>
    <w:rPr>
      <w:snapToGrid w:val="0"/>
      <w:sz w:val="22"/>
      <w:lang w:val="en-US"/>
    </w:rPr>
  </w:style>
  <w:style w:type="paragraph" w:customStyle="1" w:styleId="TabelleAnhangVII">
    <w:name w:val="Tabelle Anhang VII"/>
    <w:basedOn w:val="Normal"/>
    <w:rsid w:val="00070E56"/>
    <w:pPr>
      <w:tabs>
        <w:tab w:val="left" w:pos="140"/>
      </w:tabs>
      <w:spacing w:after="0"/>
      <w:ind w:right="23"/>
    </w:pPr>
    <w:rPr>
      <w:rFonts w:ascii="Arial" w:hAnsi="Arial"/>
      <w:color w:val="000000"/>
      <w:sz w:val="18"/>
      <w:lang w:val="de-DE" w:eastAsia="de-DE"/>
    </w:rPr>
  </w:style>
  <w:style w:type="paragraph" w:styleId="BodyText3">
    <w:name w:val="Body Text 3"/>
    <w:basedOn w:val="Normal"/>
    <w:link w:val="BodyText3Char"/>
    <w:rsid w:val="00070E56"/>
    <w:pPr>
      <w:spacing w:after="120"/>
    </w:pPr>
    <w:rPr>
      <w:sz w:val="16"/>
      <w:szCs w:val="16"/>
    </w:rPr>
  </w:style>
  <w:style w:type="character" w:customStyle="1" w:styleId="BodyText3Char">
    <w:name w:val="Body Text 3 Char"/>
    <w:link w:val="BodyText3"/>
    <w:rsid w:val="00070E56"/>
    <w:rPr>
      <w:sz w:val="16"/>
      <w:szCs w:val="16"/>
      <w:lang w:val="en-GB" w:eastAsia="en-US"/>
    </w:rPr>
  </w:style>
  <w:style w:type="paragraph" w:customStyle="1" w:styleId="TabelleAnhangV">
    <w:name w:val="Tabelle Anhang V"/>
    <w:basedOn w:val="Normal"/>
    <w:rsid w:val="00070E56"/>
    <w:pPr>
      <w:tabs>
        <w:tab w:val="left" w:pos="140"/>
      </w:tabs>
      <w:spacing w:before="60" w:after="60"/>
      <w:ind w:right="20"/>
    </w:pPr>
    <w:rPr>
      <w:rFonts w:ascii="Arial" w:hAnsi="Arial"/>
      <w:color w:val="000000"/>
      <w:sz w:val="18"/>
      <w:lang w:val="de-DE" w:eastAsia="de-DE"/>
    </w:rPr>
  </w:style>
  <w:style w:type="paragraph" w:styleId="BodyTextIndent3">
    <w:name w:val="Body Text Indent 3"/>
    <w:basedOn w:val="Normal"/>
    <w:link w:val="BodyTextIndent3Char"/>
    <w:rsid w:val="00525173"/>
    <w:pPr>
      <w:spacing w:after="120"/>
      <w:ind w:left="283"/>
    </w:pPr>
    <w:rPr>
      <w:sz w:val="16"/>
      <w:szCs w:val="16"/>
    </w:rPr>
  </w:style>
  <w:style w:type="character" w:customStyle="1" w:styleId="BodyTextIndent3Char">
    <w:name w:val="Body Text Indent 3 Char"/>
    <w:link w:val="BodyTextIndent3"/>
    <w:rsid w:val="00525173"/>
    <w:rPr>
      <w:sz w:val="16"/>
      <w:szCs w:val="16"/>
      <w:lang w:val="en-GB" w:eastAsia="en-US"/>
    </w:rPr>
  </w:style>
  <w:style w:type="paragraph" w:customStyle="1" w:styleId="N20">
    <w:name w:val="N20"/>
    <w:basedOn w:val="Normal"/>
    <w:link w:val="N20Car"/>
    <w:rsid w:val="00525173"/>
    <w:pPr>
      <w:widowControl w:val="0"/>
      <w:spacing w:after="0"/>
      <w:ind w:left="1134"/>
      <w:jc w:val="both"/>
    </w:pPr>
    <w:rPr>
      <w:rFonts w:ascii="Arial" w:hAnsi="Arial"/>
      <w:color w:val="000000"/>
      <w:sz w:val="20"/>
      <w:szCs w:val="22"/>
      <w:lang w:val="de-DE" w:eastAsia="de-DE"/>
    </w:rPr>
  </w:style>
  <w:style w:type="character" w:customStyle="1" w:styleId="N20Car">
    <w:name w:val="N20 Car"/>
    <w:link w:val="N20"/>
    <w:rsid w:val="00525173"/>
    <w:rPr>
      <w:rFonts w:ascii="Arial" w:hAnsi="Arial" w:cs="Arial"/>
      <w:color w:val="000000"/>
      <w:szCs w:val="22"/>
      <w:lang w:val="de-DE" w:eastAsia="de-DE"/>
    </w:rPr>
  </w:style>
  <w:style w:type="paragraph" w:styleId="ListParagraph">
    <w:name w:val="List Paragraph"/>
    <w:basedOn w:val="Normal"/>
    <w:uiPriority w:val="34"/>
    <w:qFormat/>
    <w:rsid w:val="002E4C45"/>
    <w:pPr>
      <w:ind w:left="708"/>
    </w:pPr>
  </w:style>
  <w:style w:type="paragraph" w:customStyle="1" w:styleId="N5">
    <w:name w:val="N5"/>
    <w:basedOn w:val="Normal"/>
    <w:rsid w:val="004F21B6"/>
    <w:pPr>
      <w:widowControl w:val="0"/>
      <w:tabs>
        <w:tab w:val="left" w:pos="1134"/>
        <w:tab w:val="left" w:pos="1418"/>
      </w:tabs>
      <w:overflowPunct w:val="0"/>
      <w:autoSpaceDE w:val="0"/>
      <w:autoSpaceDN w:val="0"/>
      <w:adjustRightInd w:val="0"/>
      <w:spacing w:after="0"/>
      <w:ind w:left="1418" w:hanging="284"/>
      <w:jc w:val="both"/>
      <w:textAlignment w:val="baseline"/>
    </w:pPr>
    <w:rPr>
      <w:rFonts w:ascii="Arial" w:hAnsi="Arial"/>
      <w:sz w:val="20"/>
      <w:lang w:val="de-DE" w:eastAsia="nl-NL"/>
    </w:rPr>
  </w:style>
  <w:style w:type="paragraph" w:customStyle="1" w:styleId="Corpsdetexte21">
    <w:name w:val="Corps de texte 21"/>
    <w:basedOn w:val="Normal"/>
    <w:rsid w:val="004F21B6"/>
    <w:pPr>
      <w:widowControl w:val="0"/>
      <w:overflowPunct w:val="0"/>
      <w:autoSpaceDE w:val="0"/>
      <w:autoSpaceDN w:val="0"/>
      <w:adjustRightInd w:val="0"/>
      <w:spacing w:after="0" w:line="220" w:lineRule="exact"/>
      <w:ind w:left="1701" w:hanging="566"/>
      <w:jc w:val="both"/>
      <w:textAlignment w:val="baseline"/>
    </w:pPr>
    <w:rPr>
      <w:rFonts w:ascii="Arial" w:hAnsi="Arial"/>
      <w:sz w:val="20"/>
      <w:lang w:val="de-DE" w:eastAsia="nl-NL"/>
    </w:rPr>
  </w:style>
  <w:style w:type="paragraph" w:customStyle="1" w:styleId="Retraitcorpsdetexte31">
    <w:name w:val="Retrait corps de texte 31"/>
    <w:basedOn w:val="Normal"/>
    <w:rsid w:val="004F21B6"/>
    <w:pPr>
      <w:widowControl w:val="0"/>
      <w:overflowPunct w:val="0"/>
      <w:autoSpaceDE w:val="0"/>
      <w:autoSpaceDN w:val="0"/>
      <w:adjustRightInd w:val="0"/>
      <w:spacing w:after="120"/>
      <w:ind w:left="283" w:hanging="1134"/>
      <w:jc w:val="both"/>
      <w:textAlignment w:val="baseline"/>
    </w:pPr>
    <w:rPr>
      <w:rFonts w:ascii="Arial" w:hAnsi="Arial"/>
      <w:sz w:val="16"/>
      <w:lang w:val="en-US" w:eastAsia="nl-NL"/>
    </w:rPr>
  </w:style>
  <w:style w:type="paragraph" w:customStyle="1" w:styleId="SingleTxtG">
    <w:name w:val="_ Single Txt_G"/>
    <w:basedOn w:val="Normal"/>
    <w:qFormat/>
    <w:rsid w:val="00F67677"/>
    <w:pPr>
      <w:suppressAutoHyphens/>
      <w:spacing w:after="120" w:line="240" w:lineRule="atLeast"/>
      <w:ind w:left="1134" w:right="1134"/>
      <w:jc w:val="both"/>
    </w:pPr>
    <w:rPr>
      <w:sz w:val="20"/>
    </w:rPr>
  </w:style>
  <w:style w:type="table" w:customStyle="1" w:styleId="Tabellenraster1">
    <w:name w:val="Tabellenraster1"/>
    <w:basedOn w:val="TableNormal"/>
    <w:next w:val="TableGrid"/>
    <w:rsid w:val="00F67677"/>
    <w:pPr>
      <w:spacing w:line="260" w:lineRule="atLeast"/>
    </w:pPr>
    <w:rPr>
      <w:lang w:val="en-GB"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semiHidden/>
    <w:rsid w:val="00EA6E78"/>
    <w:pPr>
      <w:numPr>
        <w:numId w:val="27"/>
      </w:numPr>
      <w:suppressAutoHyphens/>
      <w:spacing w:after="0" w:line="240" w:lineRule="atLeas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615">
      <w:bodyDiv w:val="1"/>
      <w:marLeft w:val="0"/>
      <w:marRight w:val="0"/>
      <w:marTop w:val="0"/>
      <w:marBottom w:val="0"/>
      <w:divBdr>
        <w:top w:val="none" w:sz="0" w:space="0" w:color="auto"/>
        <w:left w:val="none" w:sz="0" w:space="0" w:color="auto"/>
        <w:bottom w:val="none" w:sz="0" w:space="0" w:color="auto"/>
        <w:right w:val="none" w:sz="0" w:space="0" w:color="auto"/>
      </w:divBdr>
    </w:div>
    <w:div w:id="81225659">
      <w:bodyDiv w:val="1"/>
      <w:marLeft w:val="0"/>
      <w:marRight w:val="0"/>
      <w:marTop w:val="0"/>
      <w:marBottom w:val="0"/>
      <w:divBdr>
        <w:top w:val="none" w:sz="0" w:space="0" w:color="auto"/>
        <w:left w:val="none" w:sz="0" w:space="0" w:color="auto"/>
        <w:bottom w:val="none" w:sz="0" w:space="0" w:color="auto"/>
        <w:right w:val="none" w:sz="0" w:space="0" w:color="auto"/>
      </w:divBdr>
    </w:div>
    <w:div w:id="182790585">
      <w:bodyDiv w:val="1"/>
      <w:marLeft w:val="0"/>
      <w:marRight w:val="0"/>
      <w:marTop w:val="0"/>
      <w:marBottom w:val="0"/>
      <w:divBdr>
        <w:top w:val="none" w:sz="0" w:space="0" w:color="auto"/>
        <w:left w:val="none" w:sz="0" w:space="0" w:color="auto"/>
        <w:bottom w:val="none" w:sz="0" w:space="0" w:color="auto"/>
        <w:right w:val="none" w:sz="0" w:space="0" w:color="auto"/>
      </w:divBdr>
    </w:div>
    <w:div w:id="428432805">
      <w:bodyDiv w:val="1"/>
      <w:marLeft w:val="0"/>
      <w:marRight w:val="0"/>
      <w:marTop w:val="0"/>
      <w:marBottom w:val="0"/>
      <w:divBdr>
        <w:top w:val="none" w:sz="0" w:space="0" w:color="auto"/>
        <w:left w:val="none" w:sz="0" w:space="0" w:color="auto"/>
        <w:bottom w:val="none" w:sz="0" w:space="0" w:color="auto"/>
        <w:right w:val="none" w:sz="0" w:space="0" w:color="auto"/>
      </w:divBdr>
    </w:div>
    <w:div w:id="572858803">
      <w:bodyDiv w:val="1"/>
      <w:marLeft w:val="0"/>
      <w:marRight w:val="0"/>
      <w:marTop w:val="0"/>
      <w:marBottom w:val="0"/>
      <w:divBdr>
        <w:top w:val="none" w:sz="0" w:space="0" w:color="auto"/>
        <w:left w:val="none" w:sz="0" w:space="0" w:color="auto"/>
        <w:bottom w:val="none" w:sz="0" w:space="0" w:color="auto"/>
        <w:right w:val="none" w:sz="0" w:space="0" w:color="auto"/>
      </w:divBdr>
    </w:div>
    <w:div w:id="681392814">
      <w:bodyDiv w:val="1"/>
      <w:marLeft w:val="0"/>
      <w:marRight w:val="0"/>
      <w:marTop w:val="0"/>
      <w:marBottom w:val="0"/>
      <w:divBdr>
        <w:top w:val="none" w:sz="0" w:space="0" w:color="auto"/>
        <w:left w:val="none" w:sz="0" w:space="0" w:color="auto"/>
        <w:bottom w:val="none" w:sz="0" w:space="0" w:color="auto"/>
        <w:right w:val="none" w:sz="0" w:space="0" w:color="auto"/>
      </w:divBdr>
    </w:div>
    <w:div w:id="776291569">
      <w:bodyDiv w:val="1"/>
      <w:marLeft w:val="0"/>
      <w:marRight w:val="0"/>
      <w:marTop w:val="0"/>
      <w:marBottom w:val="0"/>
      <w:divBdr>
        <w:top w:val="none" w:sz="0" w:space="0" w:color="auto"/>
        <w:left w:val="none" w:sz="0" w:space="0" w:color="auto"/>
        <w:bottom w:val="none" w:sz="0" w:space="0" w:color="auto"/>
        <w:right w:val="none" w:sz="0" w:space="0" w:color="auto"/>
      </w:divBdr>
    </w:div>
    <w:div w:id="836266154">
      <w:bodyDiv w:val="1"/>
      <w:marLeft w:val="0"/>
      <w:marRight w:val="0"/>
      <w:marTop w:val="0"/>
      <w:marBottom w:val="0"/>
      <w:divBdr>
        <w:top w:val="none" w:sz="0" w:space="0" w:color="auto"/>
        <w:left w:val="none" w:sz="0" w:space="0" w:color="auto"/>
        <w:bottom w:val="none" w:sz="0" w:space="0" w:color="auto"/>
        <w:right w:val="none" w:sz="0" w:space="0" w:color="auto"/>
      </w:divBdr>
    </w:div>
    <w:div w:id="837843433">
      <w:bodyDiv w:val="1"/>
      <w:marLeft w:val="0"/>
      <w:marRight w:val="0"/>
      <w:marTop w:val="0"/>
      <w:marBottom w:val="0"/>
      <w:divBdr>
        <w:top w:val="none" w:sz="0" w:space="0" w:color="auto"/>
        <w:left w:val="none" w:sz="0" w:space="0" w:color="auto"/>
        <w:bottom w:val="none" w:sz="0" w:space="0" w:color="auto"/>
        <w:right w:val="none" w:sz="0" w:space="0" w:color="auto"/>
      </w:divBdr>
    </w:div>
    <w:div w:id="951862287">
      <w:bodyDiv w:val="1"/>
      <w:marLeft w:val="0"/>
      <w:marRight w:val="0"/>
      <w:marTop w:val="0"/>
      <w:marBottom w:val="0"/>
      <w:divBdr>
        <w:top w:val="none" w:sz="0" w:space="0" w:color="auto"/>
        <w:left w:val="none" w:sz="0" w:space="0" w:color="auto"/>
        <w:bottom w:val="none" w:sz="0" w:space="0" w:color="auto"/>
        <w:right w:val="none" w:sz="0" w:space="0" w:color="auto"/>
      </w:divBdr>
    </w:div>
    <w:div w:id="972712209">
      <w:bodyDiv w:val="1"/>
      <w:marLeft w:val="0"/>
      <w:marRight w:val="0"/>
      <w:marTop w:val="0"/>
      <w:marBottom w:val="0"/>
      <w:divBdr>
        <w:top w:val="none" w:sz="0" w:space="0" w:color="auto"/>
        <w:left w:val="none" w:sz="0" w:space="0" w:color="auto"/>
        <w:bottom w:val="none" w:sz="0" w:space="0" w:color="auto"/>
        <w:right w:val="none" w:sz="0" w:space="0" w:color="auto"/>
      </w:divBdr>
    </w:div>
    <w:div w:id="1245146462">
      <w:bodyDiv w:val="1"/>
      <w:marLeft w:val="0"/>
      <w:marRight w:val="0"/>
      <w:marTop w:val="0"/>
      <w:marBottom w:val="0"/>
      <w:divBdr>
        <w:top w:val="none" w:sz="0" w:space="0" w:color="auto"/>
        <w:left w:val="none" w:sz="0" w:space="0" w:color="auto"/>
        <w:bottom w:val="none" w:sz="0" w:space="0" w:color="auto"/>
        <w:right w:val="none" w:sz="0" w:space="0" w:color="auto"/>
      </w:divBdr>
    </w:div>
    <w:div w:id="1557623318">
      <w:bodyDiv w:val="1"/>
      <w:marLeft w:val="0"/>
      <w:marRight w:val="0"/>
      <w:marTop w:val="0"/>
      <w:marBottom w:val="0"/>
      <w:divBdr>
        <w:top w:val="none" w:sz="0" w:space="0" w:color="auto"/>
        <w:left w:val="none" w:sz="0" w:space="0" w:color="auto"/>
        <w:bottom w:val="none" w:sz="0" w:space="0" w:color="auto"/>
        <w:right w:val="none" w:sz="0" w:space="0" w:color="auto"/>
      </w:divBdr>
    </w:div>
    <w:div w:id="1587108414">
      <w:bodyDiv w:val="1"/>
      <w:marLeft w:val="0"/>
      <w:marRight w:val="0"/>
      <w:marTop w:val="0"/>
      <w:marBottom w:val="0"/>
      <w:divBdr>
        <w:top w:val="none" w:sz="0" w:space="0" w:color="auto"/>
        <w:left w:val="none" w:sz="0" w:space="0" w:color="auto"/>
        <w:bottom w:val="none" w:sz="0" w:space="0" w:color="auto"/>
        <w:right w:val="none" w:sz="0" w:space="0" w:color="auto"/>
      </w:divBdr>
    </w:div>
    <w:div w:id="1636644709">
      <w:bodyDiv w:val="1"/>
      <w:marLeft w:val="0"/>
      <w:marRight w:val="0"/>
      <w:marTop w:val="0"/>
      <w:marBottom w:val="0"/>
      <w:divBdr>
        <w:top w:val="none" w:sz="0" w:space="0" w:color="auto"/>
        <w:left w:val="none" w:sz="0" w:space="0" w:color="auto"/>
        <w:bottom w:val="none" w:sz="0" w:space="0" w:color="auto"/>
        <w:right w:val="none" w:sz="0" w:space="0" w:color="auto"/>
      </w:divBdr>
    </w:div>
    <w:div w:id="1682052750">
      <w:bodyDiv w:val="1"/>
      <w:marLeft w:val="0"/>
      <w:marRight w:val="0"/>
      <w:marTop w:val="0"/>
      <w:marBottom w:val="0"/>
      <w:divBdr>
        <w:top w:val="none" w:sz="0" w:space="0" w:color="auto"/>
        <w:left w:val="none" w:sz="0" w:space="0" w:color="auto"/>
        <w:bottom w:val="none" w:sz="0" w:space="0" w:color="auto"/>
        <w:right w:val="none" w:sz="0" w:space="0" w:color="auto"/>
      </w:divBdr>
    </w:div>
    <w:div w:id="1953322816">
      <w:bodyDiv w:val="1"/>
      <w:marLeft w:val="0"/>
      <w:marRight w:val="0"/>
      <w:marTop w:val="0"/>
      <w:marBottom w:val="0"/>
      <w:divBdr>
        <w:top w:val="none" w:sz="0" w:space="0" w:color="auto"/>
        <w:left w:val="none" w:sz="0" w:space="0" w:color="auto"/>
        <w:bottom w:val="none" w:sz="0" w:space="0" w:color="auto"/>
        <w:right w:val="none" w:sz="0" w:space="0" w:color="auto"/>
      </w:divBdr>
    </w:div>
    <w:div w:id="2082483881">
      <w:bodyDiv w:val="1"/>
      <w:marLeft w:val="0"/>
      <w:marRight w:val="0"/>
      <w:marTop w:val="0"/>
      <w:marBottom w:val="0"/>
      <w:divBdr>
        <w:top w:val="none" w:sz="0" w:space="0" w:color="auto"/>
        <w:left w:val="none" w:sz="0" w:space="0" w:color="auto"/>
        <w:bottom w:val="none" w:sz="0" w:space="0" w:color="auto"/>
        <w:right w:val="none" w:sz="0" w:space="0" w:color="auto"/>
      </w:divBdr>
    </w:div>
    <w:div w:id="210680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322D0-0F57-4648-B1CD-4BBCBE7F9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1601</Words>
  <Characters>9130</Characters>
  <Application>Microsoft Office Word</Application>
  <DocSecurity>4</DocSecurity>
  <Lines>76</Lines>
  <Paragraphs>21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Bericht über die 4. Sitzung der Informellen Arbeitsgruppe „Stoffe“ am 13. Oktober 2011 in Braunschweig</vt:lpstr>
      <vt:lpstr>Bericht über die 4. Sitzung der Informellen Arbeitsgruppe „Stoffe“ am 13. Oktober 2011 in Braunschweig</vt:lpstr>
      <vt:lpstr>Bericht über die 4. Sitzung der Informellen Arbeitsgruppe „Stoffe“ am 13. Oktober 2011 in Braunschweig</vt:lpstr>
    </vt:vector>
  </TitlesOfParts>
  <Company>ECE-ISU</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über die 4. Sitzung der Informellen Arbeitsgruppe „Stoffe“ am 13. Oktober 2011 in Braunschweig</dc:title>
  <dc:creator>D</dc:creator>
  <cp:lastModifiedBy>Secretariat</cp:lastModifiedBy>
  <cp:revision>2</cp:revision>
  <cp:lastPrinted>2018-05-15T06:55:00Z</cp:lastPrinted>
  <dcterms:created xsi:type="dcterms:W3CDTF">2018-07-24T15:47:00Z</dcterms:created>
  <dcterms:modified xsi:type="dcterms:W3CDTF">2018-07-24T15:47:00Z</dcterms:modified>
  <cp:category>20-4(b)</cp:category>
</cp:coreProperties>
</file>