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82C6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82C6E" w:rsidP="00C82C6E">
            <w:pPr>
              <w:jc w:val="right"/>
            </w:pPr>
            <w:r w:rsidRPr="00C82C6E">
              <w:rPr>
                <w:sz w:val="40"/>
              </w:rPr>
              <w:t>ECE</w:t>
            </w:r>
            <w:r>
              <w:t>/TRANS/WP.15/AC.2/2018/37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82C6E" w:rsidP="00C97039">
            <w:pPr>
              <w:spacing w:before="240"/>
            </w:pPr>
            <w:r>
              <w:t>Distr. générale</w:t>
            </w:r>
          </w:p>
          <w:p w:rsidR="00C82C6E" w:rsidRDefault="00C82C6E" w:rsidP="00C82C6E">
            <w:pPr>
              <w:spacing w:line="240" w:lineRule="exact"/>
            </w:pPr>
            <w:r>
              <w:t>12 juin 2018</w:t>
            </w:r>
          </w:p>
          <w:p w:rsidR="00C82C6E" w:rsidRDefault="00C82C6E" w:rsidP="00C82C6E">
            <w:pPr>
              <w:spacing w:line="240" w:lineRule="exact"/>
            </w:pPr>
            <w:r>
              <w:t>Français</w:t>
            </w:r>
          </w:p>
          <w:p w:rsidR="00C82C6E" w:rsidRPr="00DB58B5" w:rsidRDefault="00C82C6E" w:rsidP="00C82C6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5334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82C6E" w:rsidRPr="009E01B8" w:rsidRDefault="00C82C6E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C82C6E" w:rsidRPr="004812F5" w:rsidRDefault="00C82C6E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853343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853343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853343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C82C6E" w:rsidRPr="00234E40" w:rsidRDefault="00C82C6E" w:rsidP="00AF0CB5">
      <w:pPr>
        <w:spacing w:before="120"/>
        <w:rPr>
          <w:b/>
        </w:rPr>
      </w:pPr>
      <w:r w:rsidRPr="00097A69">
        <w:rPr>
          <w:b/>
        </w:rPr>
        <w:t>Trente-troisième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C82C6E" w:rsidRPr="00097A69" w:rsidRDefault="00C82C6E" w:rsidP="00C82C6E">
      <w:pPr>
        <w:spacing w:line="240" w:lineRule="auto"/>
      </w:pPr>
      <w:r>
        <w:t xml:space="preserve">Genève, </w:t>
      </w:r>
      <w:r w:rsidRPr="00097A69">
        <w:t>2</w:t>
      </w:r>
      <w:r>
        <w:t>7-</w:t>
      </w:r>
      <w:r w:rsidRPr="00097A69">
        <w:t>31</w:t>
      </w:r>
      <w:r>
        <w:t> </w:t>
      </w:r>
      <w:r w:rsidRPr="00097A69">
        <w:t>août 2018</w:t>
      </w:r>
      <w:r w:rsidRPr="00097A69">
        <w:br/>
        <w:t>Point 4 (b) de l</w:t>
      </w:r>
      <w:r w:rsidR="00853343">
        <w:t>’</w:t>
      </w:r>
      <w:r w:rsidRPr="00097A69">
        <w:t>ordre du jour provisoire</w:t>
      </w:r>
    </w:p>
    <w:p w:rsidR="00C82C6E" w:rsidRPr="00097A69" w:rsidRDefault="00C82C6E" w:rsidP="00C82C6E">
      <w:pPr>
        <w:spacing w:line="240" w:lineRule="auto"/>
        <w:rPr>
          <w:b/>
        </w:rPr>
      </w:pPr>
      <w:r w:rsidRPr="00097A69">
        <w:rPr>
          <w:b/>
        </w:rPr>
        <w:t>Propositions d</w:t>
      </w:r>
      <w:r w:rsidR="00853343">
        <w:rPr>
          <w:b/>
        </w:rPr>
        <w:t>’</w:t>
      </w:r>
      <w:r w:rsidRPr="00097A69">
        <w:rPr>
          <w:b/>
        </w:rPr>
        <w:t xml:space="preserve">amendements au Règlement </w:t>
      </w:r>
      <w:r>
        <w:rPr>
          <w:b/>
        </w:rPr>
        <w:br/>
      </w:r>
      <w:r w:rsidRPr="00097A69">
        <w:rPr>
          <w:b/>
        </w:rPr>
        <w:t>annexé à l</w:t>
      </w:r>
      <w:r w:rsidR="00853343">
        <w:rPr>
          <w:b/>
        </w:rPr>
        <w:t>’</w:t>
      </w:r>
      <w:r w:rsidRPr="00097A69">
        <w:rPr>
          <w:b/>
        </w:rPr>
        <w:t>ADN</w:t>
      </w:r>
      <w:r>
        <w:rPr>
          <w:b/>
        </w:rPr>
        <w:t xml:space="preserve"> : </w:t>
      </w:r>
      <w:r w:rsidRPr="00097A69">
        <w:rPr>
          <w:b/>
        </w:rPr>
        <w:t>autres propositions</w:t>
      </w:r>
    </w:p>
    <w:p w:rsidR="00C82C6E" w:rsidRPr="00097A69" w:rsidRDefault="00C82C6E" w:rsidP="00C82C6E">
      <w:pPr>
        <w:pStyle w:val="HChG"/>
        <w:spacing w:line="240" w:lineRule="auto"/>
      </w:pPr>
      <w:r w:rsidRPr="00097A69">
        <w:tab/>
      </w:r>
      <w:r w:rsidRPr="00097A69">
        <w:tab/>
        <w:t xml:space="preserve">Utilisation de conduites de retour de gaz pendant </w:t>
      </w:r>
      <w:r>
        <w:br/>
      </w:r>
      <w:r w:rsidRPr="00097A69">
        <w:t>le déchargement</w:t>
      </w:r>
      <w:r w:rsidRPr="00097A69">
        <w:rPr>
          <w:bCs/>
          <w:iCs/>
        </w:rPr>
        <w:t xml:space="preserve"> (1.4.3.7.1)</w:t>
      </w:r>
    </w:p>
    <w:p w:rsidR="00C82C6E" w:rsidRPr="00097A69" w:rsidRDefault="00C82C6E" w:rsidP="00C82C6E">
      <w:pPr>
        <w:pStyle w:val="H1G"/>
        <w:spacing w:line="240" w:lineRule="auto"/>
        <w:rPr>
          <w:bCs/>
          <w:sz w:val="20"/>
          <w:vertAlign w:val="superscript"/>
        </w:rPr>
      </w:pPr>
      <w:r w:rsidRPr="00097A69">
        <w:tab/>
      </w:r>
      <w:r w:rsidRPr="00097A69">
        <w:tab/>
        <w:t>Communication du Conseil européen de l</w:t>
      </w:r>
      <w:r w:rsidR="00853343">
        <w:t>’</w:t>
      </w:r>
      <w:r w:rsidRPr="00097A69">
        <w:t xml:space="preserve">industrie chimique (CEFIC) et de </w:t>
      </w:r>
      <w:r w:rsidRPr="00097A69">
        <w:rPr>
          <w:bCs/>
        </w:rPr>
        <w:t>Fuels Europe</w:t>
      </w:r>
      <w:r w:rsidRPr="00C82C6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C82C6E">
        <w:rPr>
          <w:b w:val="0"/>
          <w:bCs/>
          <w:position w:val="6"/>
          <w:sz w:val="20"/>
        </w:rPr>
        <w:t>,</w:t>
      </w:r>
      <w:r w:rsidRPr="00C82C6E">
        <w:rPr>
          <w:b w:val="0"/>
          <w:bCs/>
          <w:sz w:val="20"/>
        </w:rPr>
        <w:t xml:space="preserve"> </w:t>
      </w:r>
      <w:r w:rsidRPr="00C82C6E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:rsidR="00C82C6E" w:rsidRPr="00097A69" w:rsidRDefault="00C82C6E" w:rsidP="00C82C6E">
      <w:pPr>
        <w:pStyle w:val="HChG"/>
        <w:spacing w:line="240" w:lineRule="auto"/>
      </w:pPr>
      <w:r w:rsidRPr="00097A69">
        <w:tab/>
      </w:r>
      <w:r w:rsidRPr="00097A69">
        <w:tab/>
        <w:t>Introduction</w:t>
      </w:r>
    </w:p>
    <w:p w:rsidR="00C82C6E" w:rsidRPr="00C82C6E" w:rsidRDefault="00C82C6E" w:rsidP="00C82C6E">
      <w:pPr>
        <w:pStyle w:val="SingleTxtG"/>
      </w:pPr>
      <w:r w:rsidRPr="00C82C6E">
        <w:t>1.</w:t>
      </w:r>
      <w:r w:rsidRPr="00C82C6E">
        <w:tab/>
        <w:t xml:space="preserve">On voudra bien se référer au compte rendu de la </w:t>
      </w:r>
      <w:r>
        <w:t xml:space="preserve">trente-deuxième </w:t>
      </w:r>
      <w:r w:rsidRPr="00C82C6E">
        <w:t>session du Comité de sécurité de l</w:t>
      </w:r>
      <w:r w:rsidR="00853343">
        <w:t>’</w:t>
      </w:r>
      <w:r w:rsidRPr="00C82C6E">
        <w:t>ADN (ECE/TRANS/WP.15/AC.2/66, par.</w:t>
      </w:r>
      <w:r>
        <w:t> </w:t>
      </w:r>
      <w:r w:rsidRPr="00C82C6E">
        <w:t>19</w:t>
      </w:r>
      <w:r>
        <w:t xml:space="preserve"> et </w:t>
      </w:r>
      <w:r w:rsidRPr="00C82C6E">
        <w:t>20).</w:t>
      </w:r>
    </w:p>
    <w:p w:rsidR="00C82C6E" w:rsidRPr="00C82C6E" w:rsidRDefault="00C82C6E" w:rsidP="00C82C6E">
      <w:pPr>
        <w:pStyle w:val="SingleTxtG"/>
        <w:ind w:left="1701"/>
      </w:pPr>
      <w:r>
        <w:t>« </w:t>
      </w:r>
      <w:r w:rsidRPr="00853343">
        <w:rPr>
          <w:b/>
        </w:rPr>
        <w:t>Utilisation de conduites de retour de gaz pendant le déchargement</w:t>
      </w:r>
    </w:p>
    <w:p w:rsidR="00C82C6E" w:rsidRPr="00C82C6E" w:rsidRDefault="00C82C6E" w:rsidP="00C82C6E">
      <w:pPr>
        <w:pStyle w:val="SingleTxtG"/>
        <w:ind w:left="1701"/>
      </w:pPr>
      <w:r w:rsidRPr="00C82C6E">
        <w:rPr>
          <w:i/>
        </w:rPr>
        <w:t>Document informel</w:t>
      </w:r>
      <w:r>
        <w:t> </w:t>
      </w:r>
      <w:r w:rsidRPr="00C82C6E">
        <w:t>: INF.7 (Pays-Bas</w:t>
      </w:r>
      <w:r>
        <w:t>)</w:t>
      </w:r>
      <w:r w:rsidR="00853343">
        <w:t>.</w:t>
      </w:r>
    </w:p>
    <w:p w:rsidR="00C82C6E" w:rsidRPr="00C82C6E" w:rsidRDefault="00C82C6E" w:rsidP="00C82C6E">
      <w:pPr>
        <w:pStyle w:val="SingleTxtG"/>
        <w:ind w:left="1701"/>
      </w:pPr>
      <w:r w:rsidRPr="00C82C6E">
        <w:t>19.</w:t>
      </w:r>
      <w:r w:rsidRPr="00C82C6E">
        <w:tab/>
        <w:t>Le Comité de sécurité a noté que le système des conduites de retour de gaz n</w:t>
      </w:r>
      <w:r w:rsidR="00853343">
        <w:t>’</w:t>
      </w:r>
      <w:r w:rsidRPr="00C82C6E">
        <w:t>était pas largement répandu et qu</w:t>
      </w:r>
      <w:r w:rsidR="00853343">
        <w:t>’</w:t>
      </w:r>
      <w:r w:rsidRPr="00C82C6E">
        <w:t>il n</w:t>
      </w:r>
      <w:r w:rsidR="00853343">
        <w:t>’</w:t>
      </w:r>
      <w:r w:rsidRPr="00C82C6E">
        <w:t>était pas forcément applicable dans tous les cas. Il a également été relevé que l</w:t>
      </w:r>
      <w:r w:rsidR="00853343">
        <w:t>’</w:t>
      </w:r>
      <w:r w:rsidRPr="00C82C6E">
        <w:t>utilisation de conduites de retour de gaz pouvait entraîner la création de mélanges gazeux indéterminés susceptibles de donner lieu à une réaction dangereuse dans la citerne avec les vapeurs de la matière déchargée, et qu</w:t>
      </w:r>
      <w:r w:rsidR="00853343">
        <w:t>’</w:t>
      </w:r>
      <w:r w:rsidRPr="00C82C6E">
        <w:t>il fallait l</w:t>
      </w:r>
      <w:r w:rsidR="00853343">
        <w:t>’</w:t>
      </w:r>
      <w:r w:rsidRPr="00C82C6E">
        <w:t>éviter</w:t>
      </w:r>
      <w:r w:rsidR="00853343">
        <w:t>.</w:t>
      </w:r>
    </w:p>
    <w:p w:rsidR="00C82C6E" w:rsidRPr="00C82C6E" w:rsidRDefault="00C82C6E" w:rsidP="00C82C6E">
      <w:pPr>
        <w:pStyle w:val="SingleTxtG"/>
        <w:ind w:left="1701"/>
      </w:pPr>
      <w:r w:rsidRPr="00C82C6E">
        <w:t>20.</w:t>
      </w:r>
      <w:r w:rsidRPr="00C82C6E">
        <w:tab/>
        <w:t>Le Comité de sécurité a en outre relevé que les dispositions actuelles des alinéas i) et j) du 1.4.3.7.1 de l</w:t>
      </w:r>
      <w:r w:rsidR="00853343">
        <w:t>’</w:t>
      </w:r>
      <w:r w:rsidRPr="00C82C6E">
        <w:t>ADN exigeaient que le déchargeur s</w:t>
      </w:r>
      <w:r w:rsidR="00853343">
        <w:t>’</w:t>
      </w:r>
      <w:r w:rsidRPr="00C82C6E">
        <w:t xml:space="preserve">assure que </w:t>
      </w:r>
      <w:r w:rsidRPr="00C82C6E">
        <w:lastRenderedPageBreak/>
        <w:t>lorsqu</w:t>
      </w:r>
      <w:r w:rsidR="00853343">
        <w:t>’</w:t>
      </w:r>
      <w:r w:rsidRPr="00C82C6E">
        <w:t>une conduite de retour de gaz était prescrite conformément au 7.2.4.25.5, elle soit équipée d</w:t>
      </w:r>
      <w:r w:rsidR="00853343">
        <w:t>’</w:t>
      </w:r>
      <w:r w:rsidRPr="00C82C6E">
        <w:t>un coupe-flammes, mais que cette obligation ne figurait pas dans la liste de contrôle visée au 7.2.4.10. Il a également été signalé que les dispositions du 1.4.3.7 concernaient le déchargement, alors que la liste de contrôle s</w:t>
      </w:r>
      <w:r w:rsidR="00853343">
        <w:t>’</w:t>
      </w:r>
      <w:r w:rsidRPr="00C82C6E">
        <w:t>appliquait au chargement. Les représentants de Fuels Europe et du CEFIC ont proposé de soumettre une proposition pour la prochaine session.</w:t>
      </w:r>
      <w:r w:rsidR="00853343">
        <w:t> ».</w:t>
      </w:r>
    </w:p>
    <w:p w:rsidR="00C82C6E" w:rsidRPr="00097A69" w:rsidRDefault="00C82C6E" w:rsidP="00853343">
      <w:pPr>
        <w:pStyle w:val="HChG"/>
      </w:pPr>
      <w:r w:rsidRPr="00097A69">
        <w:tab/>
      </w:r>
      <w:r w:rsidRPr="00097A69">
        <w:tab/>
        <w:t>Propos</w:t>
      </w:r>
      <w:r>
        <w:t>ition d</w:t>
      </w:r>
      <w:r w:rsidR="00853343">
        <w:t>’</w:t>
      </w:r>
      <w:r w:rsidRPr="00097A69">
        <w:t>amend</w:t>
      </w:r>
      <w:r>
        <w:t>e</w:t>
      </w:r>
      <w:r w:rsidRPr="00097A69">
        <w:t>ment</w:t>
      </w:r>
    </w:p>
    <w:p w:rsidR="00C82C6E" w:rsidRPr="00097A69" w:rsidRDefault="00853343" w:rsidP="00853343">
      <w:pPr>
        <w:pStyle w:val="SingleTxtG"/>
      </w:pPr>
      <w:r>
        <w:t>2.</w:t>
      </w:r>
      <w:r w:rsidR="00C82C6E" w:rsidRPr="00097A69">
        <w:tab/>
      </w:r>
      <w:r w:rsidR="00C82C6E">
        <w:t xml:space="preserve">Le paragraphe </w:t>
      </w:r>
      <w:r w:rsidR="00C82C6E" w:rsidRPr="00097A69">
        <w:t xml:space="preserve">1.4.3.7.1 </w:t>
      </w:r>
      <w:r w:rsidR="00C82C6E">
        <w:t>de l</w:t>
      </w:r>
      <w:r>
        <w:t>’</w:t>
      </w:r>
      <w:r w:rsidR="00C82C6E" w:rsidRPr="00097A69">
        <w:t xml:space="preserve">ADN </w:t>
      </w:r>
      <w:r w:rsidR="00C82C6E">
        <w:t>est libellé comme suit</w:t>
      </w:r>
      <w:r>
        <w:t> :</w:t>
      </w:r>
    </w:p>
    <w:p w:rsidR="00C82C6E" w:rsidRDefault="00853343" w:rsidP="00C82C6E">
      <w:pPr>
        <w:pStyle w:val="SingleTxtG"/>
      </w:pPr>
      <w:r>
        <w:t>1.4.3.7.1</w:t>
      </w:r>
      <w:r w:rsidR="00C82C6E" w:rsidRPr="00097A69">
        <w:tab/>
      </w:r>
      <w:r w:rsidR="00C82C6E">
        <w:t>Dans le cadre du 1.4.1, le déchargeur doit notamment</w:t>
      </w:r>
      <w:r>
        <w:t> </w:t>
      </w:r>
      <w:r w:rsidR="00C82C6E">
        <w:t xml:space="preserve">: </w:t>
      </w:r>
    </w:p>
    <w:p w:rsidR="00C82C6E" w:rsidRPr="00097A69" w:rsidRDefault="00853343" w:rsidP="00C82C6E">
      <w:pPr>
        <w:pStyle w:val="SingleTxtG"/>
      </w:pPr>
      <w:r>
        <w:rPr>
          <w:rFonts w:eastAsia="Calibri"/>
        </w:rPr>
        <w:t>« </w:t>
      </w:r>
      <w:r w:rsidR="00C82C6E">
        <w:t>i) s</w:t>
      </w:r>
      <w:r>
        <w:t>’</w:t>
      </w:r>
      <w:r w:rsidR="00C82C6E">
        <w:t>assurer que dans la conduite de retour de gaz, lorsqu</w:t>
      </w:r>
      <w:r>
        <w:t>’</w:t>
      </w:r>
      <w:r w:rsidR="00C82C6E">
        <w:t>elle est prescrite au 7.2.4.25.5, il y ait un coupe-flammes protégeant le bateau contre les détonations et les passages de flammes provenant du côté terre</w:t>
      </w:r>
      <w:r>
        <w:t> </w:t>
      </w:r>
      <w:r w:rsidR="00C82C6E">
        <w:t>;</w:t>
      </w:r>
      <w:r>
        <w:t> ».</w:t>
      </w:r>
    </w:p>
    <w:p w:rsidR="00C82C6E" w:rsidRPr="00097A69" w:rsidRDefault="00C82C6E" w:rsidP="00C82C6E">
      <w:pPr>
        <w:pStyle w:val="SingleTxtG"/>
      </w:pPr>
      <w:r w:rsidRPr="00097A69">
        <w:t>3.</w:t>
      </w:r>
      <w:r w:rsidRPr="00097A69">
        <w:tab/>
        <w:t>I</w:t>
      </w:r>
      <w:r>
        <w:t>l est proposé de le modifier comme suit</w:t>
      </w:r>
      <w:r w:rsidR="00853343">
        <w:t> </w:t>
      </w:r>
      <w:r w:rsidRPr="00097A69">
        <w:t>:</w:t>
      </w:r>
    </w:p>
    <w:p w:rsidR="00C82C6E" w:rsidRDefault="00853343" w:rsidP="00C82C6E">
      <w:pPr>
        <w:pStyle w:val="SingleTxtG"/>
      </w:pPr>
      <w:r>
        <w:rPr>
          <w:rFonts w:eastAsia="Calibri"/>
        </w:rPr>
        <w:t>« </w:t>
      </w:r>
      <w:r w:rsidR="00C82C6E" w:rsidRPr="00097A69">
        <w:t>i)</w:t>
      </w:r>
      <w:r w:rsidR="00C82C6E" w:rsidRPr="00097A69">
        <w:tab/>
      </w:r>
      <w:r w:rsidR="00C82C6E">
        <w:t>Veiller, là où les installations à terre exigent la présence d</w:t>
      </w:r>
      <w:r>
        <w:t>’</w:t>
      </w:r>
      <w:r w:rsidR="00C82C6E">
        <w:t>une conduite de retour de vapeur au navire pendant le déchargement, qu</w:t>
      </w:r>
      <w:r>
        <w:t>’</w:t>
      </w:r>
      <w:r w:rsidR="00C82C6E">
        <w:t>il y ait un coupe-flammes dans la conduite de retour de gaz protégeant le bateau contre les détonations et les passages de flammes provenant du côté terre.</w:t>
      </w:r>
      <w:r>
        <w:rPr>
          <w:rFonts w:eastAsia="Calibri"/>
        </w:rPr>
        <w:t> ».</w:t>
      </w:r>
    </w:p>
    <w:p w:rsidR="00C82C6E" w:rsidRPr="00097A69" w:rsidRDefault="00C82C6E" w:rsidP="00C82C6E">
      <w:pPr>
        <w:pStyle w:val="HChG"/>
      </w:pPr>
      <w:r w:rsidRPr="00097A69">
        <w:tab/>
      </w:r>
      <w:r w:rsidRPr="00097A69">
        <w:tab/>
      </w:r>
      <w:r>
        <w:t>Mesures complémentaires</w:t>
      </w:r>
    </w:p>
    <w:p w:rsidR="00F9573C" w:rsidRDefault="00C82C6E" w:rsidP="00C82C6E">
      <w:pPr>
        <w:pStyle w:val="SingleTxtG"/>
      </w:pPr>
      <w:r w:rsidRPr="00097A69">
        <w:t>4.</w:t>
      </w:r>
      <w:r w:rsidRPr="00097A69">
        <w:tab/>
      </w:r>
      <w:r>
        <w:t>Le Comité de sécurité est invité à examiner la proposition contenue au paragraphe 3.</w:t>
      </w:r>
    </w:p>
    <w:p w:rsidR="00853343" w:rsidRPr="00853343" w:rsidRDefault="00853343" w:rsidP="0085334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3343" w:rsidRPr="00853343" w:rsidSect="00C82C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AB" w:rsidRDefault="00B10DAB" w:rsidP="00F95C08">
      <w:pPr>
        <w:spacing w:line="240" w:lineRule="auto"/>
      </w:pPr>
    </w:p>
  </w:endnote>
  <w:endnote w:type="continuationSeparator" w:id="0">
    <w:p w:rsidR="00B10DAB" w:rsidRPr="00AC3823" w:rsidRDefault="00B10DAB" w:rsidP="00AC3823">
      <w:pPr>
        <w:pStyle w:val="Footer"/>
      </w:pPr>
    </w:p>
  </w:endnote>
  <w:endnote w:type="continuationNotice" w:id="1">
    <w:p w:rsidR="00B10DAB" w:rsidRDefault="00B10D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6E" w:rsidRPr="00C82C6E" w:rsidRDefault="00C82C6E" w:rsidP="00C82C6E">
    <w:pPr>
      <w:pStyle w:val="Footer"/>
      <w:tabs>
        <w:tab w:val="right" w:pos="9638"/>
      </w:tabs>
    </w:pPr>
    <w:r w:rsidRPr="00C82C6E">
      <w:rPr>
        <w:b/>
        <w:sz w:val="18"/>
      </w:rPr>
      <w:fldChar w:fldCharType="begin"/>
    </w:r>
    <w:r w:rsidRPr="00C82C6E">
      <w:rPr>
        <w:b/>
        <w:sz w:val="18"/>
      </w:rPr>
      <w:instrText xml:space="preserve"> PAGE  \* MERGEFORMAT </w:instrText>
    </w:r>
    <w:r w:rsidRPr="00C82C6E">
      <w:rPr>
        <w:b/>
        <w:sz w:val="18"/>
      </w:rPr>
      <w:fldChar w:fldCharType="separate"/>
    </w:r>
    <w:r w:rsidR="00A6794E">
      <w:rPr>
        <w:b/>
        <w:noProof/>
        <w:sz w:val="18"/>
      </w:rPr>
      <w:t>2</w:t>
    </w:r>
    <w:r w:rsidRPr="00C82C6E">
      <w:rPr>
        <w:b/>
        <w:sz w:val="18"/>
      </w:rPr>
      <w:fldChar w:fldCharType="end"/>
    </w:r>
    <w:r>
      <w:rPr>
        <w:b/>
        <w:sz w:val="18"/>
      </w:rPr>
      <w:tab/>
    </w:r>
    <w:r>
      <w:t>GE.18-09603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6E" w:rsidRPr="00C82C6E" w:rsidRDefault="00C82C6E" w:rsidP="00C82C6E">
    <w:pPr>
      <w:pStyle w:val="Footer"/>
      <w:tabs>
        <w:tab w:val="right" w:pos="9638"/>
      </w:tabs>
      <w:rPr>
        <w:b/>
        <w:sz w:val="18"/>
      </w:rPr>
    </w:pPr>
    <w:r>
      <w:t>GE.18-09603</w:t>
    </w:r>
    <w:r>
      <w:tab/>
    </w:r>
    <w:r w:rsidRPr="00C82C6E">
      <w:rPr>
        <w:b/>
        <w:sz w:val="18"/>
      </w:rPr>
      <w:fldChar w:fldCharType="begin"/>
    </w:r>
    <w:r w:rsidRPr="00C82C6E">
      <w:rPr>
        <w:b/>
        <w:sz w:val="18"/>
      </w:rPr>
      <w:instrText xml:space="preserve"> PAGE  \* MERGEFORMAT </w:instrText>
    </w:r>
    <w:r w:rsidRPr="00C82C6E">
      <w:rPr>
        <w:b/>
        <w:sz w:val="18"/>
      </w:rPr>
      <w:fldChar w:fldCharType="separate"/>
    </w:r>
    <w:r w:rsidR="006534B7">
      <w:rPr>
        <w:b/>
        <w:noProof/>
        <w:sz w:val="18"/>
      </w:rPr>
      <w:t>2</w:t>
    </w:r>
    <w:r w:rsidRPr="00C82C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82C6E" w:rsidRDefault="00C82C6E" w:rsidP="00C82C6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18-09603  (F)    140618    130718</w:t>
    </w:r>
    <w:r>
      <w:rPr>
        <w:sz w:val="20"/>
      </w:rPr>
      <w:br/>
    </w:r>
    <w:r w:rsidRPr="00C82C6E">
      <w:rPr>
        <w:rFonts w:ascii="C39T30Lfz" w:hAnsi="C39T30Lfz"/>
        <w:sz w:val="56"/>
      </w:rPr>
      <w:t></w:t>
    </w:r>
    <w:r w:rsidRPr="00C82C6E">
      <w:rPr>
        <w:rFonts w:ascii="C39T30Lfz" w:hAnsi="C39T30Lfz"/>
        <w:sz w:val="56"/>
      </w:rPr>
      <w:t></w:t>
    </w:r>
    <w:r w:rsidRPr="00C82C6E">
      <w:rPr>
        <w:rFonts w:ascii="C39T30Lfz" w:hAnsi="C39T30Lfz"/>
        <w:sz w:val="56"/>
      </w:rPr>
      <w:t></w:t>
    </w:r>
    <w:r w:rsidRPr="00C82C6E">
      <w:rPr>
        <w:rFonts w:ascii="C39T30Lfz" w:hAnsi="C39T30Lfz"/>
        <w:sz w:val="56"/>
      </w:rPr>
      <w:t></w:t>
    </w:r>
    <w:r w:rsidRPr="00C82C6E">
      <w:rPr>
        <w:rFonts w:ascii="C39T30Lfz" w:hAnsi="C39T30Lfz"/>
        <w:sz w:val="56"/>
      </w:rPr>
      <w:t></w:t>
    </w:r>
    <w:r w:rsidRPr="00C82C6E">
      <w:rPr>
        <w:rFonts w:ascii="C39T30Lfz" w:hAnsi="C39T30Lfz"/>
        <w:sz w:val="56"/>
      </w:rPr>
      <w:t></w:t>
    </w:r>
    <w:r w:rsidRPr="00C82C6E">
      <w:rPr>
        <w:rFonts w:ascii="C39T30Lfz" w:hAnsi="C39T30Lfz"/>
        <w:sz w:val="56"/>
      </w:rPr>
      <w:t></w:t>
    </w:r>
    <w:r w:rsidRPr="00C82C6E">
      <w:rPr>
        <w:rFonts w:ascii="C39T30Lfz" w:hAnsi="C39T30Lfz"/>
        <w:sz w:val="56"/>
      </w:rPr>
      <w:t></w:t>
    </w:r>
    <w:r w:rsidRPr="00C82C6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3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AB" w:rsidRPr="00AC3823" w:rsidRDefault="00B10DA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0DAB" w:rsidRPr="00AC3823" w:rsidRDefault="00B10DA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10DAB" w:rsidRPr="00AC3823" w:rsidRDefault="00B10DAB">
      <w:pPr>
        <w:spacing w:line="240" w:lineRule="auto"/>
        <w:rPr>
          <w:sz w:val="2"/>
          <w:szCs w:val="2"/>
        </w:rPr>
      </w:pPr>
    </w:p>
  </w:footnote>
  <w:footnote w:id="2">
    <w:p w:rsidR="00C82C6E" w:rsidRPr="00C82C6E" w:rsidRDefault="00C82C6E">
      <w:pPr>
        <w:pStyle w:val="FootnoteText"/>
      </w:pPr>
      <w:r>
        <w:rPr>
          <w:rStyle w:val="FootnoteReference"/>
        </w:rPr>
        <w:tab/>
      </w:r>
      <w:r w:rsidRPr="00C82C6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Diffusé en langue allemande par la Commission centrale pour la navigation du Rhin sous la cote </w:t>
      </w:r>
      <w:r w:rsidR="006534B7">
        <w:t>CCNR-</w:t>
      </w:r>
      <w:r>
        <w:t>ZKR/ADN/WP.15/AC.2/2018/37</w:t>
      </w:r>
      <w:r w:rsidRPr="00C82C6E">
        <w:t>.</w:t>
      </w:r>
    </w:p>
  </w:footnote>
  <w:footnote w:id="3">
    <w:p w:rsidR="00C82C6E" w:rsidRPr="00C82C6E" w:rsidRDefault="00C82C6E">
      <w:pPr>
        <w:pStyle w:val="FootnoteText"/>
      </w:pPr>
      <w:r>
        <w:rPr>
          <w:rStyle w:val="FootnoteReference"/>
        </w:rPr>
        <w:tab/>
      </w:r>
      <w:r w:rsidRPr="00C82C6E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6E" w:rsidRPr="00C82C6E" w:rsidRDefault="00A6794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534B7">
      <w:t>ECE/TRANS/WP.15/AC.2/2018/37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6E" w:rsidRPr="00C82C6E" w:rsidRDefault="00A6794E" w:rsidP="00C82C6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534B7">
      <w:t>ECE/TRANS/WP.15/AC.2/2018/37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AB"/>
    <w:rsid w:val="00017F94"/>
    <w:rsid w:val="00023842"/>
    <w:rsid w:val="000334F9"/>
    <w:rsid w:val="00045FEB"/>
    <w:rsid w:val="00077169"/>
    <w:rsid w:val="0007796D"/>
    <w:rsid w:val="000B7790"/>
    <w:rsid w:val="00111F2F"/>
    <w:rsid w:val="0014365E"/>
    <w:rsid w:val="00143C66"/>
    <w:rsid w:val="00176178"/>
    <w:rsid w:val="001A3F03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B10D4"/>
    <w:rsid w:val="006534B7"/>
    <w:rsid w:val="0071601D"/>
    <w:rsid w:val="007A62E6"/>
    <w:rsid w:val="007F20FA"/>
    <w:rsid w:val="0080684C"/>
    <w:rsid w:val="00853343"/>
    <w:rsid w:val="00871C75"/>
    <w:rsid w:val="008776DC"/>
    <w:rsid w:val="009446C0"/>
    <w:rsid w:val="009705C8"/>
    <w:rsid w:val="009C1CF4"/>
    <w:rsid w:val="009F6B74"/>
    <w:rsid w:val="00A30353"/>
    <w:rsid w:val="00A6794E"/>
    <w:rsid w:val="00AC3823"/>
    <w:rsid w:val="00AE323C"/>
    <w:rsid w:val="00AF0CB5"/>
    <w:rsid w:val="00B00181"/>
    <w:rsid w:val="00B00B0D"/>
    <w:rsid w:val="00B10DAB"/>
    <w:rsid w:val="00B765F7"/>
    <w:rsid w:val="00BA0CA9"/>
    <w:rsid w:val="00C02897"/>
    <w:rsid w:val="00C82C6E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52F72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1C119C-C125-4CDC-A04F-75F70465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82C6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ECE/TRANS/WP.15/AC.2/2018/37</vt:lpstr>
      <vt:lpstr>ECE/TRANS/WP.15/AC.2/2018/37</vt:lpstr>
    </vt:vector>
  </TitlesOfParts>
  <Company>DCM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ECE/TRANS/WP.15/AC.2/2018/37</dc:title>
  <dc:subject/>
  <dc:creator>Fabienne CRELIER</dc:creator>
  <cp:keywords/>
  <cp:lastModifiedBy>Caillot</cp:lastModifiedBy>
  <cp:revision>2</cp:revision>
  <cp:lastPrinted>2018-07-13T07:46:00Z</cp:lastPrinted>
  <dcterms:created xsi:type="dcterms:W3CDTF">2018-07-23T15:21:00Z</dcterms:created>
  <dcterms:modified xsi:type="dcterms:W3CDTF">2018-07-23T15:21:00Z</dcterms:modified>
</cp:coreProperties>
</file>