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501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50164" w:rsidP="00450164">
            <w:pPr>
              <w:jc w:val="right"/>
            </w:pPr>
            <w:r w:rsidRPr="00450164">
              <w:rPr>
                <w:sz w:val="40"/>
              </w:rPr>
              <w:t>ECE</w:t>
            </w:r>
            <w:r>
              <w:t>/TRANS/WP.15/AC.2/2018/38</w:t>
            </w:r>
          </w:p>
        </w:tc>
      </w:tr>
      <w:tr w:rsidR="002D5AAC" w:rsidRPr="0045016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5016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50164" w:rsidRDefault="00450164" w:rsidP="004501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June 2018</w:t>
            </w:r>
          </w:p>
          <w:p w:rsidR="00450164" w:rsidRDefault="00450164" w:rsidP="004501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50164" w:rsidRPr="008D53B6" w:rsidRDefault="00450164" w:rsidP="004501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50164" w:rsidRPr="00450164" w:rsidRDefault="00450164" w:rsidP="00450164">
      <w:pPr>
        <w:suppressAutoHyphens w:val="0"/>
        <w:spacing w:before="120" w:line="240" w:lineRule="auto"/>
        <w:rPr>
          <w:sz w:val="28"/>
          <w:szCs w:val="28"/>
        </w:rPr>
      </w:pPr>
      <w:r w:rsidRPr="00450164">
        <w:rPr>
          <w:sz w:val="28"/>
          <w:szCs w:val="28"/>
        </w:rPr>
        <w:t>Комитет по внутреннему транспорту</w:t>
      </w:r>
    </w:p>
    <w:p w:rsidR="00450164" w:rsidRPr="00450164" w:rsidRDefault="00450164" w:rsidP="00450164">
      <w:pPr>
        <w:suppressAutoHyphens w:val="0"/>
        <w:spacing w:before="120" w:line="240" w:lineRule="auto"/>
        <w:rPr>
          <w:b/>
          <w:sz w:val="24"/>
          <w:szCs w:val="24"/>
        </w:rPr>
      </w:pPr>
      <w:r w:rsidRPr="00450164">
        <w:rPr>
          <w:b/>
          <w:sz w:val="24"/>
          <w:szCs w:val="24"/>
        </w:rPr>
        <w:t>Рабочая группа по перевозкам опасных грузов</w:t>
      </w:r>
    </w:p>
    <w:p w:rsidR="00450164" w:rsidRPr="00450164" w:rsidRDefault="00450164" w:rsidP="00450164">
      <w:pPr>
        <w:suppressAutoHyphens w:val="0"/>
        <w:spacing w:before="120" w:line="240" w:lineRule="auto"/>
        <w:rPr>
          <w:b/>
        </w:rPr>
      </w:pPr>
      <w:r w:rsidRPr="00450164">
        <w:rPr>
          <w:b/>
        </w:rPr>
        <w:t>Совместное совещание экспертов по Правилам,</w:t>
      </w:r>
      <w:r w:rsidRPr="00450164">
        <w:rPr>
          <w:b/>
        </w:rPr>
        <w:br/>
        <w:t>прилагаемым к Европейскому соглашению</w:t>
      </w:r>
      <w:r w:rsidRPr="00450164">
        <w:rPr>
          <w:b/>
        </w:rPr>
        <w:br/>
        <w:t>о международной перевозке опасных грузов</w:t>
      </w:r>
      <w:r w:rsidRPr="00450164">
        <w:rPr>
          <w:b/>
        </w:rPr>
        <w:br/>
        <w:t>по внутренним водным путям (ВОПОГ)</w:t>
      </w:r>
      <w:r w:rsidRPr="00450164">
        <w:rPr>
          <w:b/>
        </w:rPr>
        <w:br/>
        <w:t>(Комитет по вопросам безопасности ВОПОГ)</w:t>
      </w:r>
    </w:p>
    <w:p w:rsidR="00450164" w:rsidRPr="00450164" w:rsidRDefault="00450164" w:rsidP="00450164">
      <w:pPr>
        <w:suppressAutoHyphens w:val="0"/>
        <w:spacing w:before="120" w:line="240" w:lineRule="auto"/>
        <w:rPr>
          <w:b/>
        </w:rPr>
      </w:pPr>
      <w:r w:rsidRPr="00450164">
        <w:rPr>
          <w:b/>
        </w:rPr>
        <w:t>Тридцать третья сессия</w:t>
      </w:r>
    </w:p>
    <w:p w:rsidR="00450164" w:rsidRPr="00450164" w:rsidRDefault="00450164" w:rsidP="00450164">
      <w:pPr>
        <w:suppressAutoHyphens w:val="0"/>
        <w:spacing w:line="240" w:lineRule="auto"/>
      </w:pPr>
      <w:r w:rsidRPr="00450164">
        <w:t>Женева, 27–31 августа 2018 года</w:t>
      </w:r>
      <w:r w:rsidRPr="00450164">
        <w:br/>
        <w:t xml:space="preserve">Пункт 4 </w:t>
      </w:r>
      <w:r w:rsidRPr="00450164">
        <w:rPr>
          <w:lang w:val="en-GB"/>
        </w:rPr>
        <w:t>b</w:t>
      </w:r>
      <w:r w:rsidRPr="00450164">
        <w:t>) предварительной повестки дня</w:t>
      </w:r>
    </w:p>
    <w:p w:rsidR="00450164" w:rsidRDefault="00450164" w:rsidP="00450164">
      <w:pPr>
        <w:suppressAutoHyphens w:val="0"/>
        <w:spacing w:line="240" w:lineRule="auto"/>
        <w:rPr>
          <w:b/>
        </w:rPr>
      </w:pPr>
      <w:r w:rsidRPr="00450164">
        <w:rPr>
          <w:b/>
        </w:rPr>
        <w:t xml:space="preserve">Предложения о внесении поправок в Правила, </w:t>
      </w:r>
    </w:p>
    <w:p w:rsidR="00450164" w:rsidRPr="00450164" w:rsidRDefault="00450164" w:rsidP="00450164">
      <w:pPr>
        <w:suppressAutoHyphens w:val="0"/>
        <w:spacing w:line="240" w:lineRule="auto"/>
        <w:rPr>
          <w:b/>
        </w:rPr>
      </w:pPr>
      <w:r w:rsidRPr="00450164">
        <w:rPr>
          <w:b/>
        </w:rPr>
        <w:t>прилагаемые к ВОПОГ:</w:t>
      </w:r>
      <w:r>
        <w:rPr>
          <w:b/>
          <w:lang w:val="en-US"/>
        </w:rPr>
        <w:t xml:space="preserve"> </w:t>
      </w:r>
      <w:r w:rsidRPr="00450164">
        <w:rPr>
          <w:b/>
        </w:rPr>
        <w:t>другие предложения</w:t>
      </w:r>
    </w:p>
    <w:p w:rsidR="00450164" w:rsidRPr="00450164" w:rsidRDefault="00450164" w:rsidP="00450164">
      <w:pPr>
        <w:pStyle w:val="HChGR"/>
      </w:pPr>
      <w:r w:rsidRPr="00450164">
        <w:tab/>
      </w:r>
      <w:r w:rsidRPr="00450164">
        <w:tab/>
        <w:t>Предложение редакционного характера в порядке улучшения удобочитаемости и простоты использования ВОПОГ: заголовки колонок таблицы С</w:t>
      </w:r>
    </w:p>
    <w:p w:rsidR="00450164" w:rsidRPr="00450164" w:rsidRDefault="00450164" w:rsidP="00450164">
      <w:pPr>
        <w:pStyle w:val="H1GR"/>
        <w:rPr>
          <w:vertAlign w:val="superscript"/>
        </w:rPr>
      </w:pPr>
      <w:r w:rsidRPr="00450164">
        <w:tab/>
      </w:r>
      <w:r w:rsidRPr="00450164">
        <w:tab/>
        <w:t>Передано Европейским союз</w:t>
      </w:r>
      <w:r>
        <w:t>ом речного судоходства (ЕСРС) и </w:t>
      </w:r>
      <w:r w:rsidRPr="00450164">
        <w:t>Европейской организацией судоводителей (ЕОС)</w:t>
      </w:r>
      <w:r w:rsidRPr="00450164">
        <w:rPr>
          <w:b w:val="0"/>
          <w:sz w:val="20"/>
        </w:rPr>
        <w:footnoteReference w:customMarkFollows="1" w:id="1"/>
        <w:t xml:space="preserve">* </w:t>
      </w:r>
      <w:r w:rsidRPr="00450164">
        <w:rPr>
          <w:b w:val="0"/>
          <w:sz w:val="20"/>
        </w:rPr>
        <w:footnoteReference w:customMarkFollows="1" w:id="2"/>
        <w:t>**</w:t>
      </w:r>
    </w:p>
    <w:tbl>
      <w:tblPr>
        <w:tblW w:w="7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5020"/>
      </w:tblGrid>
      <w:tr w:rsidR="00450164" w:rsidRPr="00450164" w:rsidTr="00450164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</w:tcPr>
          <w:p w:rsidR="00450164" w:rsidRPr="00450164" w:rsidRDefault="00450164" w:rsidP="000B022D">
            <w:pPr>
              <w:suppressAutoHyphens w:val="0"/>
              <w:spacing w:before="40" w:after="40" w:line="240" w:lineRule="auto"/>
              <w:rPr>
                <w:b/>
                <w:lang w:val="en-GB"/>
              </w:rPr>
            </w:pPr>
            <w:r w:rsidRPr="00450164">
              <w:rPr>
                <w:b/>
              </w:rPr>
              <w:t>Справочные документы</w:t>
            </w:r>
            <w:r w:rsidRPr="00450164">
              <w:rPr>
                <w:b/>
                <w:lang w:val="en-GB"/>
              </w:rPr>
              <w:t>: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450164" w:rsidRPr="00450164" w:rsidRDefault="00450164" w:rsidP="000B022D">
            <w:pPr>
              <w:suppressAutoHyphens w:val="0"/>
              <w:spacing w:before="40" w:after="40" w:line="240" w:lineRule="auto"/>
            </w:pPr>
            <w:r w:rsidRPr="00450164">
              <w:rPr>
                <w:lang w:val="en-US"/>
              </w:rPr>
              <w:t>ECE</w:t>
            </w:r>
            <w:r w:rsidRPr="00450164">
              <w:t>/</w:t>
            </w:r>
            <w:r w:rsidRPr="00450164">
              <w:rPr>
                <w:lang w:val="en-US"/>
              </w:rPr>
              <w:t>TRANS</w:t>
            </w:r>
            <w:r w:rsidRPr="00450164">
              <w:t>/</w:t>
            </w:r>
            <w:r w:rsidRPr="00450164">
              <w:rPr>
                <w:lang w:val="en-US"/>
              </w:rPr>
              <w:t>WP</w:t>
            </w:r>
            <w:r w:rsidRPr="00450164">
              <w:t>.15/</w:t>
            </w:r>
            <w:r w:rsidRPr="00450164">
              <w:rPr>
                <w:lang w:val="en-US"/>
              </w:rPr>
              <w:t>AC</w:t>
            </w:r>
            <w:r w:rsidRPr="00450164">
              <w:t xml:space="preserve">.2/66 </w:t>
            </w:r>
          </w:p>
          <w:p w:rsidR="00450164" w:rsidRPr="00450164" w:rsidRDefault="00450164" w:rsidP="000B022D">
            <w:pPr>
              <w:spacing w:before="40" w:after="40" w:line="240" w:lineRule="auto"/>
            </w:pPr>
            <w:r w:rsidRPr="00450164">
              <w:t xml:space="preserve">Неофициальный документ </w:t>
            </w:r>
            <w:r w:rsidRPr="00450164">
              <w:rPr>
                <w:lang w:val="en-US"/>
              </w:rPr>
              <w:t>INF</w:t>
            </w:r>
            <w:r w:rsidRPr="00450164">
              <w:t xml:space="preserve">.20 тридцать второй сессии (подраздел </w:t>
            </w:r>
            <w:r w:rsidRPr="00450164">
              <w:rPr>
                <w:lang w:val="en-US"/>
              </w:rPr>
              <w:t>B</w:t>
            </w:r>
            <w:r w:rsidRPr="00450164">
              <w:t>)</w:t>
            </w:r>
          </w:p>
        </w:tc>
      </w:tr>
    </w:tbl>
    <w:p w:rsidR="00450164" w:rsidRPr="00450164" w:rsidRDefault="00450164" w:rsidP="00450164">
      <w:pPr>
        <w:pStyle w:val="HChGR"/>
      </w:pPr>
      <w:r w:rsidRPr="00450164">
        <w:tab/>
      </w:r>
      <w:r w:rsidRPr="00450164">
        <w:tab/>
        <w:t>Введение</w:t>
      </w:r>
    </w:p>
    <w:p w:rsidR="00450164" w:rsidRPr="00450164" w:rsidRDefault="00450164" w:rsidP="00450164">
      <w:pPr>
        <w:pStyle w:val="SingleTxtGR"/>
      </w:pPr>
      <w:r w:rsidRPr="00450164">
        <w:t>1.</w:t>
      </w:r>
      <w:r w:rsidRPr="00450164">
        <w:tab/>
        <w:t>В ходе совещаний членов ЕСРС/ЕОС по проблемам опасных грузов и по линии действующих специалистов в области подготовки по ВОПОГ, присоединившихся к деятельности неофициальной рабочей группы по подготовке экспертов (</w:t>
      </w:r>
      <w:r w:rsidRPr="00450164">
        <w:rPr>
          <w:lang w:val="en-US"/>
        </w:rPr>
        <w:t>IAG</w:t>
      </w:r>
      <w:r w:rsidRPr="00450164">
        <w:t xml:space="preserve"> </w:t>
      </w:r>
      <w:r w:rsidRPr="00450164">
        <w:rPr>
          <w:lang w:val="en-US"/>
        </w:rPr>
        <w:t>Sachkundigenausbildung</w:t>
      </w:r>
      <w:r w:rsidRPr="00450164">
        <w:t>), ЕСРС/ЕОС был получен ряд предложений – в основном редакционного характера, – касающихся улучшения удобочитаемости и простоты использования ВОПОГ в порядке его уточнения в общем плане, а также для экипажей барж как конкретных практических пользователей ВОПОГ, равно как для экспертов в области ВОПОГ, находящихся на борту барж.</w:t>
      </w:r>
    </w:p>
    <w:p w:rsidR="00450164" w:rsidRPr="00450164" w:rsidRDefault="00450164" w:rsidP="00450164">
      <w:pPr>
        <w:pStyle w:val="SingleTxtGR"/>
      </w:pPr>
      <w:r w:rsidRPr="00450164">
        <w:lastRenderedPageBreak/>
        <w:t>2.</w:t>
      </w:r>
      <w:r w:rsidRPr="00450164">
        <w:tab/>
        <w:t>На тридцать второй сессии Комитета по вопросам безопасности данное предложение было представлено от имени ЕСРС и ЕОС. Комитет по вопросам безопасности предложил представителям ЕСРС и ЕОС учесть высказанные замечания и представить пересмотренное предложение в качестве официального документа для тридцать третьей сессии. Содержащееся в настоящем документе предложение подготовлено с учетом этой просьбы.</w:t>
      </w:r>
    </w:p>
    <w:p w:rsidR="00450164" w:rsidRPr="00450164" w:rsidRDefault="00450164" w:rsidP="00450164">
      <w:pPr>
        <w:pStyle w:val="SingleTxtGR"/>
      </w:pPr>
      <w:r w:rsidRPr="00450164">
        <w:t>3.</w:t>
      </w:r>
      <w:r w:rsidRPr="00450164">
        <w:tab/>
        <w:t>ЕСРС/ЕОС предлагают Комитету по вопросам безопасности рассмотреть возможность адаптации ВОПОГ в плане добавления в заголовки колонок таблицы С главы 3.2 ссылок на пояснительные пункты.</w:t>
      </w:r>
    </w:p>
    <w:p w:rsidR="00450164" w:rsidRPr="00450164" w:rsidRDefault="00450164" w:rsidP="00450164">
      <w:pPr>
        <w:pStyle w:val="HChGR"/>
      </w:pPr>
      <w:r w:rsidRPr="00450164">
        <w:tab/>
      </w:r>
      <w:r w:rsidRPr="00450164">
        <w:tab/>
        <w:t>Предлагаемая адаптация заголовков колонок таблицы С главы 3.2</w:t>
      </w:r>
    </w:p>
    <w:p w:rsidR="00450164" w:rsidRPr="00450164" w:rsidRDefault="00450164" w:rsidP="00450164">
      <w:pPr>
        <w:pStyle w:val="SingleTxtGR"/>
      </w:pPr>
      <w:r w:rsidRPr="00450164">
        <w:t>4.</w:t>
      </w:r>
      <w:r w:rsidRPr="00450164">
        <w:tab/>
        <w:t>Суть проблемы: таблица А и таблица С не со</w:t>
      </w:r>
      <w:r w:rsidR="000B022D">
        <w:t>гласуются по своей структуре. В </w:t>
      </w:r>
      <w:r w:rsidRPr="00450164">
        <w:t>заголовках колонок таблицы С отсутствуют ссылки на пояснительные пункты, а</w:t>
      </w:r>
      <w:r w:rsidR="000B022D">
        <w:rPr>
          <w:lang w:val="en-US"/>
        </w:rPr>
        <w:t> </w:t>
      </w:r>
      <w:r w:rsidRPr="00450164">
        <w:t>посему они не согласуются со структурой заголовков колонок таблицы А. Представляется целесообразным добавить в заголовки колонок таблицы С – по аналогии с таблицей А – ссылки на пояснительные пункты.</w:t>
      </w:r>
    </w:p>
    <w:p w:rsidR="00450164" w:rsidRPr="00450164" w:rsidRDefault="00450164" w:rsidP="00450164">
      <w:pPr>
        <w:pStyle w:val="SingleTxtGR"/>
      </w:pPr>
      <w:r w:rsidRPr="00450164">
        <w:t>5.</w:t>
      </w:r>
      <w:r w:rsidRPr="00450164">
        <w:tab/>
        <w:t>Предложение в порядке уточнения: добавить в заголовки колонок таблицы С соответствующие пояснительные ссылки:</w:t>
      </w:r>
    </w:p>
    <w:p w:rsidR="00450164" w:rsidRPr="00450164" w:rsidRDefault="00450164" w:rsidP="00450164">
      <w:pPr>
        <w:pStyle w:val="SingleTxtGR"/>
      </w:pPr>
      <w:r w:rsidRPr="00450164">
        <w:t xml:space="preserve">Колонка 2: </w:t>
      </w:r>
      <w:r w:rsidRPr="00450164">
        <w:tab/>
      </w:r>
      <w:r w:rsidRPr="00450164">
        <w:tab/>
        <w:t>3.1.2</w:t>
      </w:r>
    </w:p>
    <w:p w:rsidR="00450164" w:rsidRPr="00450164" w:rsidRDefault="00450164" w:rsidP="00450164">
      <w:pPr>
        <w:pStyle w:val="SingleTxtGR"/>
      </w:pPr>
      <w:r w:rsidRPr="00450164">
        <w:t>Колонка 3</w:t>
      </w:r>
      <w:r w:rsidRPr="00450164">
        <w:rPr>
          <w:lang w:val="en-GB"/>
        </w:rPr>
        <w:t>a</w:t>
      </w:r>
      <w:r w:rsidRPr="00450164">
        <w:t xml:space="preserve">: </w:t>
      </w:r>
      <w:r w:rsidRPr="00450164">
        <w:tab/>
      </w:r>
      <w:r w:rsidRPr="00450164">
        <w:tab/>
        <w:t>2.2</w:t>
      </w:r>
    </w:p>
    <w:p w:rsidR="00450164" w:rsidRPr="00450164" w:rsidRDefault="00450164" w:rsidP="00450164">
      <w:pPr>
        <w:pStyle w:val="SingleTxtGR"/>
      </w:pPr>
      <w:r w:rsidRPr="00450164">
        <w:t>Колонка 3</w:t>
      </w:r>
      <w:r w:rsidRPr="00450164">
        <w:rPr>
          <w:lang w:val="en-GB"/>
        </w:rPr>
        <w:t>b</w:t>
      </w:r>
      <w:r w:rsidR="000B022D">
        <w:t>:</w:t>
      </w:r>
      <w:r w:rsidR="000B022D">
        <w:tab/>
      </w:r>
      <w:r w:rsidR="000B022D">
        <w:tab/>
        <w:t>2.2</w:t>
      </w:r>
    </w:p>
    <w:p w:rsidR="00450164" w:rsidRPr="00450164" w:rsidRDefault="00450164" w:rsidP="000B022D">
      <w:pPr>
        <w:pStyle w:val="SingleTxtGR"/>
      </w:pPr>
      <w:r w:rsidRPr="00450164">
        <w:t>Колонка 4:</w:t>
      </w:r>
      <w:r w:rsidRPr="00450164">
        <w:tab/>
      </w:r>
      <w:r w:rsidRPr="00450164">
        <w:tab/>
        <w:t>2.1.1.3</w:t>
      </w:r>
    </w:p>
    <w:p w:rsidR="00450164" w:rsidRPr="00450164" w:rsidRDefault="00450164" w:rsidP="00450164">
      <w:pPr>
        <w:pStyle w:val="SingleTxtGR"/>
      </w:pPr>
      <w:r w:rsidRPr="00450164">
        <w:t>Колонка 5:</w:t>
      </w:r>
      <w:r w:rsidRPr="00450164">
        <w:tab/>
      </w:r>
      <w:r w:rsidRPr="00450164">
        <w:tab/>
        <w:t>3.2.3.1</w:t>
      </w:r>
    </w:p>
    <w:p w:rsidR="00450164" w:rsidRPr="00450164" w:rsidRDefault="00450164" w:rsidP="00450164">
      <w:pPr>
        <w:pStyle w:val="SingleTxtGR"/>
      </w:pPr>
      <w:r w:rsidRPr="00450164">
        <w:t>Колонка 6:</w:t>
      </w:r>
      <w:r w:rsidRPr="00450164">
        <w:tab/>
      </w:r>
      <w:r w:rsidRPr="00450164">
        <w:tab/>
        <w:t>7.2.2.0.1</w:t>
      </w:r>
    </w:p>
    <w:p w:rsidR="00450164" w:rsidRPr="00450164" w:rsidRDefault="00450164" w:rsidP="00450164">
      <w:pPr>
        <w:pStyle w:val="SingleTxtGR"/>
      </w:pPr>
      <w:r w:rsidRPr="00450164">
        <w:t xml:space="preserve">Колонки </w:t>
      </w:r>
      <w:r w:rsidR="000B022D">
        <w:t>7–</w:t>
      </w:r>
      <w:r w:rsidRPr="00450164">
        <w:t>10:</w:t>
      </w:r>
      <w:r w:rsidRPr="00450164">
        <w:tab/>
        <w:t>3.2.3.1</w:t>
      </w:r>
    </w:p>
    <w:p w:rsidR="00450164" w:rsidRPr="00450164" w:rsidRDefault="00450164" w:rsidP="00450164">
      <w:pPr>
        <w:pStyle w:val="SingleTxtGR"/>
      </w:pPr>
      <w:r w:rsidRPr="00450164">
        <w:t>Колонка 11:</w:t>
      </w:r>
      <w:r w:rsidRPr="00450164">
        <w:tab/>
      </w:r>
      <w:r w:rsidRPr="00450164">
        <w:tab/>
        <w:t>7.2.4.21</w:t>
      </w:r>
    </w:p>
    <w:p w:rsidR="00450164" w:rsidRPr="00450164" w:rsidRDefault="00450164" w:rsidP="00450164">
      <w:pPr>
        <w:pStyle w:val="SingleTxtGR"/>
      </w:pPr>
      <w:r w:rsidRPr="00450164">
        <w:t>Колонка 12:</w:t>
      </w:r>
      <w:r w:rsidRPr="00450164">
        <w:tab/>
      </w:r>
      <w:r w:rsidRPr="00450164">
        <w:tab/>
        <w:t>3.2.3.1</w:t>
      </w:r>
    </w:p>
    <w:p w:rsidR="00450164" w:rsidRPr="00450164" w:rsidRDefault="00450164" w:rsidP="00450164">
      <w:pPr>
        <w:pStyle w:val="SingleTxtGR"/>
      </w:pPr>
      <w:r w:rsidRPr="00450164">
        <w:t>Колонка 13:</w:t>
      </w:r>
      <w:r w:rsidRPr="00450164">
        <w:tab/>
      </w:r>
      <w:r w:rsidRPr="00450164">
        <w:tab/>
        <w:t>7.2.4.22.3/1.2</w:t>
      </w:r>
    </w:p>
    <w:p w:rsidR="00450164" w:rsidRPr="00450164" w:rsidRDefault="00450164" w:rsidP="00450164">
      <w:pPr>
        <w:pStyle w:val="SingleTxtGR"/>
      </w:pPr>
      <w:r w:rsidRPr="00450164">
        <w:t xml:space="preserve">Колонки </w:t>
      </w:r>
      <w:r w:rsidR="000B022D">
        <w:t>14–</w:t>
      </w:r>
      <w:r w:rsidRPr="00450164">
        <w:t>17:</w:t>
      </w:r>
      <w:r w:rsidRPr="00450164">
        <w:tab/>
        <w:t>3.2.3.1</w:t>
      </w:r>
    </w:p>
    <w:p w:rsidR="00450164" w:rsidRPr="00450164" w:rsidRDefault="00450164" w:rsidP="00450164">
      <w:pPr>
        <w:pStyle w:val="SingleTxtGR"/>
      </w:pPr>
      <w:r w:rsidRPr="00450164">
        <w:t>Колонка 18:</w:t>
      </w:r>
      <w:r w:rsidRPr="00450164">
        <w:tab/>
      </w:r>
      <w:r w:rsidRPr="00450164">
        <w:tab/>
        <w:t>8.1.5</w:t>
      </w:r>
    </w:p>
    <w:p w:rsidR="00450164" w:rsidRPr="00450164" w:rsidRDefault="00450164" w:rsidP="00450164">
      <w:pPr>
        <w:pStyle w:val="SingleTxtGR"/>
      </w:pPr>
      <w:r w:rsidRPr="00450164">
        <w:t>Колонка 19:</w:t>
      </w:r>
      <w:r w:rsidRPr="00450164">
        <w:tab/>
      </w:r>
      <w:r w:rsidRPr="00450164">
        <w:tab/>
        <w:t>7.2.5.0</w:t>
      </w:r>
    </w:p>
    <w:p w:rsidR="00450164" w:rsidRPr="00450164" w:rsidRDefault="00450164" w:rsidP="00450164">
      <w:pPr>
        <w:pStyle w:val="SingleTxtGR"/>
      </w:pPr>
      <w:r w:rsidRPr="00450164">
        <w:t>Колонка 20:</w:t>
      </w:r>
      <w:r w:rsidRPr="00450164">
        <w:tab/>
      </w:r>
      <w:r w:rsidRPr="00450164">
        <w:tab/>
        <w:t>3.2.3.1</w:t>
      </w:r>
    </w:p>
    <w:p w:rsidR="00450164" w:rsidRPr="00450164" w:rsidRDefault="00450164" w:rsidP="00450164">
      <w:pPr>
        <w:pStyle w:val="HChGR"/>
      </w:pPr>
      <w:r w:rsidRPr="00450164">
        <w:tab/>
      </w:r>
      <w:r w:rsidRPr="00450164">
        <w:tab/>
        <w:t>Последствия для безопасности</w:t>
      </w:r>
    </w:p>
    <w:p w:rsidR="00450164" w:rsidRDefault="00450164" w:rsidP="000B022D">
      <w:pPr>
        <w:pStyle w:val="SingleTxtGR"/>
      </w:pPr>
      <w:r w:rsidRPr="00450164">
        <w:t>6.</w:t>
      </w:r>
      <w:r w:rsidRPr="00450164">
        <w:tab/>
        <w:t>В сущности, настоящее предложение никоим образом не предполагает отход от цели указанных пунктов. Оно призвано обеспечить</w:t>
      </w:r>
      <w:r w:rsidR="000B022D">
        <w:t xml:space="preserve"> более четкое понимание таблицы </w:t>
      </w:r>
      <w:r w:rsidRPr="00450164">
        <w:t>С людьми, находящимися на борту, и упростить работу с данной таблицей.</w:t>
      </w:r>
    </w:p>
    <w:p w:rsidR="00450164" w:rsidRPr="00450164" w:rsidRDefault="00450164" w:rsidP="0045016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4501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3AF" w:rsidRPr="00A312BC" w:rsidRDefault="000473AF" w:rsidP="00A312BC"/>
  </w:endnote>
  <w:endnote w:type="continuationSeparator" w:id="0">
    <w:p w:rsidR="000473AF" w:rsidRPr="00A312BC" w:rsidRDefault="000473A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164" w:rsidRPr="00450164" w:rsidRDefault="00450164">
    <w:pPr>
      <w:pStyle w:val="Footer"/>
    </w:pPr>
    <w:r w:rsidRPr="00450164">
      <w:rPr>
        <w:b/>
        <w:sz w:val="18"/>
      </w:rPr>
      <w:fldChar w:fldCharType="begin"/>
    </w:r>
    <w:r w:rsidRPr="00450164">
      <w:rPr>
        <w:b/>
        <w:sz w:val="18"/>
      </w:rPr>
      <w:instrText xml:space="preserve"> PAGE  \* MERGEFORMAT </w:instrText>
    </w:r>
    <w:r w:rsidRPr="00450164">
      <w:rPr>
        <w:b/>
        <w:sz w:val="18"/>
      </w:rPr>
      <w:fldChar w:fldCharType="separate"/>
    </w:r>
    <w:r w:rsidR="00486089">
      <w:rPr>
        <w:b/>
        <w:noProof/>
        <w:sz w:val="18"/>
      </w:rPr>
      <w:t>2</w:t>
    </w:r>
    <w:r w:rsidRPr="00450164">
      <w:rPr>
        <w:b/>
        <w:sz w:val="18"/>
      </w:rPr>
      <w:fldChar w:fldCharType="end"/>
    </w:r>
    <w:r>
      <w:rPr>
        <w:b/>
        <w:sz w:val="18"/>
      </w:rPr>
      <w:tab/>
    </w:r>
    <w:r>
      <w:t>GE.18-09599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164" w:rsidRPr="00450164" w:rsidRDefault="00450164" w:rsidP="00450164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GE.18-09599</w:t>
    </w:r>
    <w:r>
      <w:tab/>
    </w:r>
    <w:r w:rsidRPr="00450164">
      <w:rPr>
        <w:b/>
        <w:sz w:val="18"/>
      </w:rPr>
      <w:fldChar w:fldCharType="begin"/>
    </w:r>
    <w:r w:rsidRPr="00450164">
      <w:rPr>
        <w:b/>
        <w:sz w:val="18"/>
      </w:rPr>
      <w:instrText xml:space="preserve"> PAGE  \* MERGEFORMAT </w:instrText>
    </w:r>
    <w:r w:rsidRPr="0045016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501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50164" w:rsidRDefault="00450164" w:rsidP="0045016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18-09599  (R)</w:t>
    </w:r>
    <w:r>
      <w:rPr>
        <w:lang w:val="en-US"/>
      </w:rPr>
      <w:t xml:space="preserve">  200618  200618</w:t>
    </w:r>
    <w:r>
      <w:br/>
    </w:r>
    <w:r w:rsidRPr="00450164">
      <w:rPr>
        <w:rFonts w:ascii="C39T30Lfz" w:hAnsi="C39T30Lfz"/>
        <w:kern w:val="14"/>
        <w:sz w:val="56"/>
      </w:rPr>
      <w:t></w:t>
    </w:r>
    <w:r w:rsidRPr="00450164">
      <w:rPr>
        <w:rFonts w:ascii="C39T30Lfz" w:hAnsi="C39T30Lfz"/>
        <w:kern w:val="14"/>
        <w:sz w:val="56"/>
      </w:rPr>
      <w:t></w:t>
    </w:r>
    <w:r w:rsidRPr="00450164">
      <w:rPr>
        <w:rFonts w:ascii="C39T30Lfz" w:hAnsi="C39T30Lfz"/>
        <w:kern w:val="14"/>
        <w:sz w:val="56"/>
      </w:rPr>
      <w:t></w:t>
    </w:r>
    <w:r w:rsidRPr="00450164">
      <w:rPr>
        <w:rFonts w:ascii="C39T30Lfz" w:hAnsi="C39T30Lfz"/>
        <w:kern w:val="14"/>
        <w:sz w:val="56"/>
      </w:rPr>
      <w:t></w:t>
    </w:r>
    <w:r w:rsidRPr="00450164">
      <w:rPr>
        <w:rFonts w:ascii="C39T30Lfz" w:hAnsi="C39T30Lfz"/>
        <w:kern w:val="14"/>
        <w:sz w:val="56"/>
      </w:rPr>
      <w:t></w:t>
    </w:r>
    <w:r w:rsidRPr="00450164">
      <w:rPr>
        <w:rFonts w:ascii="C39T30Lfz" w:hAnsi="C39T30Lfz"/>
        <w:kern w:val="14"/>
        <w:sz w:val="56"/>
      </w:rPr>
      <w:t></w:t>
    </w:r>
    <w:r w:rsidRPr="00450164">
      <w:rPr>
        <w:rFonts w:ascii="C39T30Lfz" w:hAnsi="C39T30Lfz"/>
        <w:kern w:val="14"/>
        <w:sz w:val="56"/>
      </w:rPr>
      <w:t></w:t>
    </w:r>
    <w:r w:rsidRPr="00450164">
      <w:rPr>
        <w:rFonts w:ascii="C39T30Lfz" w:hAnsi="C39T30Lfz"/>
        <w:kern w:val="14"/>
        <w:sz w:val="56"/>
      </w:rPr>
      <w:t></w:t>
    </w:r>
    <w:r w:rsidRPr="0045016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3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3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3AF" w:rsidRPr="001075E9" w:rsidRDefault="000473A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473AF" w:rsidRDefault="000473A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50164" w:rsidRPr="00984BF4" w:rsidRDefault="00450164" w:rsidP="00450164">
      <w:pPr>
        <w:pStyle w:val="FootnoteText"/>
      </w:pPr>
      <w:r>
        <w:rPr>
          <w:lang w:val="en-US"/>
        </w:rPr>
        <w:tab/>
      </w:r>
      <w:r w:rsidRPr="00450164">
        <w:rPr>
          <w:rStyle w:val="FootnoteReference"/>
          <w:sz w:val="20"/>
          <w:vertAlign w:val="baseline"/>
        </w:rPr>
        <w:t>*</w:t>
      </w:r>
      <w:r w:rsidRPr="00984BF4">
        <w:rPr>
          <w:sz w:val="16"/>
          <w:szCs w:val="16"/>
        </w:rPr>
        <w:tab/>
      </w:r>
      <w:r w:rsidRPr="002F38A7">
        <w:t>Распространено на немецком языке Центральной комиссией судоходства по Рейну под условным обозначением</w:t>
      </w:r>
      <w:r w:rsidRPr="00984BF4">
        <w:t xml:space="preserve"> </w:t>
      </w:r>
      <w:r w:rsidRPr="003A7D20">
        <w:rPr>
          <w:lang w:val="en-US"/>
        </w:rPr>
        <w:t>CCNR</w:t>
      </w:r>
      <w:r w:rsidRPr="00984BF4">
        <w:t>-</w:t>
      </w:r>
      <w:r w:rsidRPr="003A7D20">
        <w:rPr>
          <w:lang w:val="en-US"/>
        </w:rPr>
        <w:t>ZKR</w:t>
      </w:r>
      <w:r w:rsidRPr="00984BF4">
        <w:t>/</w:t>
      </w:r>
      <w:r w:rsidRPr="003A7D20">
        <w:rPr>
          <w:lang w:val="en-US"/>
        </w:rPr>
        <w:t>ADN</w:t>
      </w:r>
      <w:r w:rsidRPr="00984BF4">
        <w:t>/</w:t>
      </w:r>
      <w:r w:rsidRPr="003A7D20">
        <w:rPr>
          <w:lang w:val="en-US"/>
        </w:rPr>
        <w:t>WP</w:t>
      </w:r>
      <w:r w:rsidRPr="00984BF4">
        <w:t>.15/</w:t>
      </w:r>
      <w:r w:rsidRPr="003A7D20">
        <w:rPr>
          <w:lang w:val="en-US"/>
        </w:rPr>
        <w:t>AC</w:t>
      </w:r>
      <w:r w:rsidRPr="00984BF4">
        <w:t>.2/2018/38.</w:t>
      </w:r>
    </w:p>
  </w:footnote>
  <w:footnote w:id="2">
    <w:p w:rsidR="00450164" w:rsidRPr="00984BF4" w:rsidRDefault="00450164" w:rsidP="00450164">
      <w:pPr>
        <w:pStyle w:val="FootnoteText"/>
      </w:pPr>
      <w:r w:rsidRPr="00984BF4">
        <w:tab/>
      </w:r>
      <w:r w:rsidRPr="00450164">
        <w:rPr>
          <w:rStyle w:val="FootnoteReference"/>
          <w:sz w:val="20"/>
          <w:vertAlign w:val="baseline"/>
        </w:rPr>
        <w:t>**</w:t>
      </w:r>
      <w:r w:rsidRPr="00984BF4">
        <w:tab/>
      </w:r>
      <w:r>
        <w:t xml:space="preserve">В соответствии с программой работы Комитета по внутреннему транспорту </w:t>
      </w:r>
      <w:r>
        <w:br/>
        <w:t>на 2018–</w:t>
      </w:r>
      <w:r w:rsidRPr="00E44028">
        <w:t>2019 (</w:t>
      </w:r>
      <w:r w:rsidRPr="00A92C6C">
        <w:rPr>
          <w:lang w:val="en-US"/>
        </w:rPr>
        <w:t>ECE</w:t>
      </w:r>
      <w:r w:rsidRPr="00E44028">
        <w:t>/</w:t>
      </w:r>
      <w:r w:rsidRPr="00A92C6C">
        <w:rPr>
          <w:lang w:val="en-US"/>
        </w:rPr>
        <w:t>TRANS</w:t>
      </w:r>
      <w:r w:rsidRPr="00E44028">
        <w:t>/2018/21/</w:t>
      </w:r>
      <w:r w:rsidRPr="00A92C6C">
        <w:rPr>
          <w:lang w:val="en-US"/>
        </w:rPr>
        <w:t>Add</w:t>
      </w:r>
      <w:r w:rsidRPr="00E44028">
        <w:t>.1</w:t>
      </w:r>
      <w:r w:rsidRPr="002F38A7">
        <w:t>, направление деятельности</w:t>
      </w:r>
      <w:r w:rsidRPr="00984BF4">
        <w:t xml:space="preserve">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164" w:rsidRPr="00450164" w:rsidRDefault="0048608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9306B">
      <w:t>ECE/TRANS/WP.15/AC.2/2018/38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164" w:rsidRPr="00450164" w:rsidRDefault="00486089" w:rsidP="0045016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9306B">
      <w:t>ECE/TRANS/WP.15/AC.2/2018/38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AF"/>
    <w:rsid w:val="00033EE1"/>
    <w:rsid w:val="00042B72"/>
    <w:rsid w:val="000473AF"/>
    <w:rsid w:val="000558BD"/>
    <w:rsid w:val="000B022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508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0164"/>
    <w:rsid w:val="00452493"/>
    <w:rsid w:val="00453318"/>
    <w:rsid w:val="00454AF2"/>
    <w:rsid w:val="00454E07"/>
    <w:rsid w:val="00472C5C"/>
    <w:rsid w:val="0048608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2AF3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9306B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C1D0BD-8B62-42D5-90FA-23BDE0A6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ECE/TRANS/WP.15/AC.2/2018/38</vt:lpstr>
      <vt:lpstr>ECE/TRANS/WP.15/AC.2/2018/38</vt:lpstr>
      <vt:lpstr>A/</vt:lpstr>
    </vt:vector>
  </TitlesOfParts>
  <Company>DCM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ECE/TRANS/WP.15/AC.2/2018/38</dc:title>
  <dc:subject/>
  <dc:creator>Elena IZOTOVA</dc:creator>
  <cp:keywords/>
  <cp:lastModifiedBy>Caillot</cp:lastModifiedBy>
  <cp:revision>2</cp:revision>
  <cp:lastPrinted>2018-06-20T10:18:00Z</cp:lastPrinted>
  <dcterms:created xsi:type="dcterms:W3CDTF">2018-07-23T15:55:00Z</dcterms:created>
  <dcterms:modified xsi:type="dcterms:W3CDTF">2018-07-23T15:55:00Z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