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2/2018</w:t>
            </w:r>
            <w:r w:rsidRPr="003134DF">
              <w:t>/</w:t>
            </w:r>
            <w:r w:rsidR="00214B71">
              <w:t>3</w:t>
            </w:r>
            <w:r w:rsidR="002F7D50">
              <w:t>9</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585131">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r w:rsidRPr="00022219">
              <w:rPr>
                <w:lang w:val="fr-CH"/>
              </w:rPr>
              <w:t xml:space="preserve">Distr.: </w:t>
            </w:r>
            <w:r w:rsidR="00813543">
              <w:rPr>
                <w:lang w:val="fr-CH"/>
              </w:rPr>
              <w:t>General</w:t>
            </w:r>
          </w:p>
          <w:p w:rsidR="00D41080" w:rsidRDefault="004D1C6E" w:rsidP="00D41080">
            <w:pPr>
              <w:spacing w:line="240" w:lineRule="exact"/>
              <w:rPr>
                <w:lang w:val="fr-CH"/>
              </w:rPr>
            </w:pPr>
            <w:r>
              <w:rPr>
                <w:lang w:val="fr-CH"/>
              </w:rPr>
              <w:t>12</w:t>
            </w:r>
            <w:r w:rsidR="00D41080" w:rsidRPr="00022219">
              <w:rPr>
                <w:lang w:val="fr-CH"/>
              </w:rPr>
              <w:t xml:space="preserve"> </w:t>
            </w:r>
            <w:r w:rsidR="002F7D50">
              <w:rPr>
                <w:lang w:val="fr-CH"/>
              </w:rPr>
              <w:t>June</w:t>
            </w:r>
            <w:r w:rsidR="00D41080">
              <w:rPr>
                <w:lang w:val="fr-CH"/>
              </w:rPr>
              <w:t xml:space="preserve"> 2018</w:t>
            </w:r>
            <w:r w:rsidR="00D41080" w:rsidRPr="00022219">
              <w:rPr>
                <w:lang w:val="fr-CH"/>
              </w:rPr>
              <w:t xml:space="preserve"> </w:t>
            </w:r>
          </w:p>
          <w:p w:rsidR="00D06DFB" w:rsidRDefault="00D06DFB" w:rsidP="00D41080">
            <w:pPr>
              <w:spacing w:line="240" w:lineRule="exact"/>
              <w:rPr>
                <w:lang w:val="fr-CH"/>
              </w:rPr>
            </w:pPr>
          </w:p>
          <w:p w:rsidR="00F1616D" w:rsidRPr="00022219" w:rsidRDefault="00D53053" w:rsidP="00D41080">
            <w:pPr>
              <w:spacing w:line="240" w:lineRule="exact"/>
              <w:rPr>
                <w:lang w:val="fr-CH"/>
              </w:rPr>
            </w:pPr>
            <w:r w:rsidRPr="00022219">
              <w:rPr>
                <w:lang w:val="fr-CH"/>
              </w:rPr>
              <w:t>Original:</w:t>
            </w:r>
            <w:r w:rsidR="00C16712"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D41080">
        <w:rPr>
          <w:b/>
        </w:rPr>
        <w:t>third</w:t>
      </w:r>
      <w:r w:rsidR="00F1616D" w:rsidRPr="003134DF">
        <w:rPr>
          <w:b/>
        </w:rPr>
        <w:t xml:space="preserve"> session</w:t>
      </w:r>
    </w:p>
    <w:p w:rsidR="00F1616D" w:rsidRPr="004D1C6E" w:rsidRDefault="00F1616D">
      <w:r w:rsidRPr="003134DF">
        <w:t>Geneva, 2</w:t>
      </w:r>
      <w:r w:rsidR="00D41080">
        <w:t>7–31August</w:t>
      </w:r>
      <w:r w:rsidRPr="003134DF">
        <w:t xml:space="preserve"> 201</w:t>
      </w:r>
      <w:r w:rsidR="009C73FE">
        <w:t>8</w:t>
      </w:r>
      <w:r w:rsidR="003C22E6">
        <w:br/>
        <w:t>Ite</w:t>
      </w:r>
      <w:r w:rsidR="003C22E6" w:rsidRPr="004D1C6E">
        <w:t xml:space="preserve">m </w:t>
      </w:r>
      <w:r w:rsidR="004D1C6E" w:rsidRPr="004D1C6E">
        <w:t>5</w:t>
      </w:r>
      <w:r w:rsidR="00253571" w:rsidRPr="004D1C6E">
        <w:t xml:space="preserve"> </w:t>
      </w:r>
      <w:r w:rsidRPr="004D1C6E">
        <w:t>of the provisional agenda</w:t>
      </w:r>
    </w:p>
    <w:p w:rsidR="00F1616D" w:rsidRPr="004D1C6E" w:rsidRDefault="004D1C6E" w:rsidP="004D1C6E">
      <w:pPr>
        <w:rPr>
          <w:b/>
          <w:bCs/>
        </w:rPr>
      </w:pPr>
      <w:r w:rsidRPr="004D1C6E">
        <w:rPr>
          <w:b/>
          <w:bCs/>
        </w:rPr>
        <w:t>Reports of informal working groups</w:t>
      </w:r>
    </w:p>
    <w:p w:rsidR="00F1616D" w:rsidRPr="003134DF" w:rsidRDefault="00F1616D" w:rsidP="002F7D50">
      <w:pPr>
        <w:pStyle w:val="HChG"/>
      </w:pPr>
      <w:r w:rsidRPr="003134DF">
        <w:tab/>
      </w:r>
      <w:r w:rsidRPr="003134DF">
        <w:tab/>
      </w:r>
      <w:r w:rsidR="002F7D50" w:rsidRPr="002F7D50">
        <w:rPr>
          <w:bCs/>
          <w:iCs/>
        </w:rPr>
        <w:t xml:space="preserve">Executive summary </w:t>
      </w:r>
      <w:r w:rsidR="004D1C6E">
        <w:rPr>
          <w:bCs/>
          <w:iCs/>
        </w:rPr>
        <w:t>of</w:t>
      </w:r>
      <w:r w:rsidR="002F7D50" w:rsidRPr="002F7D50">
        <w:rPr>
          <w:bCs/>
          <w:iCs/>
        </w:rPr>
        <w:t xml:space="preserve"> the result of the second meeting of the informal working group </w:t>
      </w:r>
      <w:r w:rsidR="00004B7A" w:rsidRPr="00004B7A">
        <w:rPr>
          <w:rFonts w:eastAsia="Calibri"/>
        </w:rPr>
        <w:t>“</w:t>
      </w:r>
      <w:r w:rsidR="002F7D50" w:rsidRPr="002F7D50">
        <w:rPr>
          <w:bCs/>
          <w:iCs/>
        </w:rPr>
        <w:t>loading on top in barges</w:t>
      </w:r>
      <w:r w:rsidR="00004B7A" w:rsidRPr="00004B7A">
        <w:rPr>
          <w:rFonts w:eastAsia="Calibri"/>
        </w:rPr>
        <w:t>”</w:t>
      </w:r>
    </w:p>
    <w:p w:rsidR="00F1616D" w:rsidRDefault="00F1616D" w:rsidP="002F7D50">
      <w:pPr>
        <w:pStyle w:val="H1G"/>
        <w:rPr>
          <w:bCs/>
          <w:sz w:val="20"/>
          <w:vertAlign w:val="superscript"/>
          <w:lang w:val="en-US"/>
        </w:rPr>
      </w:pPr>
      <w:r w:rsidRPr="003134DF">
        <w:tab/>
      </w:r>
      <w:r w:rsidRPr="003134DF">
        <w:tab/>
      </w:r>
      <w:r w:rsidR="004D1C6E">
        <w:rPr>
          <w:bCs/>
          <w:lang w:val="en-US"/>
        </w:rPr>
        <w:t>Transmitted</w:t>
      </w:r>
      <w:r w:rsidR="000532C7" w:rsidRPr="000532C7">
        <w:rPr>
          <w:bCs/>
          <w:lang w:val="en-US"/>
        </w:rPr>
        <w:t xml:space="preserve"> by </w:t>
      </w:r>
      <w:r w:rsidR="002F7D50" w:rsidRPr="002F7D50">
        <w:rPr>
          <w:bCs/>
        </w:rPr>
        <w:t xml:space="preserve">the Federation of European Tank Storage Associations (FETSA), the European Barge Union (EBU), the European Skippers Organisation (ESO), </w:t>
      </w:r>
      <w:r w:rsidR="002F7D50" w:rsidRPr="002F7D50">
        <w:rPr>
          <w:bCs/>
          <w:lang w:val="en-US"/>
        </w:rPr>
        <w:t>the European Bulk Oil Traders' Association (EBOTA) and Fuels Europe</w:t>
      </w:r>
      <w:r w:rsidR="00ED44FE" w:rsidRPr="00ED44FE">
        <w:rPr>
          <w:bCs/>
          <w:vertAlign w:val="superscript"/>
          <w:lang w:val="en-US"/>
        </w:rPr>
        <w:t xml:space="preserve"> </w:t>
      </w:r>
      <w:r w:rsidR="00D53053" w:rsidRPr="005D4EB0">
        <w:rPr>
          <w:bCs/>
          <w:sz w:val="20"/>
          <w:vertAlign w:val="superscript"/>
          <w:lang w:val="en-US"/>
        </w:rPr>
        <w:footnoteReference w:customMarkFollows="1" w:id="2"/>
        <w:t>*,</w:t>
      </w:r>
      <w:r w:rsidR="00D53053" w:rsidRPr="005D4EB0">
        <w:rPr>
          <w:bCs/>
          <w:sz w:val="20"/>
          <w:vertAlign w:val="superscript"/>
          <w:lang w:val="en-US"/>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904294" w:rsidRPr="003134DF" w:rsidTr="00585131">
        <w:trPr>
          <w:jc w:val="center"/>
        </w:trPr>
        <w:tc>
          <w:tcPr>
            <w:tcW w:w="2552" w:type="dxa"/>
            <w:tcBorders>
              <w:top w:val="single" w:sz="4" w:space="0" w:color="auto"/>
            </w:tcBorders>
          </w:tcPr>
          <w:p w:rsidR="00904294" w:rsidRPr="003134DF" w:rsidRDefault="00904294" w:rsidP="00585131">
            <w:pPr>
              <w:tabs>
                <w:tab w:val="left" w:pos="284"/>
              </w:tabs>
              <w:spacing w:before="120" w:after="120"/>
            </w:pPr>
            <w:r w:rsidRPr="003134DF">
              <w:rPr>
                <w:i/>
                <w:sz w:val="24"/>
              </w:rPr>
              <w:tab/>
              <w:t>Summary</w:t>
            </w:r>
          </w:p>
        </w:tc>
        <w:tc>
          <w:tcPr>
            <w:tcW w:w="5953" w:type="dxa"/>
            <w:tcBorders>
              <w:top w:val="single" w:sz="4" w:space="0" w:color="auto"/>
            </w:tcBorders>
          </w:tcPr>
          <w:p w:rsidR="00904294" w:rsidRPr="003134DF" w:rsidRDefault="00904294" w:rsidP="00585131">
            <w:pPr>
              <w:spacing w:before="120" w:after="120"/>
            </w:pPr>
          </w:p>
        </w:tc>
      </w:tr>
      <w:tr w:rsidR="00904294" w:rsidRPr="003134DF" w:rsidTr="00585131">
        <w:trPr>
          <w:jc w:val="center"/>
        </w:trPr>
        <w:tc>
          <w:tcPr>
            <w:tcW w:w="2552" w:type="dxa"/>
          </w:tcPr>
          <w:p w:rsidR="00904294" w:rsidRPr="003134DF" w:rsidRDefault="00904294" w:rsidP="00585131">
            <w:pPr>
              <w:tabs>
                <w:tab w:val="left" w:pos="284"/>
              </w:tabs>
              <w:spacing w:before="120"/>
            </w:pPr>
            <w:r w:rsidRPr="003134DF">
              <w:rPr>
                <w:b/>
              </w:rPr>
              <w:tab/>
              <w:t>Executive summary:</w:t>
            </w:r>
          </w:p>
        </w:tc>
        <w:tc>
          <w:tcPr>
            <w:tcW w:w="5953" w:type="dxa"/>
          </w:tcPr>
          <w:p w:rsidR="00904294" w:rsidRPr="00904294" w:rsidRDefault="00904294" w:rsidP="00904294">
            <w:pPr>
              <w:spacing w:before="120"/>
              <w:rPr>
                <w:bCs/>
                <w:szCs w:val="24"/>
                <w:lang w:val="en-US"/>
              </w:rPr>
            </w:pPr>
            <w:r w:rsidRPr="00904294">
              <w:rPr>
                <w:bCs/>
                <w:szCs w:val="24"/>
                <w:lang w:val="en-US"/>
              </w:rPr>
              <w:t>Executive summary of results of the first and second meeting</w:t>
            </w:r>
            <w:r w:rsidR="004D1C6E">
              <w:rPr>
                <w:bCs/>
                <w:szCs w:val="24"/>
                <w:lang w:val="en-US"/>
              </w:rPr>
              <w:t>s</w:t>
            </w:r>
            <w:r w:rsidRPr="00904294">
              <w:rPr>
                <w:bCs/>
                <w:szCs w:val="24"/>
                <w:lang w:val="en-US"/>
              </w:rPr>
              <w:t xml:space="preserve"> of the </w:t>
            </w:r>
            <w:r w:rsidR="004D1C6E">
              <w:rPr>
                <w:bCs/>
                <w:szCs w:val="24"/>
                <w:lang w:val="en-US"/>
              </w:rPr>
              <w:t>i</w:t>
            </w:r>
            <w:r w:rsidRPr="00904294">
              <w:rPr>
                <w:bCs/>
                <w:szCs w:val="24"/>
                <w:lang w:val="en-US"/>
              </w:rPr>
              <w:t xml:space="preserve">nformal </w:t>
            </w:r>
            <w:r w:rsidR="004D1C6E">
              <w:rPr>
                <w:bCs/>
                <w:szCs w:val="24"/>
                <w:lang w:val="en-US"/>
              </w:rPr>
              <w:t>w</w:t>
            </w:r>
            <w:r w:rsidRPr="00904294">
              <w:rPr>
                <w:bCs/>
                <w:szCs w:val="24"/>
                <w:lang w:val="en-US"/>
              </w:rPr>
              <w:t xml:space="preserve">orking </w:t>
            </w:r>
            <w:r w:rsidR="004D1C6E">
              <w:rPr>
                <w:bCs/>
                <w:szCs w:val="24"/>
                <w:lang w:val="en-US"/>
              </w:rPr>
              <w:t>g</w:t>
            </w:r>
            <w:r w:rsidRPr="00904294">
              <w:rPr>
                <w:bCs/>
                <w:szCs w:val="24"/>
                <w:lang w:val="en-US"/>
              </w:rPr>
              <w:t xml:space="preserve">roup </w:t>
            </w:r>
            <w:r w:rsidR="004D1C6E">
              <w:rPr>
                <w:bCs/>
                <w:szCs w:val="24"/>
                <w:lang w:val="en-US"/>
              </w:rPr>
              <w:t xml:space="preserve">on </w:t>
            </w:r>
            <w:r w:rsidRPr="00904294">
              <w:rPr>
                <w:bCs/>
                <w:szCs w:val="24"/>
                <w:lang w:val="en-US"/>
              </w:rPr>
              <w:t xml:space="preserve">loading on top in barges; complete summary of information and answers </w:t>
            </w:r>
            <w:r w:rsidR="004D1C6E">
              <w:rPr>
                <w:bCs/>
                <w:szCs w:val="24"/>
                <w:lang w:val="en-US"/>
              </w:rPr>
              <w:t>to</w:t>
            </w:r>
            <w:r w:rsidRPr="00904294">
              <w:rPr>
                <w:bCs/>
                <w:szCs w:val="24"/>
                <w:lang w:val="en-US"/>
              </w:rPr>
              <w:t xml:space="preserve"> the questions raised and within the mandate given during the </w:t>
            </w:r>
            <w:r w:rsidR="004D1C6E">
              <w:rPr>
                <w:bCs/>
                <w:szCs w:val="24"/>
                <w:lang w:val="en-US"/>
              </w:rPr>
              <w:t>thirtieth</w:t>
            </w:r>
            <w:r w:rsidRPr="00904294">
              <w:rPr>
                <w:bCs/>
                <w:szCs w:val="24"/>
                <w:lang w:val="en-US"/>
              </w:rPr>
              <w:t xml:space="preserve">, </w:t>
            </w:r>
            <w:r w:rsidR="004D1C6E">
              <w:rPr>
                <w:bCs/>
                <w:szCs w:val="24"/>
                <w:lang w:val="en-US"/>
              </w:rPr>
              <w:t>thirty-first</w:t>
            </w:r>
            <w:r w:rsidRPr="00904294">
              <w:rPr>
                <w:bCs/>
                <w:szCs w:val="24"/>
                <w:lang w:val="en-US"/>
              </w:rPr>
              <w:t xml:space="preserve"> and </w:t>
            </w:r>
            <w:r w:rsidR="004D1C6E">
              <w:rPr>
                <w:bCs/>
                <w:szCs w:val="24"/>
                <w:lang w:val="en-US"/>
              </w:rPr>
              <w:t>thirty-second</w:t>
            </w:r>
            <w:r w:rsidR="00004B7A">
              <w:rPr>
                <w:bCs/>
                <w:szCs w:val="24"/>
                <w:lang w:val="en-US"/>
              </w:rPr>
              <w:t xml:space="preserve"> sessions</w:t>
            </w:r>
            <w:r w:rsidRPr="00904294">
              <w:rPr>
                <w:bCs/>
                <w:szCs w:val="24"/>
                <w:lang w:val="en-US"/>
              </w:rPr>
              <w:t xml:space="preserve"> of the ADN Safety Committee. </w:t>
            </w:r>
          </w:p>
          <w:p w:rsidR="00904294" w:rsidRPr="003134DF" w:rsidRDefault="00904294" w:rsidP="00904294">
            <w:pPr>
              <w:spacing w:before="120"/>
            </w:pPr>
            <w:r w:rsidRPr="00904294">
              <w:rPr>
                <w:bCs/>
                <w:szCs w:val="24"/>
                <w:lang w:val="en-US"/>
              </w:rPr>
              <w:t xml:space="preserve">During the second meeting that took place in The Hague, </w:t>
            </w:r>
            <w:r w:rsidR="004D1C6E">
              <w:rPr>
                <w:bCs/>
                <w:szCs w:val="24"/>
                <w:lang w:val="en-US"/>
              </w:rPr>
              <w:t>t</w:t>
            </w:r>
            <w:r w:rsidRPr="00904294">
              <w:rPr>
                <w:bCs/>
                <w:szCs w:val="24"/>
                <w:lang w:val="en-US"/>
              </w:rPr>
              <w:t xml:space="preserve">he Netherlands on the 24 April 2018 and that was organized by FETSA, representatives </w:t>
            </w:r>
            <w:r w:rsidR="004D1C6E">
              <w:rPr>
                <w:bCs/>
                <w:szCs w:val="24"/>
                <w:lang w:val="en-US"/>
              </w:rPr>
              <w:t xml:space="preserve">of the following organizations </w:t>
            </w:r>
            <w:r w:rsidRPr="00904294">
              <w:rPr>
                <w:bCs/>
                <w:szCs w:val="24"/>
                <w:lang w:val="en-US"/>
              </w:rPr>
              <w:t xml:space="preserve">were present: Port of </w:t>
            </w:r>
            <w:r w:rsidRPr="00904294">
              <w:rPr>
                <w:bCs/>
                <w:szCs w:val="24"/>
                <w:lang w:val="en-US"/>
              </w:rPr>
              <w:lastRenderedPageBreak/>
              <w:t>Rotterdam, Port of Amsterdam, Fuels Europe, EBU, ESO, EBOTA and FETSA.</w:t>
            </w:r>
          </w:p>
        </w:tc>
      </w:tr>
      <w:tr w:rsidR="00904294" w:rsidRPr="003134DF" w:rsidTr="00585131">
        <w:trPr>
          <w:trHeight w:val="509"/>
          <w:jc w:val="center"/>
        </w:trPr>
        <w:tc>
          <w:tcPr>
            <w:tcW w:w="2552" w:type="dxa"/>
          </w:tcPr>
          <w:p w:rsidR="00904294" w:rsidRPr="003134DF" w:rsidRDefault="00904294" w:rsidP="00585131">
            <w:pPr>
              <w:tabs>
                <w:tab w:val="left" w:pos="284"/>
              </w:tabs>
              <w:spacing w:before="120"/>
              <w:rPr>
                <w:b/>
              </w:rPr>
            </w:pPr>
            <w:r w:rsidRPr="003134DF">
              <w:rPr>
                <w:b/>
              </w:rPr>
              <w:lastRenderedPageBreak/>
              <w:tab/>
              <w:t>Action to be taken:</w:t>
            </w:r>
          </w:p>
        </w:tc>
        <w:tc>
          <w:tcPr>
            <w:tcW w:w="5953" w:type="dxa"/>
          </w:tcPr>
          <w:p w:rsidR="00904294" w:rsidRPr="003134DF" w:rsidRDefault="00904294" w:rsidP="00904294">
            <w:pPr>
              <w:spacing w:before="120"/>
            </w:pPr>
            <w:r w:rsidRPr="00904294">
              <w:rPr>
                <w:lang w:val="en-US"/>
              </w:rPr>
              <w:t xml:space="preserve">The </w:t>
            </w:r>
            <w:r w:rsidR="004D1C6E">
              <w:rPr>
                <w:lang w:val="en-US"/>
              </w:rPr>
              <w:t>i</w:t>
            </w:r>
            <w:r w:rsidRPr="00904294">
              <w:rPr>
                <w:lang w:val="en-US"/>
              </w:rPr>
              <w:t xml:space="preserve">nformal </w:t>
            </w:r>
            <w:r w:rsidR="004D1C6E">
              <w:rPr>
                <w:lang w:val="en-US"/>
              </w:rPr>
              <w:t>w</w:t>
            </w:r>
            <w:r w:rsidRPr="00904294">
              <w:rPr>
                <w:lang w:val="en-US"/>
              </w:rPr>
              <w:t xml:space="preserve">orking </w:t>
            </w:r>
            <w:r w:rsidR="004D1C6E">
              <w:rPr>
                <w:lang w:val="en-US"/>
              </w:rPr>
              <w:t>g</w:t>
            </w:r>
            <w:r w:rsidRPr="00904294">
              <w:rPr>
                <w:lang w:val="en-US"/>
              </w:rPr>
              <w:t xml:space="preserve">roup invites the </w:t>
            </w:r>
            <w:r w:rsidR="004D1C6E">
              <w:rPr>
                <w:lang w:val="en-US"/>
              </w:rPr>
              <w:t>Safety Committee</w:t>
            </w:r>
            <w:r w:rsidRPr="00904294">
              <w:rPr>
                <w:lang w:val="en-US"/>
              </w:rPr>
              <w:t xml:space="preserve"> to study the proposals as detailed in the </w:t>
            </w:r>
            <w:r w:rsidR="004D1C6E">
              <w:rPr>
                <w:lang w:val="en-US"/>
              </w:rPr>
              <w:t>i</w:t>
            </w:r>
            <w:r w:rsidRPr="00904294">
              <w:rPr>
                <w:lang w:val="en-US"/>
              </w:rPr>
              <w:t xml:space="preserve">ntroduction </w:t>
            </w:r>
            <w:r w:rsidR="004D1C6E">
              <w:rPr>
                <w:lang w:val="en-US"/>
              </w:rPr>
              <w:t>and a</w:t>
            </w:r>
            <w:r w:rsidRPr="00904294">
              <w:rPr>
                <w:lang w:val="en-US"/>
              </w:rPr>
              <w:t xml:space="preserve">nnexes below, and to extend the </w:t>
            </w:r>
            <w:r w:rsidR="004D1C6E">
              <w:rPr>
                <w:lang w:val="en-US"/>
              </w:rPr>
              <w:t>i</w:t>
            </w:r>
            <w:r w:rsidRPr="00904294">
              <w:rPr>
                <w:lang w:val="en-US"/>
              </w:rPr>
              <w:t xml:space="preserve">nformal </w:t>
            </w:r>
            <w:r w:rsidR="004D1C6E">
              <w:rPr>
                <w:lang w:val="en-US"/>
              </w:rPr>
              <w:t>w</w:t>
            </w:r>
            <w:r w:rsidRPr="00904294">
              <w:rPr>
                <w:lang w:val="en-US"/>
              </w:rPr>
              <w:t xml:space="preserve">orking </w:t>
            </w:r>
            <w:r w:rsidR="004D1C6E">
              <w:rPr>
                <w:lang w:val="en-US"/>
              </w:rPr>
              <w:t>g</w:t>
            </w:r>
            <w:r w:rsidRPr="00904294">
              <w:rPr>
                <w:lang w:val="en-US"/>
              </w:rPr>
              <w:t xml:space="preserve">roup’s mandate to further work on the proposals including but not limited to proposals for amendments </w:t>
            </w:r>
            <w:r w:rsidR="004D1C6E">
              <w:rPr>
                <w:lang w:val="en-US"/>
              </w:rPr>
              <w:t>to</w:t>
            </w:r>
            <w:r w:rsidRPr="00904294">
              <w:rPr>
                <w:lang w:val="en-US"/>
              </w:rPr>
              <w:t xml:space="preserve"> 1.2.1, 1.4, 2.1, 5.4, 7.2, 8.6.3</w:t>
            </w:r>
            <w:r w:rsidR="004D1C6E">
              <w:rPr>
                <w:lang w:val="en-US"/>
              </w:rPr>
              <w:t xml:space="preserve"> of ADN</w:t>
            </w:r>
            <w:r w:rsidRPr="00904294">
              <w:rPr>
                <w:lang w:val="en-US"/>
              </w:rPr>
              <w:t>, and a proposal to incorporate the loading on top operation in 7.2.4.12 and 8.1.11</w:t>
            </w:r>
            <w:r w:rsidR="004D1C6E">
              <w:rPr>
                <w:lang w:val="en-US"/>
              </w:rPr>
              <w:t xml:space="preserve"> of ADN</w:t>
            </w:r>
            <w:r w:rsidRPr="00904294">
              <w:rPr>
                <w:lang w:val="en-US"/>
              </w:rPr>
              <w:t>.</w:t>
            </w:r>
          </w:p>
        </w:tc>
      </w:tr>
      <w:tr w:rsidR="00904294" w:rsidRPr="003134DF" w:rsidTr="00585131">
        <w:trPr>
          <w:jc w:val="center"/>
        </w:trPr>
        <w:tc>
          <w:tcPr>
            <w:tcW w:w="2552" w:type="dxa"/>
            <w:tcBorders>
              <w:bottom w:val="single" w:sz="4" w:space="0" w:color="auto"/>
            </w:tcBorders>
          </w:tcPr>
          <w:p w:rsidR="00904294" w:rsidRPr="003134DF" w:rsidRDefault="00904294" w:rsidP="00585131">
            <w:pPr>
              <w:tabs>
                <w:tab w:val="left" w:pos="284"/>
              </w:tabs>
              <w:spacing w:before="120" w:after="120"/>
              <w:rPr>
                <w:b/>
              </w:rPr>
            </w:pPr>
            <w:r w:rsidRPr="003134DF">
              <w:rPr>
                <w:b/>
              </w:rPr>
              <w:tab/>
              <w:t>Related documents:</w:t>
            </w:r>
          </w:p>
        </w:tc>
        <w:tc>
          <w:tcPr>
            <w:tcW w:w="5953" w:type="dxa"/>
            <w:tcBorders>
              <w:bottom w:val="single" w:sz="4" w:space="0" w:color="auto"/>
            </w:tcBorders>
          </w:tcPr>
          <w:p w:rsidR="00904294" w:rsidRPr="00904294" w:rsidRDefault="004D1C6E" w:rsidP="00904294">
            <w:pPr>
              <w:spacing w:before="120"/>
              <w:rPr>
                <w:lang w:val="en-US"/>
              </w:rPr>
            </w:pPr>
            <w:r>
              <w:rPr>
                <w:lang w:val="en-US"/>
              </w:rPr>
              <w:t xml:space="preserve">Informal document </w:t>
            </w:r>
            <w:r w:rsidR="00904294" w:rsidRPr="00904294">
              <w:rPr>
                <w:lang w:val="en-US"/>
              </w:rPr>
              <w:t>INF.15</w:t>
            </w:r>
            <w:r>
              <w:rPr>
                <w:lang w:val="en-US"/>
              </w:rPr>
              <w:t xml:space="preserve"> of the thirtieth session</w:t>
            </w:r>
          </w:p>
          <w:p w:rsidR="00904294" w:rsidRPr="00904294" w:rsidRDefault="004D1C6E" w:rsidP="004D1C6E">
            <w:pPr>
              <w:rPr>
                <w:lang w:val="en-US"/>
              </w:rPr>
            </w:pPr>
            <w:r>
              <w:rPr>
                <w:lang w:val="en-US"/>
              </w:rPr>
              <w:t>Informal document</w:t>
            </w:r>
            <w:r w:rsidRPr="00904294">
              <w:rPr>
                <w:lang w:val="en-US"/>
              </w:rPr>
              <w:t xml:space="preserve"> </w:t>
            </w:r>
            <w:r w:rsidR="00904294" w:rsidRPr="00904294">
              <w:rPr>
                <w:lang w:val="en-US"/>
              </w:rPr>
              <w:t xml:space="preserve">INF.6 </w:t>
            </w:r>
            <w:r>
              <w:rPr>
                <w:lang w:val="en-US"/>
              </w:rPr>
              <w:t xml:space="preserve">of the thirty-first session </w:t>
            </w:r>
            <w:r w:rsidR="00904294" w:rsidRPr="00904294">
              <w:rPr>
                <w:lang w:val="en-US"/>
              </w:rPr>
              <w:t xml:space="preserve">as addendum to document </w:t>
            </w:r>
            <w:r w:rsidR="00904294" w:rsidRPr="00904294">
              <w:rPr>
                <w:bCs/>
                <w:lang w:val="en-US"/>
              </w:rPr>
              <w:t>ECE/TRANS/WP.15/AC.2/2017/44</w:t>
            </w:r>
          </w:p>
          <w:p w:rsidR="00904294" w:rsidRPr="003134DF" w:rsidRDefault="004D1C6E" w:rsidP="00E43F09">
            <w:pPr>
              <w:spacing w:after="120"/>
            </w:pPr>
            <w:r>
              <w:rPr>
                <w:lang w:val="en-US"/>
              </w:rPr>
              <w:t>Informal document</w:t>
            </w:r>
            <w:r w:rsidRPr="00904294">
              <w:rPr>
                <w:lang w:val="en-US"/>
              </w:rPr>
              <w:t xml:space="preserve"> </w:t>
            </w:r>
            <w:r w:rsidR="00904294" w:rsidRPr="00904294">
              <w:rPr>
                <w:lang w:val="de-DE"/>
              </w:rPr>
              <w:t>INF.9</w:t>
            </w:r>
            <w:r>
              <w:rPr>
                <w:lang w:val="de-DE"/>
              </w:rPr>
              <w:t xml:space="preserve"> of the thirty-second ses</w:t>
            </w:r>
            <w:bookmarkStart w:id="0" w:name="_GoBack"/>
            <w:bookmarkEnd w:id="0"/>
            <w:r>
              <w:rPr>
                <w:lang w:val="de-DE"/>
              </w:rPr>
              <w:t>sion</w:t>
            </w:r>
          </w:p>
        </w:tc>
      </w:tr>
    </w:tbl>
    <w:p w:rsidR="000532C7" w:rsidRPr="000532C7" w:rsidRDefault="000532C7" w:rsidP="000532C7">
      <w:pPr>
        <w:pStyle w:val="HChG"/>
      </w:pPr>
      <w:r w:rsidRPr="000532C7">
        <w:tab/>
      </w:r>
      <w:r w:rsidRPr="000532C7">
        <w:tab/>
        <w:t>Introduction</w:t>
      </w:r>
    </w:p>
    <w:p w:rsidR="00A035F0" w:rsidRPr="00A035F0" w:rsidRDefault="00A035F0" w:rsidP="00A035F0">
      <w:pPr>
        <w:pStyle w:val="SingleTxtG"/>
        <w:rPr>
          <w:rFonts w:eastAsiaTheme="minorHAnsi"/>
        </w:rPr>
      </w:pPr>
      <w:r>
        <w:rPr>
          <w:rFonts w:eastAsiaTheme="minorHAnsi"/>
        </w:rPr>
        <w:t>1.</w:t>
      </w:r>
      <w:r>
        <w:rPr>
          <w:rFonts w:eastAsiaTheme="minorHAnsi"/>
        </w:rPr>
        <w:tab/>
      </w:r>
      <w:r w:rsidRPr="00A035F0">
        <w:rPr>
          <w:rFonts w:eastAsiaTheme="minorHAnsi"/>
        </w:rPr>
        <w:t>Loading on top in inland waterway barges is a frequent and well-controlled operation performed mainl</w:t>
      </w:r>
      <w:r w:rsidR="00004B7A">
        <w:rPr>
          <w:rFonts w:eastAsiaTheme="minorHAnsi"/>
        </w:rPr>
        <w:t xml:space="preserve">y in the various (sea-) ports. </w:t>
      </w:r>
      <w:r w:rsidRPr="00A035F0">
        <w:rPr>
          <w:rFonts w:eastAsiaTheme="minorHAnsi"/>
        </w:rPr>
        <w:t xml:space="preserve">It is carried out by industry professionals and follows high international industry standards with respect to health, safety and the environment, and, as a result, has been without accidents and incidents for many years.  </w:t>
      </w:r>
    </w:p>
    <w:p w:rsidR="00A035F0" w:rsidRPr="00A035F0" w:rsidRDefault="00A035F0" w:rsidP="00A035F0">
      <w:pPr>
        <w:pStyle w:val="SingleTxtG"/>
        <w:rPr>
          <w:rFonts w:eastAsiaTheme="minorHAnsi"/>
        </w:rPr>
      </w:pPr>
      <w:r>
        <w:rPr>
          <w:rFonts w:eastAsiaTheme="minorHAnsi"/>
        </w:rPr>
        <w:t>2.</w:t>
      </w:r>
      <w:r>
        <w:rPr>
          <w:rFonts w:eastAsiaTheme="minorHAnsi"/>
        </w:rPr>
        <w:tab/>
      </w:r>
      <w:r w:rsidRPr="00A035F0">
        <w:rPr>
          <w:rFonts w:eastAsiaTheme="minorHAnsi"/>
        </w:rPr>
        <w:t>The operation follows the need for optimization in an increasingly complex environment of local, national and international regulation and logistic constraint.  Different products are manufactured at different locations all around the globe; various seaports in Europe in general, not limited to those in the Antwerp-Rotterdam-Amsterdam</w:t>
      </w:r>
      <w:r w:rsidR="00C36C0A">
        <w:rPr>
          <w:rFonts w:eastAsiaTheme="minorHAnsi"/>
        </w:rPr>
        <w:t xml:space="preserve"> (</w:t>
      </w:r>
      <w:r w:rsidR="00C36C0A" w:rsidRPr="00C36C0A">
        <w:rPr>
          <w:rFonts w:eastAsia="Calibri"/>
        </w:rPr>
        <w:t>ARA</w:t>
      </w:r>
      <w:r w:rsidR="00004B7A">
        <w:rPr>
          <w:rFonts w:eastAsia="Calibri"/>
        </w:rPr>
        <w:t>)</w:t>
      </w:r>
      <w:r w:rsidR="00C36C0A" w:rsidRPr="00C36C0A">
        <w:rPr>
          <w:rFonts w:eastAsia="Calibri"/>
        </w:rPr>
        <w:t xml:space="preserve"> range</w:t>
      </w:r>
      <w:r w:rsidRPr="00A035F0">
        <w:rPr>
          <w:rFonts w:eastAsiaTheme="minorHAnsi"/>
        </w:rPr>
        <w:t xml:space="preserve">, welcome many sea-going tankers and facilitate various complex logistic operations between tankers, inland waterway tankers, and land-based installations such as oil-terminals and refineries. Such operations are not limited to loading on </w:t>
      </w:r>
      <w:r w:rsidR="00C23191">
        <w:rPr>
          <w:rFonts w:eastAsiaTheme="minorHAnsi"/>
        </w:rPr>
        <w:t xml:space="preserve">top of inland waterway barges. </w:t>
      </w:r>
      <w:r w:rsidRPr="00A035F0">
        <w:rPr>
          <w:rFonts w:eastAsiaTheme="minorHAnsi"/>
        </w:rPr>
        <w:t xml:space="preserve">It’s not limited to the mentioned area either. As such, and in line with UNECEs view on </w:t>
      </w:r>
      <w:r w:rsidR="00C23191">
        <w:rPr>
          <w:rFonts w:eastAsiaTheme="minorHAnsi"/>
        </w:rPr>
        <w:t>i</w:t>
      </w:r>
      <w:r w:rsidRPr="00A035F0">
        <w:rPr>
          <w:rFonts w:eastAsiaTheme="minorHAnsi"/>
        </w:rPr>
        <w:t xml:space="preserve">nland </w:t>
      </w:r>
      <w:r w:rsidR="00C23191">
        <w:rPr>
          <w:rFonts w:eastAsiaTheme="minorHAnsi"/>
        </w:rPr>
        <w:t>w</w:t>
      </w:r>
      <w:r w:rsidRPr="00A035F0">
        <w:rPr>
          <w:rFonts w:eastAsiaTheme="minorHAnsi"/>
        </w:rPr>
        <w:t xml:space="preserve">ater </w:t>
      </w:r>
      <w:r w:rsidR="00C23191">
        <w:rPr>
          <w:rFonts w:eastAsiaTheme="minorHAnsi"/>
        </w:rPr>
        <w:t>t</w:t>
      </w:r>
      <w:r w:rsidRPr="00A035F0">
        <w:rPr>
          <w:rFonts w:eastAsiaTheme="minorHAnsi"/>
        </w:rPr>
        <w:t xml:space="preserve">ransport, a pan-European vision and solution is required.  </w:t>
      </w:r>
    </w:p>
    <w:p w:rsidR="00A035F0" w:rsidRPr="00A035F0" w:rsidRDefault="00A035F0" w:rsidP="00A035F0">
      <w:pPr>
        <w:pStyle w:val="SingleTxtG"/>
        <w:rPr>
          <w:rFonts w:eastAsiaTheme="minorHAnsi"/>
        </w:rPr>
      </w:pPr>
      <w:r>
        <w:rPr>
          <w:rFonts w:eastAsiaTheme="minorHAnsi"/>
        </w:rPr>
        <w:t>3.</w:t>
      </w:r>
      <w:r>
        <w:rPr>
          <w:rFonts w:eastAsiaTheme="minorHAnsi"/>
        </w:rPr>
        <w:tab/>
      </w:r>
      <w:r w:rsidRPr="00A035F0">
        <w:rPr>
          <w:rFonts w:eastAsiaTheme="minorHAnsi"/>
        </w:rPr>
        <w:t>(European) Ports are highly regulated by a variety of local, na</w:t>
      </w:r>
      <w:r w:rsidR="00004B7A">
        <w:rPr>
          <w:rFonts w:eastAsiaTheme="minorHAnsi"/>
        </w:rPr>
        <w:t xml:space="preserve">tional and international laws. </w:t>
      </w:r>
      <w:r w:rsidRPr="00A035F0">
        <w:rPr>
          <w:rFonts w:eastAsiaTheme="minorHAnsi"/>
        </w:rPr>
        <w:t>So are manufacturing sites, oil-termi</w:t>
      </w:r>
      <w:r w:rsidR="00C23191">
        <w:rPr>
          <w:rFonts w:eastAsiaTheme="minorHAnsi"/>
        </w:rPr>
        <w:t xml:space="preserve">nals, and carriers. </w:t>
      </w:r>
      <w:r w:rsidRPr="00A035F0">
        <w:rPr>
          <w:rFonts w:eastAsiaTheme="minorHAnsi"/>
        </w:rPr>
        <w:t xml:space="preserve">Laws and regulations follow and facilitate international trade. This is also true for ADN, ADR, RID, where the various UNECE bodies meet, discuss, decide and form working groups with </w:t>
      </w:r>
      <w:r w:rsidR="00C23191">
        <w:rPr>
          <w:rFonts w:eastAsiaTheme="minorHAnsi"/>
        </w:rPr>
        <w:t>non-governmental organizations</w:t>
      </w:r>
      <w:r w:rsidRPr="00A035F0">
        <w:rPr>
          <w:rFonts w:eastAsiaTheme="minorHAnsi"/>
        </w:rPr>
        <w:t xml:space="preserve"> to clarify interpretations, and adapt ADN, ADR, and RID to meet with current needs.  </w:t>
      </w:r>
    </w:p>
    <w:p w:rsidR="00A035F0" w:rsidRPr="00A035F0" w:rsidRDefault="00A035F0" w:rsidP="00A035F0">
      <w:pPr>
        <w:pStyle w:val="SingleTxtG"/>
        <w:rPr>
          <w:rFonts w:eastAsiaTheme="minorHAnsi"/>
        </w:rPr>
      </w:pPr>
      <w:r>
        <w:rPr>
          <w:rFonts w:eastAsiaTheme="minorHAnsi"/>
        </w:rPr>
        <w:t>4.</w:t>
      </w:r>
      <w:r>
        <w:rPr>
          <w:rFonts w:eastAsiaTheme="minorHAnsi"/>
        </w:rPr>
        <w:tab/>
      </w:r>
      <w:r w:rsidRPr="00A035F0">
        <w:rPr>
          <w:rFonts w:eastAsiaTheme="minorHAnsi"/>
        </w:rPr>
        <w:t>The U</w:t>
      </w:r>
      <w:r w:rsidR="00C23191">
        <w:rPr>
          <w:rFonts w:eastAsiaTheme="minorHAnsi"/>
        </w:rPr>
        <w:t>NECE Inland Transport Committee</w:t>
      </w:r>
      <w:r w:rsidRPr="00A035F0">
        <w:rPr>
          <w:rFonts w:eastAsiaTheme="minorHAnsi"/>
        </w:rPr>
        <w:t xml:space="preserve"> facilitates the international movements of persons and goods by inland transport modes, as reflected in the 2011 </w:t>
      </w:r>
      <w:r w:rsidR="00004B7A" w:rsidRPr="00004B7A">
        <w:rPr>
          <w:rFonts w:eastAsia="Calibri"/>
        </w:rPr>
        <w:t>“</w:t>
      </w:r>
      <w:hyperlink r:id="rId9" w:history="1">
        <w:r w:rsidRPr="00A035F0">
          <w:rPr>
            <w:rStyle w:val="Hyperlink"/>
            <w:rFonts w:eastAsiaTheme="minorHAnsi"/>
            <w:color w:val="auto"/>
            <w:u w:val="none"/>
          </w:rPr>
          <w:t>UNECE White paper on Efficient and Sustainable Inland Water Transport in Europe</w:t>
        </w:r>
      </w:hyperlink>
      <w:r w:rsidR="00004B7A" w:rsidRPr="00004B7A">
        <w:rPr>
          <w:rFonts w:eastAsia="Calibri"/>
        </w:rPr>
        <w:t>”</w:t>
      </w:r>
      <w:r w:rsidRPr="00A035F0">
        <w:rPr>
          <w:rFonts w:eastAsiaTheme="minorHAnsi"/>
          <w:vertAlign w:val="superscript"/>
        </w:rPr>
        <w:footnoteReference w:id="4"/>
      </w:r>
      <w:r w:rsidR="00004B7A">
        <w:rPr>
          <w:rFonts w:eastAsiaTheme="minorHAnsi"/>
        </w:rPr>
        <w:t xml:space="preserve"> </w:t>
      </w:r>
      <w:r w:rsidRPr="00A035F0">
        <w:rPr>
          <w:rFonts w:eastAsiaTheme="minorHAnsi"/>
        </w:rPr>
        <w:t>There is a recognition to adapt</w:t>
      </w:r>
      <w:r w:rsidR="00C23191">
        <w:rPr>
          <w:rFonts w:eastAsiaTheme="minorHAnsi"/>
        </w:rPr>
        <w:t xml:space="preserve"> to a fast changing environment. </w:t>
      </w:r>
      <w:r w:rsidRPr="00A035F0">
        <w:rPr>
          <w:rFonts w:eastAsiaTheme="minorHAnsi"/>
        </w:rPr>
        <w:t xml:space="preserve">The UNECE white paper recognizes that </w:t>
      </w:r>
      <w:r w:rsidR="00C23191" w:rsidRPr="00C23191">
        <w:rPr>
          <w:rFonts w:eastAsia="Calibri"/>
        </w:rPr>
        <w:t>inland water transport</w:t>
      </w:r>
      <w:r w:rsidRPr="00A035F0">
        <w:rPr>
          <w:rFonts w:eastAsiaTheme="minorHAnsi"/>
        </w:rPr>
        <w:t xml:space="preserve"> represents a safe, reliable and environmentally friendly mode of transport, with the potential and the need to grow</w:t>
      </w:r>
      <w:r w:rsidRPr="00A035F0">
        <w:rPr>
          <w:rFonts w:eastAsiaTheme="minorHAnsi"/>
          <w:vertAlign w:val="superscript"/>
        </w:rPr>
        <w:footnoteReference w:id="5"/>
      </w:r>
      <w:r w:rsidRPr="00A035F0">
        <w:rPr>
          <w:rFonts w:eastAsiaTheme="minorHAnsi"/>
        </w:rPr>
        <w:t>.</w:t>
      </w:r>
    </w:p>
    <w:p w:rsidR="00A035F0" w:rsidRPr="00A035F0" w:rsidRDefault="00A035F0" w:rsidP="00A035F0">
      <w:pPr>
        <w:pStyle w:val="SingleTxtG"/>
        <w:rPr>
          <w:rFonts w:eastAsiaTheme="minorHAnsi"/>
        </w:rPr>
      </w:pPr>
      <w:r>
        <w:rPr>
          <w:rFonts w:eastAsiaTheme="minorHAnsi"/>
        </w:rPr>
        <w:lastRenderedPageBreak/>
        <w:t>5.</w:t>
      </w:r>
      <w:r>
        <w:rPr>
          <w:rFonts w:eastAsiaTheme="minorHAnsi"/>
        </w:rPr>
        <w:tab/>
      </w:r>
      <w:r w:rsidRPr="00A035F0">
        <w:rPr>
          <w:rFonts w:eastAsiaTheme="minorHAnsi"/>
        </w:rPr>
        <w:t xml:space="preserve">Although many barriers have been taken away, UNECE recognized the need to continue to eliminate administrative, technical and legal barriers for inland navigation </w:t>
      </w:r>
      <w:r w:rsidRPr="00A035F0">
        <w:rPr>
          <w:rFonts w:eastAsiaTheme="minorHAnsi"/>
          <w:vertAlign w:val="superscript"/>
        </w:rPr>
        <w:footnoteReference w:id="6"/>
      </w:r>
      <w:r>
        <w:rPr>
          <w:rFonts w:eastAsiaTheme="minorHAnsi"/>
        </w:rPr>
        <w:t>.</w:t>
      </w:r>
    </w:p>
    <w:p w:rsidR="00A035F0" w:rsidRPr="00A035F0" w:rsidRDefault="00A035F0" w:rsidP="00A035F0">
      <w:pPr>
        <w:pStyle w:val="SingleTxtG"/>
        <w:rPr>
          <w:rFonts w:eastAsiaTheme="minorHAnsi"/>
        </w:rPr>
      </w:pPr>
      <w:r>
        <w:rPr>
          <w:rFonts w:eastAsiaTheme="minorHAnsi"/>
        </w:rPr>
        <w:t>6.</w:t>
      </w:r>
      <w:r>
        <w:rPr>
          <w:rFonts w:eastAsiaTheme="minorHAnsi"/>
        </w:rPr>
        <w:tab/>
      </w:r>
      <w:r w:rsidRPr="00A035F0">
        <w:rPr>
          <w:rFonts w:eastAsiaTheme="minorHAnsi"/>
        </w:rPr>
        <w:t xml:space="preserve">The Pan-European vision for efficient and sustainable </w:t>
      </w:r>
      <w:r w:rsidR="00004B7A">
        <w:rPr>
          <w:rFonts w:eastAsiaTheme="minorHAnsi"/>
        </w:rPr>
        <w:t>i</w:t>
      </w:r>
      <w:r w:rsidRPr="00A035F0">
        <w:rPr>
          <w:rFonts w:eastAsiaTheme="minorHAnsi"/>
        </w:rPr>
        <w:t xml:space="preserve">nland </w:t>
      </w:r>
      <w:r w:rsidR="00004B7A">
        <w:rPr>
          <w:rFonts w:eastAsiaTheme="minorHAnsi"/>
        </w:rPr>
        <w:t>w</w:t>
      </w:r>
      <w:r w:rsidRPr="00A035F0">
        <w:rPr>
          <w:rFonts w:eastAsiaTheme="minorHAnsi"/>
        </w:rPr>
        <w:t xml:space="preserve">ater </w:t>
      </w:r>
      <w:r w:rsidR="00004B7A">
        <w:rPr>
          <w:rFonts w:eastAsiaTheme="minorHAnsi"/>
        </w:rPr>
        <w:t>t</w:t>
      </w:r>
      <w:r w:rsidRPr="00A035F0">
        <w:rPr>
          <w:rFonts w:eastAsiaTheme="minorHAnsi"/>
        </w:rPr>
        <w:t xml:space="preserve">ransport also considers the use of </w:t>
      </w:r>
      <w:r w:rsidR="00C23191">
        <w:rPr>
          <w:rFonts w:eastAsiaTheme="minorHAnsi"/>
        </w:rPr>
        <w:t>r</w:t>
      </w:r>
      <w:r w:rsidRPr="00A035F0">
        <w:rPr>
          <w:rFonts w:eastAsiaTheme="minorHAnsi"/>
        </w:rPr>
        <w:t xml:space="preserve">iver </w:t>
      </w:r>
      <w:r w:rsidR="00C23191">
        <w:rPr>
          <w:rFonts w:eastAsiaTheme="minorHAnsi"/>
        </w:rPr>
        <w:t>i</w:t>
      </w:r>
      <w:r w:rsidRPr="00A035F0">
        <w:rPr>
          <w:rFonts w:eastAsiaTheme="minorHAnsi"/>
        </w:rPr>
        <w:t xml:space="preserve">nformation </w:t>
      </w:r>
      <w:r w:rsidR="00C23191">
        <w:rPr>
          <w:rFonts w:eastAsiaTheme="minorHAnsi"/>
        </w:rPr>
        <w:t>s</w:t>
      </w:r>
      <w:r w:rsidRPr="00A035F0">
        <w:rPr>
          <w:rFonts w:eastAsiaTheme="minorHAnsi"/>
        </w:rPr>
        <w:t>ervice (RIS)</w:t>
      </w:r>
      <w:r w:rsidRPr="00A035F0">
        <w:rPr>
          <w:rFonts w:eastAsiaTheme="minorHAnsi"/>
          <w:vertAlign w:val="superscript"/>
        </w:rPr>
        <w:footnoteReference w:id="7"/>
      </w:r>
      <w:r w:rsidRPr="00A035F0">
        <w:rPr>
          <w:rFonts w:eastAsiaTheme="minorHAnsi"/>
        </w:rPr>
        <w:t xml:space="preserve">; it sees the challenges placed by market requirements, particularly in sea-ports </w:t>
      </w:r>
      <w:r w:rsidRPr="00A035F0">
        <w:rPr>
          <w:rFonts w:eastAsiaTheme="minorHAnsi"/>
          <w:vertAlign w:val="superscript"/>
        </w:rPr>
        <w:footnoteReference w:id="8"/>
      </w:r>
      <w:r>
        <w:rPr>
          <w:rFonts w:eastAsiaTheme="minorHAnsi"/>
        </w:rPr>
        <w:t>.</w:t>
      </w:r>
    </w:p>
    <w:p w:rsidR="00A035F0" w:rsidRPr="00A035F0" w:rsidRDefault="00A035F0" w:rsidP="00A035F0">
      <w:pPr>
        <w:pStyle w:val="SingleTxtG"/>
        <w:rPr>
          <w:rFonts w:eastAsiaTheme="minorHAnsi"/>
        </w:rPr>
      </w:pPr>
      <w:r>
        <w:rPr>
          <w:rFonts w:eastAsiaTheme="minorHAnsi"/>
        </w:rPr>
        <w:t>7.</w:t>
      </w:r>
      <w:r>
        <w:rPr>
          <w:rFonts w:eastAsiaTheme="minorHAnsi"/>
        </w:rPr>
        <w:tab/>
      </w:r>
      <w:r w:rsidR="00C23191">
        <w:rPr>
          <w:rFonts w:eastAsiaTheme="minorHAnsi"/>
        </w:rPr>
        <w:t xml:space="preserve">Document </w:t>
      </w:r>
      <w:hyperlink r:id="rId10" w:history="1">
        <w:r w:rsidRPr="00A035F0">
          <w:rPr>
            <w:rStyle w:val="Hyperlink"/>
            <w:rFonts w:eastAsiaTheme="minorHAnsi"/>
            <w:color w:val="auto"/>
            <w:u w:val="none"/>
          </w:rPr>
          <w:t>ECE/TRANS/SC.3/189</w:t>
        </w:r>
      </w:hyperlink>
      <w:r w:rsidRPr="00A035F0">
        <w:rPr>
          <w:rFonts w:eastAsiaTheme="minorHAnsi"/>
        </w:rPr>
        <w:t xml:space="preserve"> </w:t>
      </w:r>
      <w:r w:rsidR="00004B7A" w:rsidRPr="00004B7A">
        <w:rPr>
          <w:rFonts w:eastAsia="Calibri"/>
        </w:rPr>
        <w:t>“</w:t>
      </w:r>
      <w:r w:rsidRPr="00A035F0">
        <w:rPr>
          <w:rFonts w:eastAsiaTheme="minorHAnsi"/>
        </w:rPr>
        <w:t>Fostering the role of Inland Water Transport in the World within the Framework of the Sustainable Development Agenda</w:t>
      </w:r>
      <w:r w:rsidR="00004B7A" w:rsidRPr="00004B7A">
        <w:rPr>
          <w:rFonts w:eastAsia="Calibri"/>
        </w:rPr>
        <w:t>”</w:t>
      </w:r>
      <w:r w:rsidRPr="00C23191">
        <w:rPr>
          <w:rFonts w:eastAsiaTheme="minorHAnsi"/>
          <w:sz w:val="18"/>
          <w:szCs w:val="18"/>
          <w:vertAlign w:val="superscript"/>
        </w:rPr>
        <w:footnoteReference w:id="9"/>
      </w:r>
      <w:r w:rsidRPr="00A035F0">
        <w:rPr>
          <w:rFonts w:eastAsiaTheme="minorHAnsi"/>
        </w:rPr>
        <w:t xml:space="preserve"> refers to the role of Inland Water Transport in the context of relevant sustainable development goals</w:t>
      </w:r>
      <w:r w:rsidRPr="00C23191">
        <w:rPr>
          <w:rFonts w:eastAsiaTheme="minorHAnsi"/>
          <w:sz w:val="18"/>
          <w:szCs w:val="18"/>
          <w:vertAlign w:val="superscript"/>
        </w:rPr>
        <w:footnoteReference w:id="10"/>
      </w:r>
      <w:r w:rsidRPr="00A035F0">
        <w:rPr>
          <w:rFonts w:eastAsiaTheme="minorHAnsi"/>
        </w:rPr>
        <w:t xml:space="preserve">. In other words, there is work being done in other UNECE bodies to grow the </w:t>
      </w:r>
      <w:r w:rsidR="00C23191">
        <w:rPr>
          <w:rFonts w:eastAsiaTheme="minorHAnsi"/>
        </w:rPr>
        <w:t>inland water transport</w:t>
      </w:r>
      <w:r w:rsidRPr="00A035F0">
        <w:rPr>
          <w:rFonts w:eastAsiaTheme="minorHAnsi"/>
        </w:rPr>
        <w:t xml:space="preserve"> industry in a sustainable way, whilst looking at the </w:t>
      </w:r>
      <w:r>
        <w:rPr>
          <w:rFonts w:eastAsiaTheme="minorHAnsi"/>
        </w:rPr>
        <w:t xml:space="preserve">market requirements. </w:t>
      </w:r>
    </w:p>
    <w:p w:rsidR="00A035F0" w:rsidRDefault="00A035F0" w:rsidP="00A035F0">
      <w:pPr>
        <w:pStyle w:val="SingleTxtG"/>
        <w:rPr>
          <w:rFonts w:eastAsiaTheme="minorHAnsi"/>
        </w:rPr>
      </w:pPr>
      <w:r>
        <w:rPr>
          <w:rFonts w:eastAsiaTheme="minorHAnsi"/>
        </w:rPr>
        <w:t>8.</w:t>
      </w:r>
      <w:r>
        <w:rPr>
          <w:rFonts w:eastAsiaTheme="minorHAnsi"/>
        </w:rPr>
        <w:tab/>
      </w:r>
      <w:r w:rsidRPr="00A035F0">
        <w:rPr>
          <w:rFonts w:eastAsiaTheme="minorHAnsi"/>
        </w:rPr>
        <w:t xml:space="preserve">Our proposals link into some of the sustainable development goals as mentioned in this UNECE publication of the International Conference of Inland Water Transport in the world. </w:t>
      </w:r>
    </w:p>
    <w:p w:rsidR="00A035F0" w:rsidRDefault="00A035F0" w:rsidP="00A035F0">
      <w:pPr>
        <w:pStyle w:val="Bullet1G"/>
        <w:rPr>
          <w:rFonts w:eastAsiaTheme="minorHAnsi"/>
        </w:rPr>
      </w:pPr>
      <w:r>
        <w:rPr>
          <w:rFonts w:eastAsiaTheme="minorHAnsi"/>
        </w:rPr>
        <w:t>Sustainable Development Goal 3 – Ensure healthy lives and promote well-being for all at all ages</w:t>
      </w:r>
    </w:p>
    <w:p w:rsidR="00A035F0" w:rsidRDefault="00A035F0" w:rsidP="00A035F0">
      <w:pPr>
        <w:pStyle w:val="Bullet1G"/>
        <w:rPr>
          <w:rFonts w:eastAsia="Calibri"/>
        </w:rPr>
      </w:pPr>
      <w:r w:rsidRPr="00A035F0">
        <w:rPr>
          <w:rFonts w:eastAsia="Calibri"/>
        </w:rPr>
        <w:t xml:space="preserve">Sustainable Development Goal </w:t>
      </w:r>
      <w:r>
        <w:rPr>
          <w:rFonts w:eastAsia="Calibri"/>
        </w:rPr>
        <w:t>7</w:t>
      </w:r>
      <w:r w:rsidRPr="00A035F0">
        <w:rPr>
          <w:rFonts w:eastAsia="Calibri"/>
        </w:rPr>
        <w:t xml:space="preserve"> – Ensure</w:t>
      </w:r>
      <w:r>
        <w:rPr>
          <w:rFonts w:eastAsia="Calibri"/>
        </w:rPr>
        <w:t xml:space="preserve"> access to affordable, reliable, sustainable and modern energy for all</w:t>
      </w:r>
    </w:p>
    <w:p w:rsidR="00A035F0" w:rsidRDefault="00A035F0" w:rsidP="00A035F0">
      <w:pPr>
        <w:pStyle w:val="Bullet1G"/>
        <w:rPr>
          <w:rFonts w:eastAsia="Calibri"/>
        </w:rPr>
      </w:pPr>
      <w:r w:rsidRPr="00A035F0">
        <w:rPr>
          <w:rFonts w:eastAsia="Calibri"/>
        </w:rPr>
        <w:t xml:space="preserve">Sustainable Development Goal </w:t>
      </w:r>
      <w:r>
        <w:rPr>
          <w:rFonts w:eastAsia="Calibri"/>
        </w:rPr>
        <w:t>9</w:t>
      </w:r>
      <w:r w:rsidRPr="00A035F0">
        <w:rPr>
          <w:rFonts w:eastAsia="Calibri"/>
        </w:rPr>
        <w:t xml:space="preserve"> – </w:t>
      </w:r>
      <w:r>
        <w:rPr>
          <w:rFonts w:eastAsia="Calibri"/>
        </w:rPr>
        <w:t>Build resilient infrastructure, promote inclusive and sustainable industrialization and foster innovation</w:t>
      </w:r>
    </w:p>
    <w:p w:rsidR="00A035F0" w:rsidRDefault="00A035F0" w:rsidP="00A035F0">
      <w:pPr>
        <w:pStyle w:val="Bullet1G"/>
        <w:rPr>
          <w:rFonts w:eastAsia="Calibri"/>
        </w:rPr>
      </w:pPr>
      <w:r w:rsidRPr="00A035F0">
        <w:rPr>
          <w:rFonts w:eastAsia="Calibri"/>
        </w:rPr>
        <w:t xml:space="preserve">Sustainable Development Goal </w:t>
      </w:r>
      <w:r>
        <w:rPr>
          <w:rFonts w:eastAsia="Calibri"/>
        </w:rPr>
        <w:t>11</w:t>
      </w:r>
      <w:r w:rsidRPr="00A035F0">
        <w:rPr>
          <w:rFonts w:eastAsia="Calibri"/>
        </w:rPr>
        <w:t xml:space="preserve"> – </w:t>
      </w:r>
      <w:r>
        <w:rPr>
          <w:rFonts w:eastAsia="Calibri"/>
        </w:rPr>
        <w:t>Make cities and human settlements inclusive, safe, resilient and sustainable</w:t>
      </w:r>
    </w:p>
    <w:p w:rsidR="00A035F0" w:rsidRPr="00A035F0" w:rsidRDefault="00A035F0" w:rsidP="00A035F0">
      <w:pPr>
        <w:pStyle w:val="Bullet1G"/>
        <w:rPr>
          <w:rFonts w:eastAsiaTheme="minorHAnsi"/>
        </w:rPr>
      </w:pPr>
      <w:r w:rsidRPr="00A035F0">
        <w:rPr>
          <w:rFonts w:eastAsia="Calibri"/>
        </w:rPr>
        <w:t xml:space="preserve">Sustainable Development Goal </w:t>
      </w:r>
      <w:r>
        <w:rPr>
          <w:rFonts w:eastAsia="Calibri"/>
        </w:rPr>
        <w:t>1</w:t>
      </w:r>
      <w:r w:rsidRPr="00A035F0">
        <w:rPr>
          <w:rFonts w:eastAsia="Calibri"/>
        </w:rPr>
        <w:t xml:space="preserve">3 – </w:t>
      </w:r>
      <w:r>
        <w:rPr>
          <w:rFonts w:eastAsia="Calibri"/>
        </w:rPr>
        <w:t>Take urgent action to combat climate change and its impacts</w:t>
      </w:r>
    </w:p>
    <w:p w:rsidR="00A035F0" w:rsidRPr="00A035F0" w:rsidRDefault="00A035F0" w:rsidP="00A035F0">
      <w:pPr>
        <w:pStyle w:val="SingleTxtG"/>
        <w:rPr>
          <w:rFonts w:eastAsiaTheme="minorHAnsi"/>
        </w:rPr>
      </w:pPr>
      <w:r>
        <w:rPr>
          <w:rFonts w:eastAsiaTheme="minorHAnsi"/>
        </w:rPr>
        <w:t>9.</w:t>
      </w:r>
      <w:r>
        <w:rPr>
          <w:rFonts w:eastAsiaTheme="minorHAnsi"/>
        </w:rPr>
        <w:tab/>
      </w:r>
      <w:r w:rsidRPr="00A035F0">
        <w:rPr>
          <w:rFonts w:eastAsiaTheme="minorHAnsi"/>
        </w:rPr>
        <w:t xml:space="preserve">ADN is goal based regulation.  Meaning that the participants under ADN must comply, but ADN will not describe how to do that. Our proposals will reflect that. </w:t>
      </w:r>
    </w:p>
    <w:p w:rsidR="00A035F0" w:rsidRPr="00A035F0" w:rsidRDefault="00A035F0" w:rsidP="00A035F0">
      <w:pPr>
        <w:pStyle w:val="SingleTxtG"/>
        <w:rPr>
          <w:rFonts w:eastAsiaTheme="minorHAnsi"/>
        </w:rPr>
      </w:pPr>
      <w:r>
        <w:rPr>
          <w:rFonts w:eastAsiaTheme="minorHAnsi"/>
        </w:rPr>
        <w:t>10.</w:t>
      </w:r>
      <w:r>
        <w:rPr>
          <w:rFonts w:eastAsiaTheme="minorHAnsi"/>
        </w:rPr>
        <w:tab/>
      </w:r>
      <w:r w:rsidRPr="00A035F0">
        <w:rPr>
          <w:rFonts w:eastAsiaTheme="minorHAnsi"/>
        </w:rPr>
        <w:t xml:space="preserve">During </w:t>
      </w:r>
      <w:r w:rsidR="00C23191">
        <w:rPr>
          <w:rFonts w:eastAsiaTheme="minorHAnsi"/>
        </w:rPr>
        <w:t xml:space="preserve">an </w:t>
      </w:r>
      <w:r w:rsidRPr="00A035F0">
        <w:rPr>
          <w:rFonts w:eastAsiaTheme="minorHAnsi"/>
        </w:rPr>
        <w:t>earlier meeting the Safety Committee recognized that this type of operation happens on various locations within the territory of the ADN. It was stated that “if this happens, we must have a closer look at it”.</w:t>
      </w:r>
    </w:p>
    <w:p w:rsidR="00A035F0" w:rsidRPr="00A035F0" w:rsidRDefault="00A035F0" w:rsidP="00A035F0">
      <w:pPr>
        <w:pStyle w:val="SingleTxtG"/>
        <w:rPr>
          <w:rFonts w:eastAsiaTheme="minorHAnsi"/>
        </w:rPr>
      </w:pPr>
      <w:r>
        <w:rPr>
          <w:rFonts w:eastAsiaTheme="minorHAnsi"/>
        </w:rPr>
        <w:t>11.</w:t>
      </w:r>
      <w:r>
        <w:rPr>
          <w:rFonts w:eastAsiaTheme="minorHAnsi"/>
        </w:rPr>
        <w:tab/>
      </w:r>
      <w:r w:rsidRPr="00A035F0">
        <w:rPr>
          <w:rFonts w:eastAsiaTheme="minorHAnsi"/>
        </w:rPr>
        <w:t xml:space="preserve">Members of the </w:t>
      </w:r>
      <w:r w:rsidR="00C23191">
        <w:rPr>
          <w:rFonts w:eastAsiaTheme="minorHAnsi"/>
        </w:rPr>
        <w:t xml:space="preserve">informal </w:t>
      </w:r>
      <w:r w:rsidRPr="00A035F0">
        <w:rPr>
          <w:rFonts w:eastAsiaTheme="minorHAnsi"/>
        </w:rPr>
        <w:t xml:space="preserve">working group including FuelsEurope, EBOTA, EBO/ESO and FETSA understand the concerns raised by some of the delegates in past meetings. It is recognized that there is a need to better describe the operation to bring transparency and controllability. We understand the sensitivity as history taught us all a few times about the illegal blending of waste streams observed in seagoing vessels. We have to take this seriously.  </w:t>
      </w:r>
    </w:p>
    <w:p w:rsidR="00A035F0" w:rsidRPr="00A035F0" w:rsidRDefault="00A035F0" w:rsidP="00A035F0">
      <w:pPr>
        <w:pStyle w:val="SingleTxtG"/>
        <w:rPr>
          <w:rFonts w:eastAsiaTheme="minorHAnsi"/>
        </w:rPr>
      </w:pPr>
      <w:r>
        <w:rPr>
          <w:rFonts w:eastAsiaTheme="minorHAnsi"/>
        </w:rPr>
        <w:t>12.</w:t>
      </w:r>
      <w:r>
        <w:rPr>
          <w:rFonts w:eastAsiaTheme="minorHAnsi"/>
        </w:rPr>
        <w:tab/>
      </w:r>
      <w:r w:rsidRPr="00A035F0">
        <w:rPr>
          <w:rFonts w:eastAsiaTheme="minorHAnsi"/>
        </w:rPr>
        <w:t>There should be no doubt that loading on top is not at all about allowing waste blending but on defining what can be allowed and under what controllable conditions. It is also not about limitless</w:t>
      </w:r>
      <w:r w:rsidR="00C23191">
        <w:rPr>
          <w:rFonts w:eastAsiaTheme="minorHAnsi"/>
        </w:rPr>
        <w:t xml:space="preserve"> loading on top/commingling. </w:t>
      </w:r>
      <w:r w:rsidRPr="00A035F0">
        <w:rPr>
          <w:rFonts w:eastAsiaTheme="minorHAnsi"/>
        </w:rPr>
        <w:t>We</w:t>
      </w:r>
      <w:r w:rsidR="00C23191">
        <w:rPr>
          <w:rFonts w:eastAsiaTheme="minorHAnsi"/>
        </w:rPr>
        <w:t xml:space="preserve"> are</w:t>
      </w:r>
      <w:r w:rsidRPr="00A035F0">
        <w:rPr>
          <w:rFonts w:eastAsiaTheme="minorHAnsi"/>
        </w:rPr>
        <w:t xml:space="preserve"> proposing loading on top/commingling of bio-components into a very limited number of products for the </w:t>
      </w:r>
      <w:r w:rsidRPr="00A035F0">
        <w:rPr>
          <w:rFonts w:eastAsiaTheme="minorHAnsi"/>
        </w:rPr>
        <w:lastRenderedPageBreak/>
        <w:t xml:space="preserve">transport sector in accordance with existing European legislation, such as </w:t>
      </w:r>
      <w:r w:rsidR="00C23191">
        <w:rPr>
          <w:rFonts w:eastAsiaTheme="minorHAnsi"/>
        </w:rPr>
        <w:t xml:space="preserve">the </w:t>
      </w:r>
      <w:r w:rsidRPr="00A035F0">
        <w:rPr>
          <w:rFonts w:eastAsiaTheme="minorHAnsi"/>
        </w:rPr>
        <w:t>Renewable Energy Directive</w:t>
      </w:r>
      <w:r w:rsidR="00C23191" w:rsidRPr="00C23191">
        <w:rPr>
          <w:rFonts w:eastAsia="Calibri"/>
          <w:sz w:val="18"/>
          <w:szCs w:val="18"/>
          <w:vertAlign w:val="superscript"/>
        </w:rPr>
        <w:footnoteReference w:id="11"/>
      </w:r>
      <w:r w:rsidRPr="00C23191">
        <w:rPr>
          <w:rFonts w:eastAsiaTheme="minorHAnsi"/>
          <w:sz w:val="18"/>
          <w:szCs w:val="18"/>
          <w:vertAlign w:val="superscript"/>
        </w:rPr>
        <w:t xml:space="preserve"> </w:t>
      </w:r>
      <w:r w:rsidRPr="00A035F0">
        <w:rPr>
          <w:rFonts w:eastAsiaTheme="minorHAnsi"/>
        </w:rPr>
        <w:t>and Fuels Quality Directive</w:t>
      </w:r>
      <w:r w:rsidR="00C23191">
        <w:rPr>
          <w:rStyle w:val="FootnoteReference"/>
          <w:rFonts w:eastAsiaTheme="minorHAnsi"/>
        </w:rPr>
        <w:footnoteReference w:id="12"/>
      </w:r>
      <w:r w:rsidRPr="00A035F0">
        <w:rPr>
          <w:rFonts w:eastAsiaTheme="minorHAnsi"/>
        </w:rPr>
        <w:t>. We</w:t>
      </w:r>
      <w:r w:rsidR="00C23191">
        <w:rPr>
          <w:rFonts w:eastAsiaTheme="minorHAnsi"/>
        </w:rPr>
        <w:t xml:space="preserve"> are</w:t>
      </w:r>
      <w:r w:rsidRPr="00A035F0">
        <w:rPr>
          <w:rFonts w:eastAsiaTheme="minorHAnsi"/>
        </w:rPr>
        <w:t xml:space="preserve"> proposing a limited number of UN numbers to be loaded on top. </w:t>
      </w:r>
    </w:p>
    <w:p w:rsidR="00A035F0" w:rsidRPr="00A035F0" w:rsidRDefault="00241754" w:rsidP="00A035F0">
      <w:pPr>
        <w:pStyle w:val="SingleTxtG"/>
        <w:rPr>
          <w:rFonts w:eastAsiaTheme="minorHAnsi"/>
        </w:rPr>
      </w:pPr>
      <w:r>
        <w:rPr>
          <w:rFonts w:eastAsiaTheme="minorHAnsi"/>
        </w:rPr>
        <w:t>13.</w:t>
      </w:r>
      <w:r>
        <w:rPr>
          <w:rFonts w:eastAsiaTheme="minorHAnsi"/>
        </w:rPr>
        <w:tab/>
      </w:r>
      <w:r w:rsidR="00A035F0" w:rsidRPr="00A035F0">
        <w:rPr>
          <w:rFonts w:eastAsiaTheme="minorHAnsi"/>
        </w:rPr>
        <w:t xml:space="preserve">Clear and enforceable rules, setting clear responsibilities and accountabilities are needed, leading to less room for interpretation.  </w:t>
      </w:r>
    </w:p>
    <w:p w:rsidR="00A035F0" w:rsidRPr="00A035F0" w:rsidRDefault="00241754" w:rsidP="00A035F0">
      <w:pPr>
        <w:pStyle w:val="SingleTxtG"/>
        <w:rPr>
          <w:rFonts w:eastAsiaTheme="minorHAnsi"/>
        </w:rPr>
      </w:pPr>
      <w:r>
        <w:rPr>
          <w:rFonts w:eastAsiaTheme="minorHAnsi"/>
        </w:rPr>
        <w:t>14.</w:t>
      </w:r>
      <w:r>
        <w:rPr>
          <w:rFonts w:eastAsiaTheme="minorHAnsi"/>
        </w:rPr>
        <w:tab/>
      </w:r>
      <w:r w:rsidR="00A035F0" w:rsidRPr="00A035F0">
        <w:rPr>
          <w:rFonts w:eastAsiaTheme="minorHAnsi"/>
        </w:rPr>
        <w:t xml:space="preserve">ADN does offer possibilities, as the process map of a typical loading on top/commingling operation shows.  Clear responsibilities and accountabilities for a loading on top operation can be assigned to the various participants as we will show you. </w:t>
      </w:r>
    </w:p>
    <w:p w:rsidR="00A035F0" w:rsidRPr="00A035F0" w:rsidRDefault="00241754" w:rsidP="00A035F0">
      <w:pPr>
        <w:pStyle w:val="SingleTxtG"/>
        <w:rPr>
          <w:rFonts w:eastAsiaTheme="minorHAnsi"/>
        </w:rPr>
      </w:pPr>
      <w:r>
        <w:rPr>
          <w:rFonts w:eastAsiaTheme="minorHAnsi"/>
        </w:rPr>
        <w:t>15.</w:t>
      </w:r>
      <w:r>
        <w:rPr>
          <w:rFonts w:eastAsiaTheme="minorHAnsi"/>
        </w:rPr>
        <w:tab/>
      </w:r>
      <w:r w:rsidR="00A035F0" w:rsidRPr="00A035F0">
        <w:rPr>
          <w:rFonts w:eastAsiaTheme="minorHAnsi"/>
        </w:rPr>
        <w:t xml:space="preserve">FuelsEurope, EBOTA, FETSA, EBU/ESO, want to actively contribute to formulating in clear terms and in full transparency what types of loading on top can be allowed, with the support of the Dutch Seaport Association including Port of Amsterdam, Rotterdam and Flushing for an adaptation of ADN and with full focus on a safe operation. Therefore, we invite </w:t>
      </w:r>
      <w:r w:rsidR="00004B7A">
        <w:rPr>
          <w:rFonts w:eastAsiaTheme="minorHAnsi"/>
        </w:rPr>
        <w:t xml:space="preserve">the </w:t>
      </w:r>
      <w:r w:rsidR="00C23191">
        <w:rPr>
          <w:rFonts w:eastAsiaTheme="minorHAnsi"/>
        </w:rPr>
        <w:t>ADN Safety Committee</w:t>
      </w:r>
      <w:r w:rsidR="00A035F0" w:rsidRPr="00A035F0">
        <w:rPr>
          <w:rFonts w:eastAsiaTheme="minorHAnsi"/>
        </w:rPr>
        <w:t xml:space="preserve"> to study the proposals as detailed in </w:t>
      </w:r>
      <w:r w:rsidR="00C23191">
        <w:rPr>
          <w:rFonts w:eastAsiaTheme="minorHAnsi"/>
        </w:rPr>
        <w:t>the a</w:t>
      </w:r>
      <w:r w:rsidR="00A035F0" w:rsidRPr="00A035F0">
        <w:rPr>
          <w:rFonts w:eastAsiaTheme="minorHAnsi"/>
        </w:rPr>
        <w:t>nnexes</w:t>
      </w:r>
      <w:r w:rsidR="00C23191">
        <w:rPr>
          <w:rFonts w:eastAsiaTheme="minorHAnsi"/>
        </w:rPr>
        <w:t xml:space="preserve"> to this document</w:t>
      </w:r>
      <w:r w:rsidR="00A035F0" w:rsidRPr="00A035F0">
        <w:rPr>
          <w:rFonts w:eastAsiaTheme="minorHAnsi"/>
        </w:rPr>
        <w:t xml:space="preserve">, and to extend the </w:t>
      </w:r>
      <w:r w:rsidR="00C23191">
        <w:rPr>
          <w:rFonts w:eastAsiaTheme="minorHAnsi"/>
        </w:rPr>
        <w:t>i</w:t>
      </w:r>
      <w:r w:rsidR="00A035F0" w:rsidRPr="00A035F0">
        <w:rPr>
          <w:rFonts w:eastAsiaTheme="minorHAnsi"/>
        </w:rPr>
        <w:t xml:space="preserve">nformal </w:t>
      </w:r>
      <w:r w:rsidR="00C23191">
        <w:rPr>
          <w:rFonts w:eastAsiaTheme="minorHAnsi"/>
        </w:rPr>
        <w:t>w</w:t>
      </w:r>
      <w:r w:rsidR="00A035F0" w:rsidRPr="00A035F0">
        <w:rPr>
          <w:rFonts w:eastAsiaTheme="minorHAnsi"/>
        </w:rPr>
        <w:t xml:space="preserve">orking </w:t>
      </w:r>
      <w:r w:rsidR="00C23191">
        <w:rPr>
          <w:rFonts w:eastAsiaTheme="minorHAnsi"/>
        </w:rPr>
        <w:t>g</w:t>
      </w:r>
      <w:r w:rsidR="00A035F0" w:rsidRPr="00A035F0">
        <w:rPr>
          <w:rFonts w:eastAsiaTheme="minorHAnsi"/>
        </w:rPr>
        <w:t>roup’s mandate to further work on the proposals</w:t>
      </w:r>
      <w:r w:rsidR="00C23191">
        <w:rPr>
          <w:rFonts w:eastAsiaTheme="minorHAnsi"/>
        </w:rPr>
        <w:t>,</w:t>
      </w:r>
      <w:r w:rsidR="00A035F0" w:rsidRPr="00A035F0">
        <w:rPr>
          <w:rFonts w:eastAsiaTheme="minorHAnsi"/>
        </w:rPr>
        <w:t xml:space="preserve"> including proposals for amendments and insertions in ADN 1.2.1, 1.4, 2.1, 5.4, 7.2, 8.6.3, and a proposal to incorporate the loading on top operation in 7.2.4.12 and 8.1.11. </w:t>
      </w:r>
    </w:p>
    <w:p w:rsidR="00A035F0" w:rsidRPr="00A035F0" w:rsidRDefault="00241754" w:rsidP="00A035F0">
      <w:pPr>
        <w:pStyle w:val="SingleTxtG"/>
        <w:rPr>
          <w:rFonts w:eastAsiaTheme="minorHAnsi"/>
        </w:rPr>
      </w:pPr>
      <w:r>
        <w:rPr>
          <w:rFonts w:eastAsiaTheme="minorHAnsi"/>
        </w:rPr>
        <w:t>16.</w:t>
      </w:r>
      <w:r>
        <w:rPr>
          <w:rFonts w:eastAsiaTheme="minorHAnsi"/>
        </w:rPr>
        <w:tab/>
      </w:r>
      <w:r w:rsidR="00A035F0" w:rsidRPr="00A035F0">
        <w:rPr>
          <w:rFonts w:eastAsiaTheme="minorHAnsi"/>
        </w:rPr>
        <w:t>Our proposal is to allow a limited number of loading on top of operations, in particular:</w:t>
      </w:r>
    </w:p>
    <w:p w:rsidR="00A035F0" w:rsidRPr="00A035F0" w:rsidRDefault="00C23191" w:rsidP="00C23191">
      <w:pPr>
        <w:pStyle w:val="SingleTxtG"/>
        <w:ind w:firstLine="567"/>
        <w:rPr>
          <w:rFonts w:eastAsiaTheme="minorHAnsi"/>
        </w:rPr>
      </w:pPr>
      <w:r>
        <w:rPr>
          <w:rFonts w:eastAsiaTheme="minorHAnsi"/>
        </w:rPr>
        <w:t>(a)</w:t>
      </w:r>
      <w:r>
        <w:rPr>
          <w:rFonts w:eastAsiaTheme="minorHAnsi"/>
        </w:rPr>
        <w:tab/>
      </w:r>
      <w:r w:rsidR="00A035F0" w:rsidRPr="00A035F0">
        <w:rPr>
          <w:rFonts w:eastAsiaTheme="minorHAnsi"/>
        </w:rPr>
        <w:t>A loading on top of products with the same UN-number. Those products are given in table 1, 2 and 3 of Annex I</w:t>
      </w:r>
      <w:r w:rsidR="00F744A4">
        <w:rPr>
          <w:rFonts w:eastAsiaTheme="minorHAnsi"/>
        </w:rPr>
        <w:t>;</w:t>
      </w:r>
    </w:p>
    <w:p w:rsidR="00A035F0" w:rsidRDefault="00C23191" w:rsidP="00C23191">
      <w:pPr>
        <w:pStyle w:val="SingleTxtG"/>
        <w:ind w:firstLine="567"/>
        <w:rPr>
          <w:rFonts w:eastAsiaTheme="minorHAnsi"/>
        </w:rPr>
      </w:pPr>
      <w:r>
        <w:rPr>
          <w:rFonts w:eastAsiaTheme="minorHAnsi"/>
        </w:rPr>
        <w:t>(b)</w:t>
      </w:r>
      <w:r>
        <w:rPr>
          <w:rFonts w:eastAsiaTheme="minorHAnsi"/>
        </w:rPr>
        <w:tab/>
      </w:r>
      <w:r w:rsidR="00A035F0" w:rsidRPr="00A035F0">
        <w:rPr>
          <w:rFonts w:eastAsiaTheme="minorHAnsi"/>
        </w:rPr>
        <w:t xml:space="preserve">Loading on </w:t>
      </w:r>
      <w:r w:rsidR="00F744A4">
        <w:rPr>
          <w:rFonts w:eastAsiaTheme="minorHAnsi"/>
        </w:rPr>
        <w:t>t</w:t>
      </w:r>
      <w:r w:rsidR="00A035F0" w:rsidRPr="00A035F0">
        <w:rPr>
          <w:rFonts w:eastAsiaTheme="minorHAnsi"/>
        </w:rPr>
        <w:t xml:space="preserve">op on board for Gasoline (UN 1203), Gasoil (UN 1202) and </w:t>
      </w:r>
      <w:r>
        <w:rPr>
          <w:rFonts w:eastAsiaTheme="minorHAnsi"/>
        </w:rPr>
        <w:t>heavy fuel oil</w:t>
      </w:r>
      <w:r w:rsidR="00A035F0" w:rsidRPr="00A035F0">
        <w:rPr>
          <w:rFonts w:eastAsiaTheme="minorHAnsi"/>
        </w:rPr>
        <w:t xml:space="preserve"> (UN 3082) with a limited number of (bio-)components in their own group.  The bio-components are listed in table 4 of Annex I. The loading on top/commingling proportions as well as the bio-components used, are to be executed in line with the fuel quality specifications in-place in order to still allow the products to be used as transport fuels.</w:t>
      </w:r>
    </w:p>
    <w:p w:rsidR="00364307" w:rsidRDefault="00364307" w:rsidP="00364307">
      <w:pPr>
        <w:pStyle w:val="HChG"/>
        <w:rPr>
          <w:rFonts w:eastAsiaTheme="minorHAnsi"/>
          <w:lang w:val="en-US"/>
        </w:rPr>
      </w:pPr>
      <w:r>
        <w:rPr>
          <w:rFonts w:eastAsiaTheme="minorHAnsi"/>
        </w:rPr>
        <w:br w:type="page"/>
      </w:r>
      <w:r w:rsidRPr="00364307">
        <w:rPr>
          <w:rFonts w:eastAsiaTheme="minorHAnsi"/>
          <w:lang w:val="en-US"/>
        </w:rPr>
        <w:lastRenderedPageBreak/>
        <w:t>Annex I</w:t>
      </w:r>
      <w:r w:rsidRPr="00364307">
        <w:rPr>
          <w:rFonts w:eastAsiaTheme="minorHAnsi"/>
          <w:lang w:val="en-US"/>
        </w:rPr>
        <w:tab/>
      </w:r>
    </w:p>
    <w:p w:rsidR="00364307" w:rsidRDefault="00364307" w:rsidP="00364307">
      <w:pPr>
        <w:pStyle w:val="HChG"/>
        <w:rPr>
          <w:rFonts w:eastAsiaTheme="minorHAnsi"/>
          <w:lang w:val="en-US"/>
        </w:rPr>
      </w:pPr>
      <w:r>
        <w:rPr>
          <w:rFonts w:eastAsiaTheme="minorHAnsi"/>
          <w:lang w:val="en-US"/>
        </w:rPr>
        <w:tab/>
      </w:r>
      <w:r>
        <w:rPr>
          <w:rFonts w:eastAsiaTheme="minorHAnsi"/>
          <w:lang w:val="en-US"/>
        </w:rPr>
        <w:tab/>
      </w:r>
      <w:r w:rsidRPr="00364307">
        <w:rPr>
          <w:rFonts w:eastAsiaTheme="minorHAnsi"/>
          <w:lang w:val="en-US"/>
        </w:rPr>
        <w:t>List of proposed substan</w:t>
      </w:r>
      <w:bookmarkStart w:id="1" w:name="_Hlk515616800"/>
      <w:r w:rsidRPr="00364307">
        <w:rPr>
          <w:rFonts w:eastAsiaTheme="minorHAnsi"/>
          <w:lang w:val="en-US"/>
        </w:rPr>
        <w:t>ces</w:t>
      </w:r>
      <w:bookmarkEnd w:id="1"/>
    </w:p>
    <w:p w:rsidR="00E97B2D" w:rsidRPr="00E97B2D" w:rsidRDefault="00E97B2D" w:rsidP="00E97B2D">
      <w:pPr>
        <w:pStyle w:val="H1G"/>
        <w:rPr>
          <w:rFonts w:eastAsiaTheme="minorHAnsi"/>
          <w:lang w:val="en-US"/>
        </w:rPr>
      </w:pPr>
      <w:r>
        <w:rPr>
          <w:rFonts w:eastAsiaTheme="minorHAnsi"/>
          <w:lang w:val="en-US"/>
        </w:rPr>
        <w:tab/>
        <w:t>I.</w:t>
      </w:r>
      <w:r>
        <w:rPr>
          <w:rFonts w:eastAsiaTheme="minorHAnsi"/>
          <w:lang w:val="en-US"/>
        </w:rPr>
        <w:tab/>
      </w:r>
      <w:r w:rsidRPr="00E97B2D">
        <w:rPr>
          <w:rFonts w:eastAsiaTheme="minorHAnsi"/>
          <w:lang w:val="en-US"/>
        </w:rPr>
        <w:t>List of proposed substances</w:t>
      </w:r>
    </w:p>
    <w:p w:rsidR="00364307" w:rsidRPr="00364307" w:rsidRDefault="00364307" w:rsidP="00364307">
      <w:pPr>
        <w:pStyle w:val="SingleTxtG"/>
        <w:rPr>
          <w:rFonts w:eastAsiaTheme="minorHAnsi"/>
        </w:rPr>
      </w:pPr>
      <w:r>
        <w:rPr>
          <w:rFonts w:eastAsiaTheme="minorHAnsi"/>
        </w:rPr>
        <w:t>1.</w:t>
      </w:r>
      <w:r>
        <w:rPr>
          <w:rFonts w:eastAsiaTheme="minorHAnsi"/>
        </w:rPr>
        <w:tab/>
      </w:r>
      <w:r w:rsidRPr="00364307">
        <w:rPr>
          <w:rFonts w:eastAsiaTheme="minorHAnsi"/>
        </w:rPr>
        <w:t>In response to questions around the first working document</w:t>
      </w:r>
      <w:r w:rsidRPr="00585131">
        <w:rPr>
          <w:rFonts w:eastAsiaTheme="minorHAnsi"/>
          <w:sz w:val="18"/>
          <w:szCs w:val="18"/>
          <w:vertAlign w:val="superscript"/>
        </w:rPr>
        <w:footnoteReference w:id="13"/>
      </w:r>
      <w:r w:rsidRPr="00364307">
        <w:rPr>
          <w:rFonts w:eastAsiaTheme="minorHAnsi"/>
        </w:rPr>
        <w:t xml:space="preserve"> and INF 9</w:t>
      </w:r>
      <w:r w:rsidRPr="00585131">
        <w:rPr>
          <w:rFonts w:eastAsiaTheme="minorHAnsi"/>
          <w:sz w:val="18"/>
          <w:szCs w:val="18"/>
          <w:vertAlign w:val="superscript"/>
        </w:rPr>
        <w:footnoteReference w:id="14"/>
      </w:r>
      <w:r w:rsidR="00F744A4">
        <w:rPr>
          <w:rFonts w:eastAsiaTheme="minorHAnsi"/>
        </w:rPr>
        <w:t xml:space="preserve">, </w:t>
      </w:r>
      <w:r w:rsidRPr="00364307">
        <w:rPr>
          <w:rFonts w:eastAsiaTheme="minorHAnsi"/>
        </w:rPr>
        <w:t xml:space="preserve">the </w:t>
      </w:r>
      <w:r w:rsidR="00F744A4">
        <w:rPr>
          <w:rFonts w:eastAsiaTheme="minorHAnsi"/>
        </w:rPr>
        <w:t>i</w:t>
      </w:r>
      <w:r w:rsidRPr="00364307">
        <w:rPr>
          <w:rFonts w:eastAsiaTheme="minorHAnsi"/>
        </w:rPr>
        <w:t xml:space="preserve">nformal </w:t>
      </w:r>
      <w:r w:rsidR="00F744A4">
        <w:rPr>
          <w:rFonts w:eastAsiaTheme="minorHAnsi"/>
        </w:rPr>
        <w:t>w</w:t>
      </w:r>
      <w:r w:rsidRPr="00364307">
        <w:rPr>
          <w:rFonts w:eastAsiaTheme="minorHAnsi"/>
        </w:rPr>
        <w:t xml:space="preserve">orking </w:t>
      </w:r>
      <w:r w:rsidR="00F744A4">
        <w:rPr>
          <w:rFonts w:eastAsiaTheme="minorHAnsi"/>
        </w:rPr>
        <w:t>g</w:t>
      </w:r>
      <w:r w:rsidRPr="00364307">
        <w:rPr>
          <w:rFonts w:eastAsiaTheme="minorHAnsi"/>
        </w:rPr>
        <w:t>roup has developed a non-exhaustive example list of substances, grouped i</w:t>
      </w:r>
      <w:r w:rsidR="00F744A4">
        <w:rPr>
          <w:rFonts w:eastAsiaTheme="minorHAnsi"/>
        </w:rPr>
        <w:t xml:space="preserve">n 3 tables, by compatibility. </w:t>
      </w:r>
      <w:r w:rsidRPr="00364307">
        <w:rPr>
          <w:rFonts w:eastAsiaTheme="minorHAnsi"/>
        </w:rPr>
        <w:t xml:space="preserve">Products mentioned in each group are normal components in the type of fuels (i.e. Ethanol UN 1170 is a common ‘ingredient’ of the mixture which we call “Gasoline” and is classified under UN 1203);  </w:t>
      </w:r>
    </w:p>
    <w:p w:rsidR="00364307" w:rsidRPr="00364307" w:rsidRDefault="00364307" w:rsidP="00364307">
      <w:pPr>
        <w:pStyle w:val="SingleTxtG"/>
        <w:rPr>
          <w:rFonts w:eastAsiaTheme="minorHAnsi"/>
        </w:rPr>
      </w:pPr>
      <w:r>
        <w:rPr>
          <w:rFonts w:eastAsiaTheme="minorHAnsi"/>
        </w:rPr>
        <w:t>2.</w:t>
      </w:r>
      <w:r>
        <w:rPr>
          <w:rFonts w:eastAsiaTheme="minorHAnsi"/>
        </w:rPr>
        <w:tab/>
      </w:r>
      <w:r w:rsidRPr="00364307">
        <w:rPr>
          <w:rFonts w:eastAsiaTheme="minorHAnsi"/>
        </w:rPr>
        <w:t>The Safety Committee is invited to consider the following 3 groups of substances in accordance with Table C</w:t>
      </w:r>
      <w:r w:rsidR="00585131">
        <w:rPr>
          <w:rFonts w:eastAsiaTheme="minorHAnsi"/>
        </w:rPr>
        <w:t xml:space="preserve"> of Chapter 3.2 of ADN</w:t>
      </w:r>
      <w:r w:rsidRPr="00364307">
        <w:rPr>
          <w:rFonts w:eastAsiaTheme="minorHAnsi"/>
        </w:rPr>
        <w:t xml:space="preserve">, to be allowed to load on top, </w:t>
      </w:r>
      <w:r w:rsidRPr="00364307">
        <w:rPr>
          <w:rFonts w:eastAsiaTheme="minorHAnsi"/>
          <w:u w:val="single"/>
        </w:rPr>
        <w:t>within their compatibility group</w:t>
      </w:r>
      <w:r w:rsidRPr="00364307">
        <w:rPr>
          <w:rFonts w:eastAsiaTheme="minorHAnsi"/>
        </w:rPr>
        <w:t xml:space="preserve">, in inland waterway tankers, in line with ADN 7.2.4.13.1, 3rd paragraph and in line with the definitions of “exclusive transport operations” and “compatible transport operations” as referred to in art.5.01 </w:t>
      </w:r>
      <w:r w:rsidR="00585131">
        <w:rPr>
          <w:rFonts w:eastAsiaTheme="minorHAnsi"/>
        </w:rPr>
        <w:t>of the Convention on the Convention</w:t>
      </w:r>
      <w:r w:rsidR="00F744A4">
        <w:rPr>
          <w:rFonts w:eastAsiaTheme="minorHAnsi"/>
        </w:rPr>
        <w:t>,</w:t>
      </w:r>
      <w:r w:rsidR="00585131">
        <w:rPr>
          <w:rFonts w:eastAsiaTheme="minorHAnsi"/>
        </w:rPr>
        <w:t xml:space="preserve"> Deposit and reception of waste produced during navigation on the Rhine and inland waterways (</w:t>
      </w:r>
      <w:r w:rsidRPr="00364307">
        <w:rPr>
          <w:rFonts w:eastAsiaTheme="minorHAnsi"/>
        </w:rPr>
        <w:t>CDNI</w:t>
      </w:r>
      <w:r w:rsidR="00585131">
        <w:rPr>
          <w:rFonts w:eastAsiaTheme="minorHAnsi"/>
        </w:rPr>
        <w:t>)</w:t>
      </w:r>
      <w:r w:rsidRPr="00585131">
        <w:rPr>
          <w:rFonts w:eastAsiaTheme="minorHAnsi"/>
          <w:sz w:val="18"/>
          <w:szCs w:val="18"/>
          <w:vertAlign w:val="superscript"/>
        </w:rPr>
        <w:footnoteReference w:id="15"/>
      </w:r>
      <w:r w:rsidRPr="00585131">
        <w:rPr>
          <w:rFonts w:eastAsiaTheme="minorHAnsi"/>
          <w:sz w:val="18"/>
          <w:szCs w:val="18"/>
          <w:vertAlign w:val="superscript"/>
        </w:rPr>
        <w:t xml:space="preserve"> </w:t>
      </w:r>
      <w:r w:rsidRPr="00364307">
        <w:rPr>
          <w:rFonts w:eastAsiaTheme="minorHAnsi"/>
        </w:rPr>
        <w:t>and under the strict condition that subject substances and the commingled substance are included on the ships substance list as referred to in 1.16.1.2.5:</w:t>
      </w:r>
    </w:p>
    <w:p w:rsidR="00364307" w:rsidRDefault="00364307" w:rsidP="00585131">
      <w:pPr>
        <w:pStyle w:val="Heading1"/>
        <w:spacing w:before="240"/>
        <w:rPr>
          <w:rFonts w:eastAsiaTheme="minorHAnsi"/>
          <w:lang w:val="en-US"/>
        </w:rPr>
      </w:pPr>
      <w:r w:rsidRPr="00364307">
        <w:rPr>
          <w:rFonts w:eastAsiaTheme="minorHAnsi"/>
          <w:lang w:val="en-US"/>
        </w:rPr>
        <w:t xml:space="preserve">Table 1 </w:t>
      </w:r>
    </w:p>
    <w:p w:rsidR="00364307" w:rsidRPr="00364307" w:rsidRDefault="00364307" w:rsidP="00364307">
      <w:pPr>
        <w:pStyle w:val="Heading1"/>
        <w:rPr>
          <w:rFonts w:eastAsiaTheme="minorHAnsi"/>
          <w:b/>
          <w:bCs/>
          <w:lang w:val="en-US"/>
        </w:rPr>
      </w:pPr>
      <w:r w:rsidRPr="00364307">
        <w:rPr>
          <w:rFonts w:eastAsiaTheme="minorHAnsi"/>
          <w:b/>
          <w:bCs/>
          <w:lang w:val="en-US"/>
        </w:rPr>
        <w:t>Compatibility Group I</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567"/>
        <w:gridCol w:w="5810"/>
      </w:tblGrid>
      <w:tr w:rsidR="00364307" w:rsidRPr="00364307" w:rsidTr="00364307">
        <w:trPr>
          <w:trHeight w:val="311"/>
          <w:tblHeader/>
        </w:trPr>
        <w:tc>
          <w:tcPr>
            <w:tcW w:w="993" w:type="dxa"/>
            <w:tcBorders>
              <w:top w:val="single" w:sz="4" w:space="0" w:color="auto"/>
              <w:bottom w:val="single" w:sz="12" w:space="0" w:color="auto"/>
            </w:tcBorders>
            <w:shd w:val="clear" w:color="auto" w:fill="auto"/>
            <w:vAlign w:val="bottom"/>
            <w:hideMark/>
          </w:tcPr>
          <w:p w:rsidR="00364307" w:rsidRPr="00364307" w:rsidRDefault="00364307" w:rsidP="00364307">
            <w:pPr>
              <w:suppressAutoHyphens w:val="0"/>
              <w:spacing w:before="80" w:after="80" w:line="200" w:lineRule="exact"/>
              <w:ind w:right="113"/>
              <w:rPr>
                <w:i/>
                <w:sz w:val="16"/>
                <w:szCs w:val="22"/>
                <w:lang w:val="en-US"/>
              </w:rPr>
            </w:pPr>
            <w:r w:rsidRPr="00364307">
              <w:rPr>
                <w:i/>
                <w:sz w:val="16"/>
                <w:szCs w:val="22"/>
                <w:lang w:val="en-US"/>
              </w:rPr>
              <w:t>Group</w:t>
            </w:r>
          </w:p>
        </w:tc>
        <w:tc>
          <w:tcPr>
            <w:tcW w:w="567" w:type="dxa"/>
            <w:tcBorders>
              <w:top w:val="single" w:sz="4" w:space="0" w:color="auto"/>
              <w:bottom w:val="single" w:sz="12" w:space="0" w:color="auto"/>
            </w:tcBorders>
            <w:shd w:val="clear" w:color="auto" w:fill="auto"/>
            <w:vAlign w:val="bottom"/>
            <w:hideMark/>
          </w:tcPr>
          <w:p w:rsidR="00364307" w:rsidRPr="00364307" w:rsidRDefault="00364307" w:rsidP="00364307">
            <w:pPr>
              <w:suppressAutoHyphens w:val="0"/>
              <w:spacing w:before="80" w:after="80" w:line="200" w:lineRule="exact"/>
              <w:ind w:right="113"/>
              <w:rPr>
                <w:i/>
                <w:sz w:val="16"/>
                <w:szCs w:val="22"/>
                <w:lang w:val="en-US"/>
              </w:rPr>
            </w:pPr>
            <w:r w:rsidRPr="00364307">
              <w:rPr>
                <w:i/>
                <w:sz w:val="16"/>
                <w:szCs w:val="22"/>
                <w:lang w:val="en-US"/>
              </w:rPr>
              <w:t>UN</w:t>
            </w:r>
          </w:p>
        </w:tc>
        <w:tc>
          <w:tcPr>
            <w:tcW w:w="5810" w:type="dxa"/>
            <w:tcBorders>
              <w:top w:val="single" w:sz="4" w:space="0" w:color="auto"/>
              <w:bottom w:val="single" w:sz="12" w:space="0" w:color="auto"/>
            </w:tcBorders>
            <w:shd w:val="clear" w:color="auto" w:fill="auto"/>
            <w:vAlign w:val="bottom"/>
            <w:hideMark/>
          </w:tcPr>
          <w:p w:rsidR="00364307" w:rsidRPr="00364307" w:rsidRDefault="00364307" w:rsidP="00364307">
            <w:pPr>
              <w:suppressAutoHyphens w:val="0"/>
              <w:spacing w:before="80" w:after="80" w:line="200" w:lineRule="exact"/>
              <w:ind w:right="113"/>
              <w:rPr>
                <w:i/>
                <w:sz w:val="16"/>
                <w:szCs w:val="22"/>
                <w:lang w:val="en-US"/>
              </w:rPr>
            </w:pPr>
            <w:r w:rsidRPr="00364307">
              <w:rPr>
                <w:i/>
                <w:sz w:val="16"/>
                <w:szCs w:val="22"/>
                <w:lang w:val="en-US"/>
              </w:rPr>
              <w:t>Proper Shipping Name</w:t>
            </w:r>
          </w:p>
        </w:tc>
      </w:tr>
      <w:tr w:rsidR="00364307" w:rsidRPr="00364307" w:rsidTr="00364307">
        <w:trPr>
          <w:trHeight w:val="325"/>
        </w:trPr>
        <w:tc>
          <w:tcPr>
            <w:tcW w:w="993"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Gasoline</w:t>
            </w:r>
          </w:p>
        </w:tc>
        <w:tc>
          <w:tcPr>
            <w:tcW w:w="567"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1203</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xml:space="preserve">MOTOR SPIRIT or GASOLINE or PETROL </w:t>
            </w:r>
            <w:r w:rsidRPr="00364307">
              <w:rPr>
                <w:szCs w:val="16"/>
                <w:lang w:val="en-US"/>
              </w:rPr>
              <w:t>2)</w:t>
            </w:r>
          </w:p>
        </w:tc>
      </w:tr>
      <w:tr w:rsidR="00364307" w:rsidRPr="00364307" w:rsidTr="00364307">
        <w:trPr>
          <w:trHeight w:val="311"/>
        </w:trPr>
        <w:tc>
          <w:tcPr>
            <w:tcW w:w="993"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67"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1170</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xml:space="preserve">ETHANOL (ETHYL ALCOHOL) or ETHANOL SOLUTION (ETHYLALCOHOL SOLUTION) </w:t>
            </w:r>
            <w:r w:rsidRPr="00364307">
              <w:rPr>
                <w:szCs w:val="16"/>
                <w:lang w:val="en-US"/>
              </w:rPr>
              <w:t>1)</w:t>
            </w:r>
          </w:p>
        </w:tc>
      </w:tr>
      <w:tr w:rsidR="00364307" w:rsidRPr="00364307" w:rsidTr="00364307">
        <w:trPr>
          <w:trHeight w:val="311"/>
        </w:trPr>
        <w:tc>
          <w:tcPr>
            <w:tcW w:w="993"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67"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1179</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ETHYL BUTYL ETHER (ETHYL tert-BUTYL ETHER)</w:t>
            </w:r>
          </w:p>
        </w:tc>
      </w:tr>
      <w:tr w:rsidR="00364307" w:rsidRPr="00364307" w:rsidTr="00364307">
        <w:trPr>
          <w:trHeight w:val="311"/>
        </w:trPr>
        <w:tc>
          <w:tcPr>
            <w:tcW w:w="993"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67"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1230</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METHANOL</w:t>
            </w:r>
          </w:p>
        </w:tc>
      </w:tr>
      <w:tr w:rsidR="00364307" w:rsidRPr="00364307" w:rsidTr="00364307">
        <w:trPr>
          <w:trHeight w:val="311"/>
        </w:trPr>
        <w:tc>
          <w:tcPr>
            <w:tcW w:w="993"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67"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1268</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xml:space="preserve">PETROLEUM DISTILLATES, N.O.S. or PETROLEUM PRODUCTS, N.O.S </w:t>
            </w:r>
            <w:r w:rsidRPr="00364307">
              <w:rPr>
                <w:szCs w:val="16"/>
                <w:lang w:val="en-US"/>
              </w:rPr>
              <w:t>2)</w:t>
            </w:r>
          </w:p>
        </w:tc>
      </w:tr>
      <w:tr w:rsidR="00364307" w:rsidRPr="00364307" w:rsidTr="00364307">
        <w:trPr>
          <w:trHeight w:val="311"/>
        </w:trPr>
        <w:tc>
          <w:tcPr>
            <w:tcW w:w="993"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67"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1294</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TOLUENE</w:t>
            </w:r>
          </w:p>
        </w:tc>
      </w:tr>
      <w:tr w:rsidR="00364307" w:rsidRPr="00364307" w:rsidTr="00364307">
        <w:trPr>
          <w:trHeight w:val="311"/>
        </w:trPr>
        <w:tc>
          <w:tcPr>
            <w:tcW w:w="993"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67"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1307</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xml:space="preserve">XYLENES </w:t>
            </w:r>
            <w:r w:rsidRPr="00364307">
              <w:rPr>
                <w:szCs w:val="16"/>
                <w:lang w:val="en-US"/>
              </w:rPr>
              <w:t>1)</w:t>
            </w:r>
          </w:p>
        </w:tc>
      </w:tr>
      <w:tr w:rsidR="00364307" w:rsidRPr="00364307" w:rsidTr="00364307">
        <w:trPr>
          <w:trHeight w:val="311"/>
        </w:trPr>
        <w:tc>
          <w:tcPr>
            <w:tcW w:w="993"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67"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2398</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METHYL tert-BUTYL ETHER</w:t>
            </w:r>
          </w:p>
        </w:tc>
      </w:tr>
      <w:tr w:rsidR="00364307" w:rsidRPr="00364307" w:rsidTr="00364307">
        <w:trPr>
          <w:trHeight w:val="311"/>
        </w:trPr>
        <w:tc>
          <w:tcPr>
            <w:tcW w:w="993" w:type="dxa"/>
            <w:shd w:val="clear" w:color="auto" w:fill="auto"/>
            <w:noWrap/>
          </w:tcPr>
          <w:p w:rsidR="00364307" w:rsidRPr="00364307" w:rsidRDefault="00364307" w:rsidP="00364307">
            <w:pPr>
              <w:suppressAutoHyphens w:val="0"/>
              <w:spacing w:before="40" w:after="120" w:line="220" w:lineRule="exact"/>
              <w:ind w:right="113"/>
              <w:rPr>
                <w:szCs w:val="22"/>
                <w:lang w:val="en-US"/>
              </w:rPr>
            </w:pPr>
          </w:p>
        </w:tc>
        <w:tc>
          <w:tcPr>
            <w:tcW w:w="567" w:type="dxa"/>
            <w:shd w:val="clear" w:color="auto" w:fill="auto"/>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3475</w:t>
            </w:r>
          </w:p>
        </w:tc>
        <w:tc>
          <w:tcPr>
            <w:tcW w:w="5810" w:type="dxa"/>
            <w:shd w:val="clear" w:color="auto" w:fill="auto"/>
            <w:noWrap/>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xml:space="preserve">ETHANOL AND GASOLINE; </w:t>
            </w:r>
            <w:r w:rsidRPr="00364307">
              <w:rPr>
                <w:rFonts w:eastAsia="Calibri"/>
                <w:szCs w:val="16"/>
                <w:lang w:val="en-US"/>
              </w:rPr>
              <w:t>M</w:t>
            </w:r>
            <w:r w:rsidRPr="00364307">
              <w:rPr>
                <w:szCs w:val="22"/>
                <w:lang w:val="en-US"/>
              </w:rPr>
              <w:t>IXTURE or ETHANOL AND MOTOR SPIRIT MIXTURE or</w:t>
            </w:r>
          </w:p>
          <w:p w:rsidR="00364307" w:rsidRPr="00364307" w:rsidRDefault="00364307" w:rsidP="00364307">
            <w:pPr>
              <w:suppressAutoHyphens w:val="0"/>
              <w:spacing w:before="40" w:after="120" w:line="220" w:lineRule="exact"/>
              <w:ind w:right="113"/>
              <w:rPr>
                <w:szCs w:val="22"/>
                <w:lang w:val="en-US"/>
              </w:rPr>
            </w:pPr>
            <w:r w:rsidRPr="00364307">
              <w:rPr>
                <w:szCs w:val="22"/>
                <w:lang w:val="en-US"/>
              </w:rPr>
              <w:lastRenderedPageBreak/>
              <w:t xml:space="preserve">ETHANOL AND PETROL MIXTURE </w:t>
            </w:r>
            <w:r w:rsidRPr="00364307">
              <w:rPr>
                <w:szCs w:val="16"/>
                <w:lang w:val="en-US"/>
              </w:rPr>
              <w:t>1)</w:t>
            </w:r>
          </w:p>
        </w:tc>
      </w:tr>
      <w:tr w:rsidR="00364307" w:rsidRPr="00364307" w:rsidTr="00364307">
        <w:trPr>
          <w:trHeight w:val="311"/>
        </w:trPr>
        <w:tc>
          <w:tcPr>
            <w:tcW w:w="993"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lastRenderedPageBreak/>
              <w:t> </w:t>
            </w:r>
          </w:p>
        </w:tc>
        <w:tc>
          <w:tcPr>
            <w:tcW w:w="567"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3295</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rFonts w:eastAsia="Calibri"/>
                <w:szCs w:val="22"/>
                <w:lang w:val="fr-CH"/>
              </w:rPr>
            </w:pPr>
            <w:r w:rsidRPr="00364307">
              <w:rPr>
                <w:rFonts w:eastAsia="Calibri"/>
                <w:szCs w:val="22"/>
                <w:lang w:val="fr-CH"/>
              </w:rPr>
              <w:t xml:space="preserve">HYDROCARBONS, LIQUID, N.O.S. 2) </w:t>
            </w:r>
          </w:p>
        </w:tc>
      </w:tr>
      <w:tr w:rsidR="00364307" w:rsidRPr="00364307" w:rsidTr="00364307">
        <w:trPr>
          <w:trHeight w:val="311"/>
        </w:trPr>
        <w:tc>
          <w:tcPr>
            <w:tcW w:w="993" w:type="dxa"/>
            <w:shd w:val="clear" w:color="auto" w:fill="auto"/>
            <w:noWrap/>
            <w:hideMark/>
          </w:tcPr>
          <w:p w:rsidR="00364307" w:rsidRPr="00364307" w:rsidRDefault="00364307" w:rsidP="00364307">
            <w:pPr>
              <w:suppressAutoHyphens w:val="0"/>
              <w:spacing w:before="40" w:after="120" w:line="220" w:lineRule="exact"/>
              <w:ind w:right="113"/>
              <w:rPr>
                <w:rFonts w:eastAsia="Calibri"/>
                <w:szCs w:val="22"/>
                <w:lang w:val="fr-CH"/>
              </w:rPr>
            </w:pPr>
            <w:r w:rsidRPr="00364307">
              <w:rPr>
                <w:rFonts w:eastAsia="Calibri"/>
                <w:szCs w:val="22"/>
                <w:lang w:val="fr-CH"/>
              </w:rPr>
              <w:t> </w:t>
            </w:r>
          </w:p>
        </w:tc>
        <w:tc>
          <w:tcPr>
            <w:tcW w:w="567" w:type="dxa"/>
            <w:shd w:val="clear" w:color="auto" w:fill="auto"/>
            <w:hideMark/>
          </w:tcPr>
          <w:p w:rsidR="00364307" w:rsidRPr="00364307" w:rsidRDefault="00364307" w:rsidP="00364307">
            <w:pPr>
              <w:suppressAutoHyphens w:val="0"/>
              <w:spacing w:before="40" w:after="120" w:line="220" w:lineRule="exact"/>
              <w:ind w:right="113"/>
              <w:rPr>
                <w:rFonts w:eastAsia="Calibri"/>
                <w:szCs w:val="22"/>
                <w:lang w:val="fr-CH"/>
              </w:rPr>
            </w:pPr>
            <w:r w:rsidRPr="00364307">
              <w:rPr>
                <w:rFonts w:eastAsia="Calibri"/>
                <w:szCs w:val="22"/>
                <w:lang w:val="fr-CH"/>
              </w:rPr>
              <w:t> </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Bio components, conform Annex III, RED</w:t>
            </w:r>
          </w:p>
        </w:tc>
      </w:tr>
      <w:tr w:rsidR="00364307" w:rsidRPr="00364307" w:rsidTr="00364307">
        <w:trPr>
          <w:trHeight w:val="311"/>
        </w:trPr>
        <w:tc>
          <w:tcPr>
            <w:tcW w:w="993"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67"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810"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Bio components, non Dangerous, conform Annex III, RED</w:t>
            </w:r>
          </w:p>
        </w:tc>
      </w:tr>
    </w:tbl>
    <w:p w:rsidR="00364307" w:rsidRDefault="00364307" w:rsidP="00585131">
      <w:pPr>
        <w:pStyle w:val="Heading1"/>
        <w:spacing w:before="240"/>
        <w:rPr>
          <w:rFonts w:eastAsiaTheme="minorHAnsi"/>
          <w:lang w:val="en-US"/>
        </w:rPr>
      </w:pPr>
      <w:r w:rsidRPr="00364307">
        <w:rPr>
          <w:rFonts w:eastAsiaTheme="minorHAnsi"/>
          <w:lang w:val="en-US"/>
        </w:rPr>
        <w:t xml:space="preserve">Table 2 </w:t>
      </w:r>
    </w:p>
    <w:p w:rsidR="00364307" w:rsidRPr="00364307" w:rsidRDefault="00364307" w:rsidP="00364307">
      <w:pPr>
        <w:pStyle w:val="Heading1"/>
        <w:rPr>
          <w:rFonts w:eastAsiaTheme="minorHAnsi"/>
          <w:b/>
          <w:bCs/>
          <w:lang w:val="en-US"/>
        </w:rPr>
      </w:pPr>
      <w:r w:rsidRPr="00364307">
        <w:rPr>
          <w:rFonts w:eastAsiaTheme="minorHAnsi"/>
          <w:b/>
          <w:bCs/>
          <w:lang w:val="en-US"/>
        </w:rPr>
        <w:t>Compatibility Group II</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8"/>
        <w:gridCol w:w="516"/>
        <w:gridCol w:w="6086"/>
      </w:tblGrid>
      <w:tr w:rsidR="00364307" w:rsidRPr="00364307" w:rsidTr="00364307">
        <w:trPr>
          <w:trHeight w:val="325"/>
          <w:tblHeader/>
        </w:trPr>
        <w:tc>
          <w:tcPr>
            <w:tcW w:w="768" w:type="dxa"/>
            <w:tcBorders>
              <w:top w:val="single" w:sz="4" w:space="0" w:color="auto"/>
              <w:bottom w:val="single" w:sz="12" w:space="0" w:color="auto"/>
            </w:tcBorders>
            <w:shd w:val="clear" w:color="auto" w:fill="auto"/>
            <w:noWrap/>
            <w:vAlign w:val="bottom"/>
            <w:hideMark/>
          </w:tcPr>
          <w:p w:rsidR="00364307" w:rsidRPr="00364307" w:rsidRDefault="00364307" w:rsidP="00364307">
            <w:pPr>
              <w:suppressAutoHyphens w:val="0"/>
              <w:spacing w:before="80" w:after="80" w:line="200" w:lineRule="exact"/>
              <w:ind w:right="113"/>
              <w:rPr>
                <w:i/>
                <w:sz w:val="16"/>
                <w:szCs w:val="22"/>
                <w:lang w:val="en-US"/>
              </w:rPr>
            </w:pPr>
            <w:r w:rsidRPr="00364307">
              <w:rPr>
                <w:i/>
                <w:sz w:val="16"/>
                <w:szCs w:val="22"/>
                <w:lang w:val="en-US"/>
              </w:rPr>
              <w:t>Gasoil</w:t>
            </w:r>
          </w:p>
        </w:tc>
        <w:tc>
          <w:tcPr>
            <w:tcW w:w="516" w:type="dxa"/>
            <w:tcBorders>
              <w:top w:val="single" w:sz="4" w:space="0" w:color="auto"/>
              <w:bottom w:val="single" w:sz="12" w:space="0" w:color="auto"/>
            </w:tcBorders>
            <w:shd w:val="clear" w:color="auto" w:fill="auto"/>
            <w:vAlign w:val="bottom"/>
            <w:hideMark/>
          </w:tcPr>
          <w:p w:rsidR="00364307" w:rsidRPr="00364307" w:rsidRDefault="00364307" w:rsidP="00364307">
            <w:pPr>
              <w:suppressAutoHyphens w:val="0"/>
              <w:spacing w:before="80" w:after="80" w:line="200" w:lineRule="exact"/>
              <w:ind w:right="113"/>
              <w:rPr>
                <w:i/>
                <w:sz w:val="16"/>
                <w:szCs w:val="22"/>
                <w:lang w:val="en-US"/>
              </w:rPr>
            </w:pPr>
            <w:r w:rsidRPr="00364307">
              <w:rPr>
                <w:i/>
                <w:sz w:val="16"/>
                <w:szCs w:val="22"/>
                <w:lang w:val="en-US"/>
              </w:rPr>
              <w:t>1202</w:t>
            </w:r>
          </w:p>
        </w:tc>
        <w:tc>
          <w:tcPr>
            <w:tcW w:w="6086" w:type="dxa"/>
            <w:tcBorders>
              <w:top w:val="single" w:sz="4" w:space="0" w:color="auto"/>
              <w:bottom w:val="single" w:sz="12" w:space="0" w:color="auto"/>
            </w:tcBorders>
            <w:shd w:val="clear" w:color="auto" w:fill="auto"/>
            <w:noWrap/>
            <w:vAlign w:val="bottom"/>
            <w:hideMark/>
          </w:tcPr>
          <w:p w:rsidR="00364307" w:rsidRPr="00364307" w:rsidRDefault="00364307" w:rsidP="00364307">
            <w:pPr>
              <w:suppressAutoHyphens w:val="0"/>
              <w:spacing w:before="80" w:after="80" w:line="200" w:lineRule="exact"/>
              <w:ind w:right="113"/>
              <w:rPr>
                <w:i/>
                <w:sz w:val="16"/>
                <w:szCs w:val="22"/>
                <w:lang w:val="en-US"/>
              </w:rPr>
            </w:pPr>
            <w:r w:rsidRPr="00364307">
              <w:rPr>
                <w:i/>
                <w:sz w:val="16"/>
                <w:szCs w:val="22"/>
                <w:lang w:val="en-US"/>
              </w:rPr>
              <w:t xml:space="preserve">GAS OIL or DIESEL FUEL or HEATING OIL (LIGHT) </w:t>
            </w:r>
            <w:r w:rsidRPr="00364307">
              <w:rPr>
                <w:i/>
                <w:sz w:val="16"/>
                <w:szCs w:val="16"/>
                <w:lang w:val="en-US"/>
              </w:rPr>
              <w:t>1)</w:t>
            </w:r>
          </w:p>
        </w:tc>
      </w:tr>
      <w:tr w:rsidR="00364307" w:rsidRPr="00364307" w:rsidTr="00364307">
        <w:trPr>
          <w:trHeight w:val="311"/>
        </w:trPr>
        <w:tc>
          <w:tcPr>
            <w:tcW w:w="768" w:type="dxa"/>
            <w:tcBorders>
              <w:top w:val="single" w:sz="12" w:space="0" w:color="auto"/>
            </w:tcBorders>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16" w:type="dxa"/>
            <w:tcBorders>
              <w:top w:val="single" w:sz="12" w:space="0" w:color="auto"/>
            </w:tcBorders>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6086" w:type="dxa"/>
            <w:tcBorders>
              <w:top w:val="single" w:sz="12" w:space="0" w:color="auto"/>
            </w:tcBorders>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Bio components, conform Annex III, RED</w:t>
            </w:r>
          </w:p>
        </w:tc>
      </w:tr>
      <w:tr w:rsidR="00364307" w:rsidRPr="00364307" w:rsidTr="00364307">
        <w:trPr>
          <w:trHeight w:val="311"/>
        </w:trPr>
        <w:tc>
          <w:tcPr>
            <w:tcW w:w="768"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516" w:type="dxa"/>
            <w:shd w:val="clear" w:color="auto" w:fill="auto"/>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 </w:t>
            </w:r>
          </w:p>
        </w:tc>
        <w:tc>
          <w:tcPr>
            <w:tcW w:w="6086" w:type="dxa"/>
            <w:shd w:val="clear" w:color="auto" w:fill="auto"/>
            <w:noWrap/>
            <w:hideMark/>
          </w:tcPr>
          <w:p w:rsidR="00364307" w:rsidRPr="00364307" w:rsidRDefault="00364307" w:rsidP="00364307">
            <w:pPr>
              <w:suppressAutoHyphens w:val="0"/>
              <w:spacing w:before="40" w:after="120" w:line="220" w:lineRule="exact"/>
              <w:ind w:right="113"/>
              <w:rPr>
                <w:szCs w:val="22"/>
                <w:lang w:val="en-US"/>
              </w:rPr>
            </w:pPr>
            <w:r w:rsidRPr="00364307">
              <w:rPr>
                <w:szCs w:val="22"/>
                <w:lang w:val="en-US"/>
              </w:rPr>
              <w:t>Bio components, non Dangerous, conform Annex III, RED</w:t>
            </w:r>
          </w:p>
        </w:tc>
      </w:tr>
    </w:tbl>
    <w:p w:rsidR="00364307" w:rsidRDefault="00364307" w:rsidP="00585131">
      <w:pPr>
        <w:pStyle w:val="Heading1"/>
        <w:spacing w:before="240"/>
        <w:rPr>
          <w:rFonts w:eastAsiaTheme="minorHAnsi"/>
          <w:lang w:val="en-US"/>
        </w:rPr>
      </w:pPr>
      <w:r w:rsidRPr="00364307">
        <w:rPr>
          <w:rFonts w:eastAsiaTheme="minorHAnsi"/>
          <w:lang w:val="en-US"/>
        </w:rPr>
        <w:t xml:space="preserve">Table 3 </w:t>
      </w:r>
    </w:p>
    <w:p w:rsidR="00364307" w:rsidRPr="00364307" w:rsidRDefault="00364307" w:rsidP="00364307">
      <w:pPr>
        <w:pStyle w:val="Heading1"/>
        <w:rPr>
          <w:rFonts w:eastAsiaTheme="minorHAnsi"/>
          <w:b/>
          <w:bCs/>
          <w:lang w:val="en-US"/>
        </w:rPr>
      </w:pPr>
      <w:r w:rsidRPr="00364307">
        <w:rPr>
          <w:rFonts w:eastAsiaTheme="minorHAnsi"/>
          <w:b/>
          <w:bCs/>
          <w:lang w:val="en-US"/>
        </w:rPr>
        <w:t>Compatibility Group III</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71"/>
        <w:gridCol w:w="938"/>
        <w:gridCol w:w="5561"/>
      </w:tblGrid>
      <w:tr w:rsidR="00364307" w:rsidRPr="00E97B2D" w:rsidTr="00E97B2D">
        <w:trPr>
          <w:trHeight w:val="385"/>
          <w:tblHeader/>
        </w:trPr>
        <w:tc>
          <w:tcPr>
            <w:tcW w:w="871" w:type="dxa"/>
            <w:tcBorders>
              <w:top w:val="single" w:sz="4" w:space="0" w:color="auto"/>
              <w:bottom w:val="nil"/>
            </w:tcBorders>
            <w:shd w:val="clear" w:color="auto" w:fill="auto"/>
            <w:noWrap/>
            <w:tcMar>
              <w:top w:w="0" w:type="dxa"/>
              <w:left w:w="108" w:type="dxa"/>
              <w:bottom w:w="0" w:type="dxa"/>
              <w:right w:w="108" w:type="dxa"/>
            </w:tcMar>
            <w:vAlign w:val="bottom"/>
            <w:hideMark/>
          </w:tcPr>
          <w:p w:rsidR="00364307" w:rsidRPr="00E97B2D" w:rsidRDefault="00364307" w:rsidP="00E97B2D">
            <w:pPr>
              <w:suppressAutoHyphens w:val="0"/>
              <w:spacing w:before="40" w:after="120" w:line="220" w:lineRule="exact"/>
              <w:ind w:right="113"/>
              <w:rPr>
                <w:rFonts w:eastAsia="Calibri"/>
                <w:szCs w:val="22"/>
                <w:lang w:val="en-US"/>
              </w:rPr>
            </w:pPr>
            <w:r w:rsidRPr="00E97B2D">
              <w:rPr>
                <w:rFonts w:eastAsia="Calibri"/>
                <w:szCs w:val="22"/>
                <w:lang w:val="en-US"/>
              </w:rPr>
              <w:t>Heavy Fuel Oil</w:t>
            </w:r>
          </w:p>
        </w:tc>
        <w:tc>
          <w:tcPr>
            <w:tcW w:w="938" w:type="dxa"/>
            <w:tcBorders>
              <w:top w:val="single" w:sz="4" w:space="0" w:color="auto"/>
              <w:bottom w:val="nil"/>
            </w:tcBorders>
            <w:shd w:val="clear" w:color="auto" w:fill="auto"/>
            <w:tcMar>
              <w:top w:w="0" w:type="dxa"/>
              <w:left w:w="108" w:type="dxa"/>
              <w:bottom w:w="0" w:type="dxa"/>
              <w:right w:w="108" w:type="dxa"/>
            </w:tcMar>
            <w:vAlign w:val="bottom"/>
            <w:hideMark/>
          </w:tcPr>
          <w:p w:rsidR="00364307" w:rsidRPr="00E97B2D" w:rsidRDefault="00364307" w:rsidP="00E97B2D">
            <w:pPr>
              <w:suppressAutoHyphens w:val="0"/>
              <w:spacing w:before="40" w:after="120" w:line="220" w:lineRule="exact"/>
              <w:ind w:right="113"/>
              <w:rPr>
                <w:rFonts w:eastAsia="Calibri"/>
                <w:szCs w:val="22"/>
                <w:lang w:val="en-US"/>
              </w:rPr>
            </w:pPr>
            <w:r w:rsidRPr="00E97B2D">
              <w:rPr>
                <w:rFonts w:eastAsia="Calibri"/>
                <w:szCs w:val="22"/>
                <w:lang w:val="en-US"/>
              </w:rPr>
              <w:t>3082</w:t>
            </w:r>
          </w:p>
        </w:tc>
        <w:tc>
          <w:tcPr>
            <w:tcW w:w="5561" w:type="dxa"/>
            <w:tcBorders>
              <w:top w:val="single" w:sz="4" w:space="0" w:color="auto"/>
              <w:bottom w:val="nil"/>
            </w:tcBorders>
            <w:shd w:val="clear" w:color="auto" w:fill="auto"/>
            <w:noWrap/>
            <w:tcMar>
              <w:top w:w="0" w:type="dxa"/>
              <w:left w:w="108" w:type="dxa"/>
              <w:bottom w:w="0" w:type="dxa"/>
              <w:right w:w="108" w:type="dxa"/>
            </w:tcMar>
            <w:vAlign w:val="bottom"/>
            <w:hideMark/>
          </w:tcPr>
          <w:p w:rsidR="00364307" w:rsidRPr="00E97B2D" w:rsidRDefault="00364307" w:rsidP="00E97B2D">
            <w:pPr>
              <w:suppressAutoHyphens w:val="0"/>
              <w:spacing w:before="40" w:after="120" w:line="220" w:lineRule="exact"/>
              <w:ind w:right="113"/>
              <w:rPr>
                <w:rFonts w:eastAsia="Calibri"/>
                <w:szCs w:val="22"/>
                <w:lang w:val="en-US"/>
              </w:rPr>
            </w:pPr>
            <w:r w:rsidRPr="00E97B2D">
              <w:rPr>
                <w:rFonts w:eastAsia="Calibri"/>
                <w:szCs w:val="22"/>
                <w:lang w:val="en-US"/>
              </w:rPr>
              <w:t>ENVIRONMENTALLY HAZARDOUS SUBSTANCE LIQUID, N.O.S. (HEAVY HEATING OIL) 3)</w:t>
            </w:r>
          </w:p>
        </w:tc>
      </w:tr>
      <w:tr w:rsidR="00364307" w:rsidRPr="00364307" w:rsidTr="00E97B2D">
        <w:trPr>
          <w:trHeight w:val="311"/>
        </w:trPr>
        <w:tc>
          <w:tcPr>
            <w:tcW w:w="871" w:type="dxa"/>
            <w:tcBorders>
              <w:top w:val="nil"/>
            </w:tcBorders>
            <w:shd w:val="clear" w:color="auto" w:fill="auto"/>
            <w:noWrap/>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 </w:t>
            </w:r>
          </w:p>
        </w:tc>
        <w:tc>
          <w:tcPr>
            <w:tcW w:w="938" w:type="dxa"/>
            <w:tcBorders>
              <w:top w:val="nil"/>
            </w:tcBorders>
            <w:shd w:val="clear" w:color="auto" w:fill="auto"/>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1202</w:t>
            </w:r>
          </w:p>
        </w:tc>
        <w:tc>
          <w:tcPr>
            <w:tcW w:w="5561" w:type="dxa"/>
            <w:tcBorders>
              <w:top w:val="nil"/>
            </w:tcBorders>
            <w:shd w:val="clear" w:color="auto" w:fill="auto"/>
            <w:noWrap/>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 xml:space="preserve">GAS OIL or DIESEL FUEL or HEATING OIL (LIGHT) </w:t>
            </w:r>
            <w:r w:rsidRPr="00364307">
              <w:rPr>
                <w:rFonts w:eastAsia="Calibri"/>
                <w:szCs w:val="16"/>
                <w:lang w:val="en-US"/>
              </w:rPr>
              <w:t>1)</w:t>
            </w:r>
          </w:p>
        </w:tc>
      </w:tr>
      <w:tr w:rsidR="00364307" w:rsidRPr="00364307" w:rsidTr="00364307">
        <w:trPr>
          <w:trHeight w:val="311"/>
        </w:trPr>
        <w:tc>
          <w:tcPr>
            <w:tcW w:w="871" w:type="dxa"/>
            <w:shd w:val="clear" w:color="auto" w:fill="auto"/>
            <w:noWrap/>
            <w:tcMar>
              <w:top w:w="0" w:type="dxa"/>
              <w:left w:w="108" w:type="dxa"/>
              <w:bottom w:w="0" w:type="dxa"/>
              <w:right w:w="108" w:type="dxa"/>
            </w:tcMar>
          </w:tcPr>
          <w:p w:rsidR="00364307" w:rsidRPr="00364307" w:rsidRDefault="00364307" w:rsidP="00364307">
            <w:pPr>
              <w:suppressAutoHyphens w:val="0"/>
              <w:spacing w:before="40" w:after="120" w:line="220" w:lineRule="exact"/>
              <w:ind w:right="113"/>
              <w:rPr>
                <w:rFonts w:eastAsia="Calibri"/>
                <w:szCs w:val="22"/>
                <w:lang w:val="en-US"/>
              </w:rPr>
            </w:pPr>
          </w:p>
        </w:tc>
        <w:tc>
          <w:tcPr>
            <w:tcW w:w="938" w:type="dxa"/>
            <w:shd w:val="clear" w:color="auto" w:fill="auto"/>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3256</w:t>
            </w:r>
          </w:p>
        </w:tc>
        <w:tc>
          <w:tcPr>
            <w:tcW w:w="5561" w:type="dxa"/>
            <w:shd w:val="clear" w:color="auto" w:fill="auto"/>
            <w:noWrap/>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 xml:space="preserve">ELEVATED TEMPERATURE LIQUID, FLAMMABLE, N.O.S. (with flash-point above 60C, at or above its flashpoint. </w:t>
            </w:r>
            <w:r w:rsidRPr="00364307">
              <w:rPr>
                <w:rFonts w:eastAsia="Calibri"/>
                <w:szCs w:val="16"/>
                <w:lang w:val="en-US"/>
              </w:rPr>
              <w:t>4), 5)</w:t>
            </w:r>
          </w:p>
        </w:tc>
      </w:tr>
      <w:tr w:rsidR="00364307" w:rsidRPr="00364307" w:rsidTr="00364307">
        <w:trPr>
          <w:trHeight w:val="311"/>
        </w:trPr>
        <w:tc>
          <w:tcPr>
            <w:tcW w:w="871" w:type="dxa"/>
            <w:shd w:val="clear" w:color="auto" w:fill="auto"/>
            <w:noWrap/>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 </w:t>
            </w:r>
          </w:p>
        </w:tc>
        <w:tc>
          <w:tcPr>
            <w:tcW w:w="938" w:type="dxa"/>
            <w:shd w:val="clear" w:color="auto" w:fill="auto"/>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 </w:t>
            </w:r>
          </w:p>
        </w:tc>
        <w:tc>
          <w:tcPr>
            <w:tcW w:w="5561" w:type="dxa"/>
            <w:shd w:val="clear" w:color="auto" w:fill="auto"/>
            <w:noWrap/>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Bio components, conform Annex III, RED</w:t>
            </w:r>
          </w:p>
        </w:tc>
      </w:tr>
      <w:tr w:rsidR="00364307" w:rsidRPr="00364307" w:rsidTr="00364307">
        <w:trPr>
          <w:trHeight w:val="311"/>
        </w:trPr>
        <w:tc>
          <w:tcPr>
            <w:tcW w:w="871" w:type="dxa"/>
            <w:shd w:val="clear" w:color="auto" w:fill="auto"/>
            <w:noWrap/>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 </w:t>
            </w:r>
          </w:p>
        </w:tc>
        <w:tc>
          <w:tcPr>
            <w:tcW w:w="938" w:type="dxa"/>
            <w:shd w:val="clear" w:color="auto" w:fill="auto"/>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 </w:t>
            </w:r>
          </w:p>
        </w:tc>
        <w:tc>
          <w:tcPr>
            <w:tcW w:w="5561" w:type="dxa"/>
            <w:shd w:val="clear" w:color="auto" w:fill="auto"/>
            <w:noWrap/>
            <w:tcMar>
              <w:top w:w="0" w:type="dxa"/>
              <w:left w:w="108" w:type="dxa"/>
              <w:bottom w:w="0" w:type="dxa"/>
              <w:right w:w="108" w:type="dxa"/>
            </w:tcMar>
            <w:hideMark/>
          </w:tcPr>
          <w:p w:rsidR="00364307" w:rsidRPr="00364307" w:rsidRDefault="00364307" w:rsidP="00364307">
            <w:pPr>
              <w:suppressAutoHyphens w:val="0"/>
              <w:spacing w:before="40" w:after="120" w:line="220" w:lineRule="exact"/>
              <w:ind w:right="113"/>
              <w:rPr>
                <w:rFonts w:eastAsia="Calibri"/>
                <w:szCs w:val="22"/>
                <w:lang w:val="en-US"/>
              </w:rPr>
            </w:pPr>
            <w:r w:rsidRPr="00364307">
              <w:rPr>
                <w:rFonts w:eastAsia="Calibri"/>
                <w:szCs w:val="22"/>
                <w:lang w:val="en-US"/>
              </w:rPr>
              <w:t>Bio components, non Dangerous, conform Annex III, RED</w:t>
            </w:r>
          </w:p>
        </w:tc>
      </w:tr>
    </w:tbl>
    <w:p w:rsidR="00E97B2D" w:rsidRPr="00E97B2D" w:rsidRDefault="00E97B2D" w:rsidP="00E97B2D">
      <w:pPr>
        <w:pStyle w:val="SingleTxtG"/>
        <w:rPr>
          <w:rFonts w:eastAsiaTheme="minorHAnsi"/>
          <w:sz w:val="18"/>
          <w:szCs w:val="18"/>
          <w:lang w:val="en-US"/>
        </w:rPr>
      </w:pPr>
      <w:r w:rsidRPr="00E97B2D">
        <w:rPr>
          <w:rFonts w:eastAsiaTheme="minorHAnsi"/>
          <w:sz w:val="18"/>
          <w:szCs w:val="18"/>
          <w:lang w:val="en-US"/>
        </w:rPr>
        <w:t>1) Table C : All entries under this UN number.</w:t>
      </w:r>
    </w:p>
    <w:p w:rsidR="00E97B2D" w:rsidRPr="00E97B2D" w:rsidRDefault="00E97B2D" w:rsidP="00E97B2D">
      <w:pPr>
        <w:pStyle w:val="SingleTxtG"/>
        <w:rPr>
          <w:rFonts w:eastAsiaTheme="minorHAnsi"/>
          <w:sz w:val="18"/>
          <w:szCs w:val="18"/>
          <w:lang w:val="en-US"/>
        </w:rPr>
      </w:pPr>
      <w:r w:rsidRPr="00E97B2D">
        <w:rPr>
          <w:rFonts w:eastAsiaTheme="minorHAnsi"/>
          <w:sz w:val="18"/>
          <w:szCs w:val="18"/>
          <w:lang w:val="en-US"/>
        </w:rPr>
        <w:t>2) Table C : All entries under this UN number except those assigned C-1-1 in columns (6), (7) and (8) or assigned C-1-1 as a result of 3.2.3.3.</w:t>
      </w:r>
    </w:p>
    <w:p w:rsidR="00E97B2D" w:rsidRPr="00E97B2D" w:rsidRDefault="00E97B2D" w:rsidP="00E97B2D">
      <w:pPr>
        <w:pStyle w:val="SingleTxtG"/>
        <w:rPr>
          <w:rFonts w:eastAsiaTheme="minorHAnsi"/>
          <w:sz w:val="18"/>
          <w:szCs w:val="18"/>
          <w:lang w:val="en-US"/>
        </w:rPr>
      </w:pPr>
      <w:r w:rsidRPr="00E97B2D">
        <w:rPr>
          <w:rFonts w:eastAsiaTheme="minorHAnsi"/>
          <w:sz w:val="18"/>
          <w:szCs w:val="18"/>
          <w:lang w:val="en-US"/>
        </w:rPr>
        <w:t>3) Table C : Entries 1 and 2 under this UN number</w:t>
      </w:r>
    </w:p>
    <w:p w:rsidR="00E97B2D" w:rsidRPr="00E97B2D" w:rsidRDefault="00E97B2D" w:rsidP="00E97B2D">
      <w:pPr>
        <w:pStyle w:val="SingleTxtG"/>
        <w:rPr>
          <w:rFonts w:eastAsiaTheme="minorHAnsi"/>
          <w:sz w:val="18"/>
          <w:szCs w:val="18"/>
          <w:lang w:val="en-US"/>
        </w:rPr>
      </w:pPr>
      <w:r w:rsidRPr="00E97B2D">
        <w:rPr>
          <w:rFonts w:eastAsiaTheme="minorHAnsi"/>
          <w:sz w:val="18"/>
          <w:szCs w:val="18"/>
          <w:lang w:val="en-US"/>
        </w:rPr>
        <w:t>4) Table C, UN 3256, 1</w:t>
      </w:r>
      <w:r w:rsidRPr="00E97B2D">
        <w:rPr>
          <w:rFonts w:eastAsiaTheme="minorHAnsi"/>
          <w:sz w:val="18"/>
          <w:szCs w:val="18"/>
          <w:vertAlign w:val="superscript"/>
          <w:lang w:val="en-US"/>
        </w:rPr>
        <w:t>st</w:t>
      </w:r>
      <w:r w:rsidRPr="00E97B2D">
        <w:rPr>
          <w:rFonts w:eastAsiaTheme="minorHAnsi"/>
          <w:sz w:val="18"/>
          <w:szCs w:val="18"/>
          <w:lang w:val="en-US"/>
        </w:rPr>
        <w:t xml:space="preserve"> position.</w:t>
      </w:r>
    </w:p>
    <w:p w:rsidR="00364307" w:rsidRPr="00E97B2D" w:rsidRDefault="00E97B2D" w:rsidP="00E97B2D">
      <w:pPr>
        <w:pStyle w:val="SingleTxtG"/>
        <w:rPr>
          <w:rFonts w:eastAsiaTheme="minorHAnsi"/>
          <w:sz w:val="18"/>
          <w:szCs w:val="18"/>
          <w:lang w:val="en-US"/>
        </w:rPr>
      </w:pPr>
      <w:r w:rsidRPr="00E97B2D">
        <w:rPr>
          <w:rFonts w:eastAsiaTheme="minorHAnsi"/>
          <w:sz w:val="18"/>
          <w:szCs w:val="18"/>
          <w:lang w:val="en-US"/>
        </w:rPr>
        <w:t>5) This substance explicitly refers to HEAVY HEATING OIL (UN 3082 ENVIRONMENTALLY HAZARDOUS SUBSTANCE, LIQUID, N.O.S. (HEAVY HEATING OIL)), 9 +CMR (N1,</w:t>
      </w:r>
      <w:r w:rsidR="00585131">
        <w:rPr>
          <w:rFonts w:eastAsiaTheme="minorHAnsi"/>
          <w:sz w:val="18"/>
          <w:szCs w:val="18"/>
          <w:lang w:val="en-US"/>
        </w:rPr>
        <w:t xml:space="preserve"> </w:t>
      </w:r>
      <w:r w:rsidRPr="00E97B2D">
        <w:rPr>
          <w:rFonts w:eastAsiaTheme="minorHAnsi"/>
          <w:sz w:val="18"/>
          <w:szCs w:val="18"/>
          <w:lang w:val="en-US"/>
        </w:rPr>
        <w:t>N2, F or S), III which, as a result of being loaded at a temperature at or exceeding its flashpoint, must be classified as UN 3256.</w:t>
      </w:r>
    </w:p>
    <w:p w:rsidR="00E97B2D" w:rsidRPr="00E97B2D" w:rsidRDefault="00E97B2D" w:rsidP="00E97B2D">
      <w:pPr>
        <w:pStyle w:val="SingleTxtG"/>
        <w:rPr>
          <w:rFonts w:eastAsiaTheme="minorHAnsi"/>
        </w:rPr>
      </w:pPr>
      <w:r>
        <w:rPr>
          <w:rFonts w:eastAsiaTheme="minorHAnsi"/>
          <w:lang w:val="en-US"/>
        </w:rPr>
        <w:t>3.</w:t>
      </w:r>
      <w:r>
        <w:rPr>
          <w:rFonts w:eastAsiaTheme="minorHAnsi"/>
          <w:lang w:val="en-US"/>
        </w:rPr>
        <w:tab/>
      </w:r>
      <w:r w:rsidRPr="00E97B2D">
        <w:rPr>
          <w:rFonts w:eastAsiaTheme="minorHAnsi"/>
          <w:lang w:val="en-US"/>
        </w:rPr>
        <w:t xml:space="preserve">In addition, the </w:t>
      </w:r>
      <w:r w:rsidR="00585131">
        <w:rPr>
          <w:rFonts w:eastAsiaTheme="minorHAnsi"/>
          <w:lang w:val="en-US"/>
        </w:rPr>
        <w:t xml:space="preserve">informal </w:t>
      </w:r>
      <w:r w:rsidRPr="00E97B2D">
        <w:rPr>
          <w:rFonts w:eastAsiaTheme="minorHAnsi"/>
          <w:lang w:val="en-US"/>
        </w:rPr>
        <w:t xml:space="preserve">working group invites the Safety Committee to consider the products in Table 4, as referred to in Annex III of the </w:t>
      </w:r>
      <w:r w:rsidR="00585131" w:rsidRPr="00E97B2D">
        <w:rPr>
          <w:rFonts w:eastAsiaTheme="minorHAnsi"/>
          <w:lang w:val="en-US"/>
        </w:rPr>
        <w:t>renewable energy directive</w:t>
      </w:r>
      <w:r w:rsidRPr="00E97B2D">
        <w:rPr>
          <w:rFonts w:eastAsiaTheme="minorHAnsi"/>
          <w:vertAlign w:val="superscript"/>
          <w:lang w:val="en-US"/>
        </w:rPr>
        <w:footnoteReference w:id="16"/>
      </w:r>
      <w:r w:rsidRPr="00E97B2D">
        <w:rPr>
          <w:rFonts w:eastAsiaTheme="minorHAnsi"/>
          <w:lang w:val="en-US"/>
        </w:rPr>
        <w:t xml:space="preserve"> to be allowed to load on top in inland waterway tankers, in line with 7.2.4.13.1, 3</w:t>
      </w:r>
      <w:r w:rsidRPr="00E97B2D">
        <w:rPr>
          <w:rFonts w:eastAsiaTheme="minorHAnsi"/>
          <w:vertAlign w:val="superscript"/>
          <w:lang w:val="en-US"/>
        </w:rPr>
        <w:t>rd</w:t>
      </w:r>
      <w:r w:rsidRPr="00E97B2D">
        <w:rPr>
          <w:rFonts w:eastAsiaTheme="minorHAnsi"/>
          <w:lang w:val="en-US"/>
        </w:rPr>
        <w:t xml:space="preserve"> paragraph, and in line with the definitions of “</w:t>
      </w:r>
      <w:r w:rsidRPr="00E97B2D">
        <w:rPr>
          <w:rFonts w:eastAsiaTheme="minorHAnsi"/>
          <w:i/>
          <w:lang w:val="en-US"/>
        </w:rPr>
        <w:t>exclusive transport operations</w:t>
      </w:r>
      <w:r w:rsidRPr="00E97B2D">
        <w:rPr>
          <w:rFonts w:eastAsiaTheme="minorHAnsi"/>
          <w:lang w:val="en-US"/>
        </w:rPr>
        <w:t>” and “</w:t>
      </w:r>
      <w:r w:rsidRPr="00E97B2D">
        <w:rPr>
          <w:rFonts w:eastAsiaTheme="minorHAnsi"/>
          <w:i/>
          <w:lang w:val="en-US"/>
        </w:rPr>
        <w:t>compatible transport operations</w:t>
      </w:r>
      <w:r w:rsidRPr="00E97B2D">
        <w:rPr>
          <w:rFonts w:eastAsiaTheme="minorHAnsi"/>
          <w:lang w:val="en-US"/>
        </w:rPr>
        <w:t xml:space="preserve">” as referred to in art.5.01 </w:t>
      </w:r>
      <w:r w:rsidR="00585131">
        <w:rPr>
          <w:rFonts w:eastAsiaTheme="minorHAnsi"/>
          <w:lang w:val="en-US"/>
        </w:rPr>
        <w:t xml:space="preserve">of the </w:t>
      </w:r>
      <w:r w:rsidRPr="00E97B2D">
        <w:rPr>
          <w:rFonts w:eastAsiaTheme="minorHAnsi"/>
          <w:lang w:val="en-US"/>
        </w:rPr>
        <w:t xml:space="preserve">CDNI and under the strict condition </w:t>
      </w:r>
      <w:r w:rsidRPr="00E97B2D">
        <w:rPr>
          <w:rFonts w:eastAsiaTheme="minorHAnsi"/>
          <w:lang w:val="en-US"/>
        </w:rPr>
        <w:lastRenderedPageBreak/>
        <w:t>that subject substances and the commingled substance are included on the ships substance list as referred to in 1.16.1.2.5:</w:t>
      </w:r>
    </w:p>
    <w:p w:rsidR="00E97B2D" w:rsidRDefault="00E97B2D" w:rsidP="00585131">
      <w:pPr>
        <w:pStyle w:val="Heading1"/>
        <w:keepNext/>
        <w:keepLines/>
        <w:spacing w:before="240"/>
        <w:rPr>
          <w:rFonts w:eastAsiaTheme="minorHAnsi"/>
          <w:lang w:val="en-US"/>
        </w:rPr>
      </w:pPr>
      <w:r w:rsidRPr="00E97B2D">
        <w:rPr>
          <w:rFonts w:eastAsiaTheme="minorHAnsi"/>
          <w:lang w:val="en-US"/>
        </w:rPr>
        <w:t>T</w:t>
      </w:r>
      <w:r>
        <w:rPr>
          <w:rFonts w:eastAsiaTheme="minorHAnsi"/>
          <w:lang w:val="en-US"/>
        </w:rPr>
        <w:t xml:space="preserve">able 4 </w:t>
      </w:r>
    </w:p>
    <w:p w:rsidR="00364307" w:rsidRPr="00E97B2D" w:rsidRDefault="00E97B2D" w:rsidP="00E97B2D">
      <w:pPr>
        <w:pStyle w:val="Heading1"/>
        <w:keepNext/>
        <w:keepLines/>
        <w:rPr>
          <w:rFonts w:eastAsiaTheme="minorHAnsi"/>
          <w:b/>
          <w:bCs/>
          <w:lang w:val="en-US"/>
        </w:rPr>
      </w:pPr>
      <w:r w:rsidRPr="00E97B2D">
        <w:rPr>
          <w:rFonts w:eastAsiaTheme="minorHAnsi"/>
          <w:b/>
          <w:bCs/>
          <w:lang w:val="en-US"/>
        </w:rPr>
        <w:t>RED group</w:t>
      </w:r>
    </w:p>
    <w:tbl>
      <w:tblPr>
        <w:tblW w:w="7370" w:type="dxa"/>
        <w:tblInd w:w="1134" w:type="dxa"/>
        <w:tblBorders>
          <w:top w:val="single" w:sz="2" w:space="0" w:color="auto"/>
          <w:bottom w:val="single" w:sz="12" w:space="0" w:color="auto"/>
        </w:tblBorders>
        <w:tblLayout w:type="fixed"/>
        <w:tblCellMar>
          <w:left w:w="0" w:type="dxa"/>
          <w:right w:w="0" w:type="dxa"/>
        </w:tblCellMar>
        <w:tblLook w:val="0000" w:firstRow="0" w:lastRow="0" w:firstColumn="0" w:lastColumn="0" w:noHBand="0" w:noVBand="0"/>
      </w:tblPr>
      <w:tblGrid>
        <w:gridCol w:w="7370"/>
      </w:tblGrid>
      <w:tr w:rsidR="00E97B2D" w:rsidRPr="00E97B2D" w:rsidTr="00E97B2D">
        <w:trPr>
          <w:trHeight w:val="103"/>
        </w:trPr>
        <w:tc>
          <w:tcPr>
            <w:tcW w:w="7370" w:type="dxa"/>
            <w:shd w:val="clear" w:color="auto" w:fill="auto"/>
          </w:tcPr>
          <w:p w:rsidR="00E97B2D" w:rsidRPr="00E97B2D" w:rsidRDefault="00E97B2D" w:rsidP="00E97B2D">
            <w:pPr>
              <w:keepNext/>
              <w:keepLines/>
              <w:numPr>
                <w:ilvl w:val="0"/>
                <w:numId w:val="29"/>
              </w:numPr>
              <w:suppressAutoHyphens w:val="0"/>
              <w:autoSpaceDE w:val="0"/>
              <w:autoSpaceDN w:val="0"/>
              <w:adjustRightInd w:val="0"/>
              <w:spacing w:before="40" w:after="120" w:line="220" w:lineRule="exact"/>
              <w:ind w:left="0" w:right="113" w:firstLine="0"/>
              <w:contextualSpacing/>
              <w:rPr>
                <w:rFonts w:eastAsia="Calibri"/>
                <w:szCs w:val="17"/>
                <w:lang w:val="en-US"/>
              </w:rPr>
            </w:pPr>
            <w:r w:rsidRPr="00E97B2D">
              <w:rPr>
                <w:rFonts w:eastAsia="Calibri"/>
                <w:szCs w:val="17"/>
                <w:lang w:val="en-US"/>
              </w:rPr>
              <w:t>Bioethanol (ethanol produced from biomass)</w:t>
            </w:r>
          </w:p>
        </w:tc>
      </w:tr>
      <w:tr w:rsidR="00E97B2D" w:rsidRPr="00E97B2D" w:rsidTr="00E97B2D">
        <w:trPr>
          <w:trHeight w:val="199"/>
        </w:trPr>
        <w:tc>
          <w:tcPr>
            <w:tcW w:w="7370" w:type="dxa"/>
            <w:shd w:val="clear" w:color="auto" w:fill="auto"/>
          </w:tcPr>
          <w:p w:rsidR="00E97B2D" w:rsidRPr="00E97B2D" w:rsidRDefault="00E97B2D" w:rsidP="00E97B2D">
            <w:pPr>
              <w:keepNext/>
              <w:keepLines/>
              <w:numPr>
                <w:ilvl w:val="0"/>
                <w:numId w:val="29"/>
              </w:numPr>
              <w:suppressAutoHyphens w:val="0"/>
              <w:autoSpaceDE w:val="0"/>
              <w:autoSpaceDN w:val="0"/>
              <w:adjustRightInd w:val="0"/>
              <w:spacing w:before="40" w:after="120" w:line="220" w:lineRule="exact"/>
              <w:ind w:left="0" w:right="113" w:firstLine="0"/>
              <w:contextualSpacing/>
              <w:rPr>
                <w:rFonts w:eastAsia="Calibri"/>
                <w:szCs w:val="17"/>
                <w:lang w:val="en-US"/>
              </w:rPr>
            </w:pPr>
            <w:r w:rsidRPr="00E97B2D">
              <w:rPr>
                <w:rFonts w:eastAsia="Calibri"/>
                <w:szCs w:val="17"/>
                <w:lang w:val="en-US"/>
              </w:rPr>
              <w:t>Bio-ETBE (ethyl-tertio-butyl-ether produced on the basis of bioethanol)</w:t>
            </w:r>
          </w:p>
        </w:tc>
      </w:tr>
      <w:tr w:rsidR="00E97B2D" w:rsidRPr="00E97B2D" w:rsidTr="00E97B2D">
        <w:trPr>
          <w:trHeight w:val="199"/>
        </w:trPr>
        <w:tc>
          <w:tcPr>
            <w:tcW w:w="7370" w:type="dxa"/>
            <w:shd w:val="clear" w:color="auto" w:fill="auto"/>
          </w:tcPr>
          <w:p w:rsidR="00E97B2D" w:rsidRPr="00E97B2D" w:rsidRDefault="00E97B2D" w:rsidP="00E97B2D">
            <w:pPr>
              <w:keepNext/>
              <w:keepLines/>
              <w:numPr>
                <w:ilvl w:val="0"/>
                <w:numId w:val="29"/>
              </w:numPr>
              <w:suppressAutoHyphens w:val="0"/>
              <w:autoSpaceDE w:val="0"/>
              <w:autoSpaceDN w:val="0"/>
              <w:adjustRightInd w:val="0"/>
              <w:spacing w:before="40" w:after="120" w:line="220" w:lineRule="exact"/>
              <w:ind w:left="0" w:right="113" w:firstLine="0"/>
              <w:contextualSpacing/>
              <w:rPr>
                <w:rFonts w:eastAsia="Calibri"/>
                <w:szCs w:val="17"/>
                <w:lang w:val="en-US"/>
              </w:rPr>
            </w:pPr>
            <w:r w:rsidRPr="00E97B2D">
              <w:rPr>
                <w:rFonts w:eastAsia="Calibri"/>
                <w:szCs w:val="17"/>
                <w:lang w:val="en-US"/>
              </w:rPr>
              <w:t>Biomethanol (methanol produced from biomass, to be used as biofuel)</w:t>
            </w:r>
          </w:p>
        </w:tc>
      </w:tr>
      <w:tr w:rsidR="00E97B2D" w:rsidRPr="00E97B2D" w:rsidTr="00E97B2D">
        <w:trPr>
          <w:trHeight w:val="63"/>
        </w:trPr>
        <w:tc>
          <w:tcPr>
            <w:tcW w:w="7370" w:type="dxa"/>
            <w:shd w:val="clear" w:color="auto" w:fill="auto"/>
          </w:tcPr>
          <w:p w:rsidR="00E97B2D" w:rsidRPr="00E97B2D" w:rsidRDefault="00E97B2D" w:rsidP="00E97B2D">
            <w:pPr>
              <w:numPr>
                <w:ilvl w:val="0"/>
                <w:numId w:val="29"/>
              </w:numPr>
              <w:suppressAutoHyphens w:val="0"/>
              <w:autoSpaceDE w:val="0"/>
              <w:autoSpaceDN w:val="0"/>
              <w:adjustRightInd w:val="0"/>
              <w:spacing w:before="40" w:after="120" w:line="220" w:lineRule="exact"/>
              <w:ind w:left="0" w:right="113" w:firstLine="0"/>
              <w:contextualSpacing/>
              <w:rPr>
                <w:rFonts w:eastAsia="Calibri"/>
                <w:szCs w:val="17"/>
                <w:lang w:val="en-US"/>
              </w:rPr>
            </w:pPr>
            <w:r w:rsidRPr="00E97B2D">
              <w:rPr>
                <w:rFonts w:eastAsia="Calibri"/>
                <w:szCs w:val="17"/>
                <w:lang w:val="en-US"/>
              </w:rPr>
              <w:t>Bio-MTBE (methyl-tertio-butyl-ether produced on the basis of bio-methanol)</w:t>
            </w:r>
          </w:p>
        </w:tc>
      </w:tr>
      <w:tr w:rsidR="00E97B2D" w:rsidRPr="00E97B2D" w:rsidTr="00E97B2D">
        <w:trPr>
          <w:trHeight w:val="199"/>
        </w:trPr>
        <w:tc>
          <w:tcPr>
            <w:tcW w:w="7370" w:type="dxa"/>
            <w:shd w:val="clear" w:color="auto" w:fill="auto"/>
          </w:tcPr>
          <w:p w:rsidR="00E97B2D" w:rsidRPr="00E97B2D" w:rsidRDefault="00E97B2D" w:rsidP="00E97B2D">
            <w:pPr>
              <w:numPr>
                <w:ilvl w:val="0"/>
                <w:numId w:val="29"/>
              </w:numPr>
              <w:suppressAutoHyphens w:val="0"/>
              <w:autoSpaceDE w:val="0"/>
              <w:autoSpaceDN w:val="0"/>
              <w:adjustRightInd w:val="0"/>
              <w:spacing w:before="40" w:after="120" w:line="220" w:lineRule="exact"/>
              <w:ind w:left="0" w:right="113" w:firstLine="0"/>
              <w:contextualSpacing/>
              <w:rPr>
                <w:rFonts w:eastAsia="Calibri"/>
                <w:szCs w:val="17"/>
                <w:lang w:val="en-US"/>
              </w:rPr>
            </w:pPr>
            <w:r w:rsidRPr="00E97B2D">
              <w:rPr>
                <w:rFonts w:eastAsia="Calibri"/>
                <w:szCs w:val="17"/>
                <w:lang w:val="en-US"/>
              </w:rPr>
              <w:t>Bio-DME (dimethylether produced from biomass, to be used as biofuel)</w:t>
            </w:r>
          </w:p>
        </w:tc>
      </w:tr>
      <w:tr w:rsidR="00E97B2D" w:rsidRPr="00E97B2D" w:rsidTr="00E97B2D">
        <w:trPr>
          <w:trHeight w:val="199"/>
        </w:trPr>
        <w:tc>
          <w:tcPr>
            <w:tcW w:w="7370" w:type="dxa"/>
            <w:shd w:val="clear" w:color="auto" w:fill="auto"/>
          </w:tcPr>
          <w:p w:rsidR="00E97B2D" w:rsidRPr="00E97B2D" w:rsidRDefault="00E97B2D" w:rsidP="00E97B2D">
            <w:pPr>
              <w:numPr>
                <w:ilvl w:val="0"/>
                <w:numId w:val="29"/>
              </w:numPr>
              <w:suppressAutoHyphens w:val="0"/>
              <w:autoSpaceDE w:val="0"/>
              <w:autoSpaceDN w:val="0"/>
              <w:adjustRightInd w:val="0"/>
              <w:spacing w:before="40" w:after="120" w:line="220" w:lineRule="exact"/>
              <w:ind w:left="0" w:right="113" w:firstLine="0"/>
              <w:contextualSpacing/>
              <w:rPr>
                <w:rFonts w:eastAsia="Calibri"/>
                <w:szCs w:val="17"/>
                <w:lang w:val="en-US"/>
              </w:rPr>
            </w:pPr>
            <w:r w:rsidRPr="00E97B2D">
              <w:rPr>
                <w:rFonts w:eastAsia="Calibri"/>
                <w:szCs w:val="17"/>
                <w:lang w:val="en-US"/>
              </w:rPr>
              <w:t>Bio-TAEE (tertiary-amyl-ethyl-ether produced on the basis of bioethanol)</w:t>
            </w:r>
          </w:p>
        </w:tc>
      </w:tr>
      <w:tr w:rsidR="00E97B2D" w:rsidRPr="00E97B2D" w:rsidTr="00E97B2D">
        <w:trPr>
          <w:trHeight w:val="199"/>
        </w:trPr>
        <w:tc>
          <w:tcPr>
            <w:tcW w:w="7370" w:type="dxa"/>
            <w:shd w:val="clear" w:color="auto" w:fill="auto"/>
          </w:tcPr>
          <w:p w:rsidR="00E97B2D" w:rsidRPr="00E97B2D" w:rsidRDefault="00E97B2D" w:rsidP="00E97B2D">
            <w:pPr>
              <w:numPr>
                <w:ilvl w:val="0"/>
                <w:numId w:val="29"/>
              </w:numPr>
              <w:suppressAutoHyphens w:val="0"/>
              <w:autoSpaceDE w:val="0"/>
              <w:autoSpaceDN w:val="0"/>
              <w:adjustRightInd w:val="0"/>
              <w:spacing w:before="40" w:after="120" w:line="220" w:lineRule="exact"/>
              <w:ind w:left="0" w:right="113" w:firstLine="0"/>
              <w:contextualSpacing/>
              <w:rPr>
                <w:rFonts w:eastAsia="Calibri"/>
                <w:szCs w:val="17"/>
                <w:lang w:val="en-US"/>
              </w:rPr>
            </w:pPr>
            <w:r w:rsidRPr="00E97B2D">
              <w:rPr>
                <w:rFonts w:eastAsia="Calibri"/>
                <w:szCs w:val="17"/>
                <w:lang w:val="en-US"/>
              </w:rPr>
              <w:t>Biobutanol (butanol produced from biomass, to be used as biofuel)</w:t>
            </w:r>
          </w:p>
        </w:tc>
      </w:tr>
      <w:tr w:rsidR="00E97B2D" w:rsidRPr="00E97B2D" w:rsidTr="00E97B2D">
        <w:trPr>
          <w:trHeight w:val="199"/>
        </w:trPr>
        <w:tc>
          <w:tcPr>
            <w:tcW w:w="7370" w:type="dxa"/>
            <w:shd w:val="clear" w:color="auto" w:fill="auto"/>
          </w:tcPr>
          <w:p w:rsidR="00E97B2D" w:rsidRPr="00E97B2D" w:rsidRDefault="00E97B2D" w:rsidP="00585131">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lang w:val="en-US"/>
              </w:rPr>
            </w:pPr>
            <w:r w:rsidRPr="00E97B2D">
              <w:rPr>
                <w:rFonts w:eastAsia="Calibri"/>
                <w:szCs w:val="17"/>
                <w:lang w:val="en-US"/>
              </w:rPr>
              <w:t>Biodiesel (methyl-ester produced from vegetable or animal oil, of diesel quality, to be used as biofuel)</w:t>
            </w:r>
          </w:p>
        </w:tc>
      </w:tr>
      <w:tr w:rsidR="00E97B2D" w:rsidRPr="00E97B2D" w:rsidTr="00E97B2D">
        <w:trPr>
          <w:trHeight w:val="199"/>
        </w:trPr>
        <w:tc>
          <w:tcPr>
            <w:tcW w:w="7370" w:type="dxa"/>
            <w:shd w:val="clear" w:color="auto" w:fill="auto"/>
          </w:tcPr>
          <w:p w:rsidR="00E97B2D" w:rsidRPr="00E97B2D" w:rsidRDefault="00E97B2D" w:rsidP="00585131">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lang w:val="en-US"/>
              </w:rPr>
            </w:pPr>
            <w:r w:rsidRPr="00E97B2D">
              <w:rPr>
                <w:rFonts w:eastAsia="Calibri"/>
                <w:szCs w:val="17"/>
                <w:lang w:val="en-US"/>
              </w:rPr>
              <w:t>Fischer-Tropsch diesel (a synthetic hydrocarbon or mixture of synthetic hydrocarbons produced from biomass)</w:t>
            </w:r>
          </w:p>
        </w:tc>
      </w:tr>
      <w:tr w:rsidR="00E97B2D" w:rsidRPr="00E97B2D" w:rsidTr="00E97B2D">
        <w:trPr>
          <w:trHeight w:val="199"/>
        </w:trPr>
        <w:tc>
          <w:tcPr>
            <w:tcW w:w="7370" w:type="dxa"/>
            <w:shd w:val="clear" w:color="auto" w:fill="auto"/>
          </w:tcPr>
          <w:p w:rsidR="00E97B2D" w:rsidRPr="00E97B2D" w:rsidRDefault="00E97B2D" w:rsidP="00585131">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lang w:val="en-US"/>
              </w:rPr>
            </w:pPr>
            <w:r w:rsidRPr="00E97B2D">
              <w:rPr>
                <w:rFonts w:eastAsia="Calibri"/>
                <w:szCs w:val="17"/>
                <w:lang w:val="en-US"/>
              </w:rPr>
              <w:t>Hydrotreated vegetable oil (vegetable oil thermochemically treated with hydrogen)</w:t>
            </w:r>
          </w:p>
        </w:tc>
      </w:tr>
      <w:tr w:rsidR="00E97B2D" w:rsidRPr="00E97B2D" w:rsidTr="00E97B2D">
        <w:trPr>
          <w:trHeight w:val="390"/>
        </w:trPr>
        <w:tc>
          <w:tcPr>
            <w:tcW w:w="7370" w:type="dxa"/>
            <w:shd w:val="clear" w:color="auto" w:fill="auto"/>
          </w:tcPr>
          <w:p w:rsidR="00E97B2D" w:rsidRPr="00E97B2D" w:rsidRDefault="00E97B2D" w:rsidP="00585131">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lang w:val="en-US"/>
              </w:rPr>
            </w:pPr>
            <w:r w:rsidRPr="00E97B2D">
              <w:rPr>
                <w:rFonts w:eastAsia="Calibri"/>
                <w:szCs w:val="17"/>
                <w:lang w:val="en-US"/>
              </w:rPr>
              <w:t>Pure vegetable oil (oil produced from oil plants through pressing, extraction or comparable procedures, crude or refined but chemically unmodified, when compatible with the type of engines involved and the corresponding emission requirements)</w:t>
            </w:r>
          </w:p>
        </w:tc>
      </w:tr>
      <w:tr w:rsidR="00E97B2D" w:rsidRPr="00E97B2D" w:rsidTr="00E97B2D">
        <w:trPr>
          <w:trHeight w:val="294"/>
        </w:trPr>
        <w:tc>
          <w:tcPr>
            <w:tcW w:w="7370" w:type="dxa"/>
            <w:shd w:val="clear" w:color="auto" w:fill="auto"/>
          </w:tcPr>
          <w:p w:rsidR="00E97B2D" w:rsidRPr="00E97B2D" w:rsidRDefault="00E97B2D" w:rsidP="00585131">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lang w:val="en-US"/>
              </w:rPr>
            </w:pPr>
            <w:r w:rsidRPr="00E97B2D">
              <w:rPr>
                <w:rFonts w:eastAsia="Calibri"/>
                <w:szCs w:val="17"/>
                <w:lang w:val="en-US"/>
              </w:rPr>
              <w:t>Biogas (a fuel gas produced from biomass and/or from the biodegradable fraction of waste, that can be purified to natural gas quality, to be used as biofuel, or wood gas)</w:t>
            </w:r>
          </w:p>
        </w:tc>
      </w:tr>
      <w:tr w:rsidR="00E97B2D" w:rsidRPr="00E97B2D" w:rsidTr="00E97B2D">
        <w:trPr>
          <w:trHeight w:val="103"/>
        </w:trPr>
        <w:tc>
          <w:tcPr>
            <w:tcW w:w="7370" w:type="dxa"/>
            <w:shd w:val="clear" w:color="auto" w:fill="auto"/>
          </w:tcPr>
          <w:p w:rsidR="00E97B2D" w:rsidRPr="00E97B2D" w:rsidRDefault="00E97B2D" w:rsidP="00E97B2D">
            <w:pPr>
              <w:numPr>
                <w:ilvl w:val="0"/>
                <w:numId w:val="29"/>
              </w:numPr>
              <w:suppressAutoHyphens w:val="0"/>
              <w:autoSpaceDE w:val="0"/>
              <w:autoSpaceDN w:val="0"/>
              <w:adjustRightInd w:val="0"/>
              <w:spacing w:before="40" w:after="120" w:line="220" w:lineRule="exact"/>
              <w:ind w:left="0" w:right="113" w:firstLine="0"/>
              <w:contextualSpacing/>
              <w:rPr>
                <w:rFonts w:eastAsia="Calibri"/>
                <w:szCs w:val="17"/>
                <w:lang w:val="en-US"/>
              </w:rPr>
            </w:pPr>
            <w:r w:rsidRPr="00E97B2D">
              <w:rPr>
                <w:rFonts w:eastAsia="Calibri"/>
                <w:szCs w:val="17"/>
                <w:lang w:val="en-US"/>
              </w:rPr>
              <w:t>Petrol</w:t>
            </w:r>
          </w:p>
        </w:tc>
      </w:tr>
      <w:tr w:rsidR="00E97B2D" w:rsidRPr="00E97B2D" w:rsidTr="00E97B2D">
        <w:trPr>
          <w:trHeight w:val="103"/>
        </w:trPr>
        <w:tc>
          <w:tcPr>
            <w:tcW w:w="7370" w:type="dxa"/>
            <w:shd w:val="clear" w:color="auto" w:fill="auto"/>
          </w:tcPr>
          <w:p w:rsidR="00E97B2D" w:rsidRPr="00E97B2D" w:rsidRDefault="00E97B2D" w:rsidP="00E97B2D">
            <w:pPr>
              <w:numPr>
                <w:ilvl w:val="0"/>
                <w:numId w:val="29"/>
              </w:numPr>
              <w:suppressAutoHyphens w:val="0"/>
              <w:autoSpaceDE w:val="0"/>
              <w:autoSpaceDN w:val="0"/>
              <w:adjustRightInd w:val="0"/>
              <w:spacing w:before="40" w:after="120" w:line="220" w:lineRule="exact"/>
              <w:ind w:left="0" w:right="113" w:firstLine="0"/>
              <w:contextualSpacing/>
              <w:rPr>
                <w:rFonts w:eastAsia="Calibri"/>
                <w:szCs w:val="17"/>
                <w:lang w:val="en-US"/>
              </w:rPr>
            </w:pPr>
            <w:r w:rsidRPr="00E97B2D">
              <w:rPr>
                <w:rFonts w:eastAsia="Calibri"/>
                <w:szCs w:val="17"/>
                <w:lang w:val="en-US"/>
              </w:rPr>
              <w:t>Diesel</w:t>
            </w:r>
          </w:p>
        </w:tc>
      </w:tr>
    </w:tbl>
    <w:p w:rsidR="00364307" w:rsidRPr="00E97B2D" w:rsidRDefault="00E97B2D" w:rsidP="00E97B2D">
      <w:pPr>
        <w:pStyle w:val="SingleTxtG"/>
        <w:rPr>
          <w:rFonts w:eastAsiaTheme="minorHAnsi"/>
        </w:rPr>
      </w:pPr>
      <w:r w:rsidRPr="00E97B2D">
        <w:rPr>
          <w:rFonts w:eastAsiaTheme="minorHAnsi"/>
          <w:i/>
          <w:iCs/>
        </w:rPr>
        <w:t xml:space="preserve">Note </w:t>
      </w:r>
      <w:r w:rsidRPr="00E97B2D">
        <w:rPr>
          <w:rFonts w:eastAsiaTheme="minorHAnsi"/>
        </w:rPr>
        <w:t>: Classification of the commingled substance is described in Annex IV.</w:t>
      </w:r>
    </w:p>
    <w:p w:rsidR="00E97B2D" w:rsidRPr="00E97B2D" w:rsidRDefault="00E97B2D" w:rsidP="00E97B2D">
      <w:pPr>
        <w:pStyle w:val="H1G"/>
        <w:rPr>
          <w:rFonts w:eastAsiaTheme="minorHAnsi"/>
        </w:rPr>
      </w:pPr>
      <w:r>
        <w:rPr>
          <w:rFonts w:eastAsiaTheme="minorHAnsi"/>
        </w:rPr>
        <w:tab/>
        <w:t>II.</w:t>
      </w:r>
      <w:r>
        <w:rPr>
          <w:rFonts w:eastAsiaTheme="minorHAnsi"/>
        </w:rPr>
        <w:tab/>
      </w:r>
      <w:r w:rsidRPr="00E97B2D">
        <w:rPr>
          <w:rFonts w:eastAsiaTheme="minorHAnsi"/>
        </w:rPr>
        <w:t>Examples of loading on top in inland waterway tankers</w:t>
      </w:r>
    </w:p>
    <w:p w:rsidR="00E97B2D" w:rsidRPr="00E97B2D" w:rsidRDefault="00E97B2D" w:rsidP="00E97B2D">
      <w:pPr>
        <w:pStyle w:val="SingleTxtG"/>
        <w:rPr>
          <w:rFonts w:eastAsiaTheme="minorHAnsi"/>
        </w:rPr>
      </w:pPr>
      <w:r>
        <w:rPr>
          <w:rFonts w:eastAsiaTheme="minorHAnsi"/>
        </w:rPr>
        <w:t>1.</w:t>
      </w:r>
      <w:r>
        <w:rPr>
          <w:rFonts w:eastAsiaTheme="minorHAnsi"/>
        </w:rPr>
        <w:tab/>
      </w:r>
      <w:r w:rsidRPr="00E97B2D">
        <w:rPr>
          <w:rFonts w:eastAsiaTheme="minorHAnsi"/>
        </w:rPr>
        <w:t xml:space="preserve">The </w:t>
      </w:r>
      <w:r w:rsidR="00585131">
        <w:rPr>
          <w:rFonts w:eastAsiaTheme="minorHAnsi"/>
        </w:rPr>
        <w:t>i</w:t>
      </w:r>
      <w:r w:rsidRPr="00E97B2D">
        <w:rPr>
          <w:rFonts w:eastAsiaTheme="minorHAnsi"/>
        </w:rPr>
        <w:t xml:space="preserve">nformal </w:t>
      </w:r>
      <w:r w:rsidR="00585131">
        <w:rPr>
          <w:rFonts w:eastAsiaTheme="minorHAnsi"/>
        </w:rPr>
        <w:t>w</w:t>
      </w:r>
      <w:r w:rsidRPr="00E97B2D">
        <w:rPr>
          <w:rFonts w:eastAsiaTheme="minorHAnsi"/>
        </w:rPr>
        <w:t xml:space="preserve">orking </w:t>
      </w:r>
      <w:r w:rsidR="00585131">
        <w:rPr>
          <w:rFonts w:eastAsiaTheme="minorHAnsi"/>
        </w:rPr>
        <w:t>g</w:t>
      </w:r>
      <w:r w:rsidRPr="00E97B2D">
        <w:rPr>
          <w:rFonts w:eastAsiaTheme="minorHAnsi"/>
        </w:rPr>
        <w:t xml:space="preserve">roup </w:t>
      </w:r>
      <w:r w:rsidR="00F744A4">
        <w:rPr>
          <w:rFonts w:eastAsiaTheme="minorHAnsi"/>
        </w:rPr>
        <w:t>l</w:t>
      </w:r>
      <w:r w:rsidRPr="00E97B2D">
        <w:rPr>
          <w:rFonts w:eastAsiaTheme="minorHAnsi"/>
        </w:rPr>
        <w:t xml:space="preserve">oading on </w:t>
      </w:r>
      <w:r w:rsidR="00F744A4">
        <w:rPr>
          <w:rFonts w:eastAsiaTheme="minorHAnsi"/>
        </w:rPr>
        <w:t>t</w:t>
      </w:r>
      <w:r w:rsidRPr="00E97B2D">
        <w:rPr>
          <w:rFonts w:eastAsiaTheme="minorHAnsi"/>
        </w:rPr>
        <w:t xml:space="preserve">op in </w:t>
      </w:r>
      <w:r w:rsidR="00F744A4">
        <w:rPr>
          <w:rFonts w:eastAsiaTheme="minorHAnsi"/>
        </w:rPr>
        <w:t>b</w:t>
      </w:r>
      <w:r w:rsidRPr="00E97B2D">
        <w:rPr>
          <w:rFonts w:eastAsiaTheme="minorHAnsi"/>
        </w:rPr>
        <w:t xml:space="preserve">arges invites the Safety Committee to consider the following examples of </w:t>
      </w:r>
      <w:r w:rsidR="00585131">
        <w:rPr>
          <w:rFonts w:eastAsiaTheme="minorHAnsi"/>
        </w:rPr>
        <w:t>l</w:t>
      </w:r>
      <w:r w:rsidRPr="00E97B2D">
        <w:rPr>
          <w:rFonts w:eastAsiaTheme="minorHAnsi"/>
        </w:rPr>
        <w:t xml:space="preserve">oading on </w:t>
      </w:r>
      <w:r w:rsidR="00585131">
        <w:rPr>
          <w:rFonts w:eastAsiaTheme="minorHAnsi"/>
        </w:rPr>
        <w:t>t</w:t>
      </w:r>
      <w:r w:rsidRPr="00E97B2D">
        <w:rPr>
          <w:rFonts w:eastAsiaTheme="minorHAnsi"/>
        </w:rPr>
        <w:t>op in inland waterway tankers.</w:t>
      </w:r>
      <w:r>
        <w:rPr>
          <w:rFonts w:eastAsiaTheme="minorHAnsi"/>
        </w:rPr>
        <w:t xml:space="preserve"> </w:t>
      </w:r>
      <w:r w:rsidRPr="00E97B2D">
        <w:rPr>
          <w:rFonts w:eastAsiaTheme="minorHAnsi"/>
        </w:rPr>
        <w:t xml:space="preserve">It should be noted that the loading of substance 1 and 2 can be at a different loading sites and/or from different shore tanks at the same loading site, taking into account notes 1), 2) and 3) to </w:t>
      </w:r>
      <w:r w:rsidR="00585131">
        <w:rPr>
          <w:rFonts w:eastAsiaTheme="minorHAnsi"/>
        </w:rPr>
        <w:t>the</w:t>
      </w:r>
      <w:r w:rsidRPr="00E97B2D">
        <w:rPr>
          <w:rFonts w:eastAsiaTheme="minorHAnsi"/>
        </w:rPr>
        <w:t xml:space="preserve"> aforementioned Tables 1, 2, 3; and Table 4 as well as 7.2.4.7 </w:t>
      </w:r>
      <w:r w:rsidR="00585131">
        <w:rPr>
          <w:rFonts w:eastAsiaTheme="minorHAnsi"/>
        </w:rPr>
        <w:t xml:space="preserve">of ADN </w:t>
      </w:r>
      <w:r w:rsidRPr="00E97B2D">
        <w:rPr>
          <w:rFonts w:eastAsiaTheme="minorHAnsi"/>
        </w:rPr>
        <w:t xml:space="preserve">(Places of </w:t>
      </w:r>
      <w:r w:rsidR="00585131">
        <w:rPr>
          <w:rFonts w:eastAsiaTheme="minorHAnsi"/>
        </w:rPr>
        <w:t>l</w:t>
      </w:r>
      <w:r w:rsidRPr="00E97B2D">
        <w:rPr>
          <w:rFonts w:eastAsiaTheme="minorHAnsi"/>
        </w:rPr>
        <w:t xml:space="preserve">oading and </w:t>
      </w:r>
      <w:r w:rsidR="00585131">
        <w:rPr>
          <w:rFonts w:eastAsiaTheme="minorHAnsi"/>
        </w:rPr>
        <w:t>u</w:t>
      </w:r>
      <w:r w:rsidRPr="00E97B2D">
        <w:rPr>
          <w:rFonts w:eastAsiaTheme="minorHAnsi"/>
        </w:rPr>
        <w:t>nloading) and 7.2.4.9 (Cargo transfer operation)</w:t>
      </w:r>
      <w:r w:rsidR="00585131">
        <w:rPr>
          <w:rFonts w:eastAsiaTheme="minorHAnsi"/>
        </w:rPr>
        <w:t>.</w:t>
      </w:r>
    </w:p>
    <w:p w:rsidR="00E97B2D" w:rsidRPr="00E97B2D" w:rsidRDefault="00E97B2D" w:rsidP="00E97B2D">
      <w:pPr>
        <w:pStyle w:val="SingleTxtG"/>
        <w:rPr>
          <w:rFonts w:eastAsiaTheme="minorHAnsi"/>
        </w:rPr>
      </w:pPr>
      <w:r>
        <w:rPr>
          <w:rFonts w:eastAsiaTheme="minorHAnsi"/>
        </w:rPr>
        <w:t>2.</w:t>
      </w:r>
      <w:r>
        <w:rPr>
          <w:rFonts w:eastAsiaTheme="minorHAnsi"/>
        </w:rPr>
        <w:tab/>
      </w:r>
      <w:r w:rsidRPr="00E97B2D">
        <w:rPr>
          <w:rFonts w:eastAsiaTheme="minorHAnsi"/>
        </w:rPr>
        <w:t>Substances with the same UN number in the same Compatibility Group;</w:t>
      </w:r>
    </w:p>
    <w:p w:rsidR="00E97B2D" w:rsidRPr="00E97B2D" w:rsidRDefault="00E97B2D" w:rsidP="00E97B2D">
      <w:pPr>
        <w:pStyle w:val="SingleTxtG"/>
        <w:ind w:firstLine="567"/>
        <w:rPr>
          <w:rFonts w:eastAsiaTheme="minorHAnsi"/>
        </w:rPr>
      </w:pPr>
      <w:r w:rsidRPr="00E97B2D">
        <w:rPr>
          <w:rFonts w:eastAsiaTheme="minorHAnsi"/>
        </w:rPr>
        <w:t xml:space="preserve">i.e. UN 3295 + UN 3295; </w:t>
      </w:r>
    </w:p>
    <w:p w:rsidR="00E97B2D" w:rsidRPr="00E97B2D" w:rsidRDefault="00E97B2D" w:rsidP="00E97B2D">
      <w:pPr>
        <w:pStyle w:val="SingleTxtG"/>
        <w:rPr>
          <w:rFonts w:eastAsiaTheme="minorHAnsi"/>
        </w:rPr>
      </w:pPr>
      <w:r>
        <w:rPr>
          <w:rFonts w:eastAsiaTheme="minorHAnsi"/>
        </w:rPr>
        <w:t>3.</w:t>
      </w:r>
      <w:r>
        <w:rPr>
          <w:rFonts w:eastAsiaTheme="minorHAnsi"/>
        </w:rPr>
        <w:tab/>
      </w:r>
      <w:r w:rsidRPr="00E97B2D">
        <w:rPr>
          <w:rFonts w:eastAsiaTheme="minorHAnsi"/>
        </w:rPr>
        <w:t>Substances in Compatibility Group I with Substances in Compatibility Group I;</w:t>
      </w:r>
    </w:p>
    <w:p w:rsidR="00E97B2D" w:rsidRPr="00E97B2D" w:rsidRDefault="00E97B2D" w:rsidP="00E97B2D">
      <w:pPr>
        <w:pStyle w:val="SingleTxtG"/>
        <w:ind w:firstLine="567"/>
        <w:rPr>
          <w:rFonts w:eastAsiaTheme="minorHAnsi"/>
        </w:rPr>
      </w:pPr>
      <w:r w:rsidRPr="00E97B2D">
        <w:rPr>
          <w:rFonts w:eastAsiaTheme="minorHAnsi"/>
        </w:rPr>
        <w:t>i.e. UN 1203 + UN 1170; UN 1268 + UN 3295</w:t>
      </w:r>
    </w:p>
    <w:p w:rsidR="00E97B2D" w:rsidRPr="00E97B2D" w:rsidRDefault="00E97B2D" w:rsidP="00E97B2D">
      <w:pPr>
        <w:pStyle w:val="SingleTxtG"/>
        <w:rPr>
          <w:rFonts w:eastAsiaTheme="minorHAnsi"/>
        </w:rPr>
      </w:pPr>
      <w:r>
        <w:rPr>
          <w:rFonts w:eastAsiaTheme="minorHAnsi"/>
        </w:rPr>
        <w:t>4.</w:t>
      </w:r>
      <w:r>
        <w:rPr>
          <w:rFonts w:eastAsiaTheme="minorHAnsi"/>
        </w:rPr>
        <w:tab/>
      </w:r>
      <w:r w:rsidRPr="00E97B2D">
        <w:rPr>
          <w:rFonts w:eastAsiaTheme="minorHAnsi"/>
        </w:rPr>
        <w:t>Substances in Compatibility Group II with Substances in Compatibility Group II;</w:t>
      </w:r>
    </w:p>
    <w:p w:rsidR="00E97B2D" w:rsidRPr="00E97B2D" w:rsidRDefault="00E97B2D" w:rsidP="00E97B2D">
      <w:pPr>
        <w:pStyle w:val="SingleTxtG"/>
        <w:ind w:firstLine="567"/>
        <w:rPr>
          <w:rFonts w:eastAsiaTheme="minorHAnsi"/>
        </w:rPr>
      </w:pPr>
      <w:r w:rsidRPr="00E97B2D">
        <w:rPr>
          <w:rFonts w:eastAsiaTheme="minorHAnsi"/>
        </w:rPr>
        <w:t>i.e. UN 1202 + Biocomponents ex RED Annex III (table 4)</w:t>
      </w:r>
    </w:p>
    <w:p w:rsidR="00E97B2D" w:rsidRPr="00E97B2D" w:rsidRDefault="00E97B2D" w:rsidP="00E97B2D">
      <w:pPr>
        <w:pStyle w:val="SingleTxtG"/>
        <w:rPr>
          <w:rFonts w:eastAsiaTheme="minorHAnsi"/>
        </w:rPr>
      </w:pPr>
      <w:r>
        <w:rPr>
          <w:rFonts w:eastAsiaTheme="minorHAnsi"/>
        </w:rPr>
        <w:lastRenderedPageBreak/>
        <w:t>5.</w:t>
      </w:r>
      <w:r>
        <w:rPr>
          <w:rFonts w:eastAsiaTheme="minorHAnsi"/>
        </w:rPr>
        <w:tab/>
      </w:r>
      <w:r w:rsidRPr="00E97B2D">
        <w:rPr>
          <w:rFonts w:eastAsiaTheme="minorHAnsi"/>
        </w:rPr>
        <w:t>Substances in Compatibility Group III with Substances in Compatibility Group III;</w:t>
      </w:r>
    </w:p>
    <w:p w:rsidR="00E97B2D" w:rsidRPr="00E97B2D" w:rsidRDefault="00E97B2D" w:rsidP="00E97B2D">
      <w:pPr>
        <w:pStyle w:val="SingleTxtG"/>
        <w:ind w:firstLine="567"/>
        <w:rPr>
          <w:rFonts w:eastAsiaTheme="minorHAnsi"/>
        </w:rPr>
      </w:pPr>
      <w:r w:rsidRPr="00E97B2D">
        <w:rPr>
          <w:rFonts w:eastAsiaTheme="minorHAnsi"/>
        </w:rPr>
        <w:t>i.e. UN 3082 + UN 1202</w:t>
      </w:r>
    </w:p>
    <w:p w:rsidR="00E97B2D" w:rsidRPr="00E97B2D" w:rsidRDefault="00E97B2D" w:rsidP="00E97B2D">
      <w:pPr>
        <w:pStyle w:val="SingleTxtG"/>
        <w:rPr>
          <w:rFonts w:eastAsiaTheme="minorHAnsi"/>
        </w:rPr>
      </w:pPr>
      <w:r>
        <w:rPr>
          <w:rFonts w:eastAsiaTheme="minorHAnsi"/>
        </w:rPr>
        <w:t>6.</w:t>
      </w:r>
      <w:r>
        <w:rPr>
          <w:rFonts w:eastAsiaTheme="minorHAnsi"/>
        </w:rPr>
        <w:tab/>
      </w:r>
      <w:r w:rsidRPr="00E97B2D">
        <w:rPr>
          <w:rFonts w:eastAsiaTheme="minorHAnsi"/>
        </w:rPr>
        <w:t>Substances in RED Group with Substances in RED Group.</w:t>
      </w:r>
    </w:p>
    <w:p w:rsidR="00E97B2D" w:rsidRPr="00E97B2D" w:rsidRDefault="00E97B2D" w:rsidP="00E97B2D">
      <w:pPr>
        <w:pStyle w:val="SingleTxtG"/>
        <w:ind w:firstLine="567"/>
        <w:rPr>
          <w:rFonts w:eastAsiaTheme="minorHAnsi"/>
        </w:rPr>
      </w:pPr>
      <w:r w:rsidRPr="00E97B2D">
        <w:rPr>
          <w:rFonts w:eastAsiaTheme="minorHAnsi"/>
        </w:rPr>
        <w:t>i.e. Hydrotreated Vegetable Oil + Diesel</w:t>
      </w:r>
    </w:p>
    <w:p w:rsidR="00E97B2D" w:rsidRDefault="00E97B2D" w:rsidP="00364307">
      <w:pPr>
        <w:pStyle w:val="SingleTxtG"/>
        <w:rPr>
          <w:rFonts w:eastAsiaTheme="minorHAnsi"/>
          <w:lang w:val="en-US"/>
        </w:rPr>
        <w:sectPr w:rsidR="00E97B2D" w:rsidSect="00241754">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pPr>
    </w:p>
    <w:p w:rsidR="00E97B2D" w:rsidRDefault="00E97B2D" w:rsidP="00E97B2D">
      <w:pPr>
        <w:pStyle w:val="HChG"/>
        <w:rPr>
          <w:rFonts w:eastAsiaTheme="minorHAnsi"/>
          <w:lang w:val="en-US"/>
        </w:rPr>
      </w:pPr>
      <w:r w:rsidRPr="00E97B2D">
        <w:rPr>
          <w:rFonts w:eastAsiaTheme="minorHAnsi"/>
          <w:lang w:val="en-US"/>
        </w:rPr>
        <w:lastRenderedPageBreak/>
        <w:t>Annex II</w:t>
      </w:r>
      <w:r>
        <w:rPr>
          <w:rFonts w:eastAsiaTheme="minorHAnsi"/>
          <w:lang w:val="en-US"/>
        </w:rPr>
        <w:t xml:space="preserve"> </w:t>
      </w:r>
    </w:p>
    <w:p w:rsidR="00BD684A" w:rsidRDefault="00E97B2D" w:rsidP="00BD684A">
      <w:pPr>
        <w:pStyle w:val="HChG"/>
        <w:rPr>
          <w:rFonts w:eastAsiaTheme="minorHAnsi"/>
          <w:lang w:val="en-US"/>
        </w:rPr>
      </w:pPr>
      <w:r>
        <w:rPr>
          <w:rFonts w:eastAsiaTheme="minorHAnsi"/>
          <w:lang w:val="en-US"/>
        </w:rPr>
        <w:tab/>
      </w:r>
      <w:r>
        <w:rPr>
          <w:rFonts w:eastAsiaTheme="minorHAnsi"/>
          <w:lang w:val="en-US"/>
        </w:rPr>
        <w:tab/>
      </w:r>
      <w:r w:rsidRPr="00E97B2D">
        <w:rPr>
          <w:rFonts w:eastAsiaTheme="minorHAnsi"/>
          <w:lang w:val="en-US"/>
        </w:rPr>
        <w:t>Flow diagram of a loading on top operation</w:t>
      </w:r>
    </w:p>
    <w:p w:rsidR="00E97B2D" w:rsidRPr="00E97B2D" w:rsidRDefault="004D1C6E" w:rsidP="00E97B2D">
      <w:pPr>
        <w:ind w:left="-851"/>
        <w:rPr>
          <w:rFonts w:eastAsiaTheme="minorHAnsi"/>
          <w:lang w:val="en-US"/>
        </w:rPr>
      </w:pPr>
      <w:r>
        <w:rPr>
          <w:rFonts w:cs="Calibri"/>
          <w:noProof/>
        </w:rPr>
        <w:pict>
          <v:shape id="Afbeelding 4" o:spid="_x0000_i1026" type="#_x0000_t75" style="width:698.5pt;height:270.8pt;visibility:visible;mso-wrap-style:square">
            <v:imagedata r:id="rId16" o:title=""/>
          </v:shape>
        </w:pict>
      </w:r>
    </w:p>
    <w:p w:rsidR="00E97B2D" w:rsidRDefault="00E97B2D" w:rsidP="00E97B2D">
      <w:pPr>
        <w:pStyle w:val="SingleTxtG"/>
        <w:rPr>
          <w:rFonts w:eastAsiaTheme="minorHAnsi"/>
          <w:b/>
          <w:lang w:val="en-US"/>
        </w:rPr>
      </w:pPr>
    </w:p>
    <w:p w:rsidR="00E97B2D" w:rsidRDefault="00E97B2D" w:rsidP="00E97B2D">
      <w:pPr>
        <w:pStyle w:val="SingleTxtG"/>
        <w:rPr>
          <w:rFonts w:eastAsiaTheme="minorHAnsi"/>
          <w:lang w:val="en-US"/>
        </w:rPr>
        <w:sectPr w:rsidR="00E97B2D" w:rsidSect="00BD684A">
          <w:headerReference w:type="default" r:id="rId17"/>
          <w:footerReference w:type="default" r:id="rId18"/>
          <w:headerReference w:type="first" r:id="rId19"/>
          <w:footerReference w:type="first" r:id="rId20"/>
          <w:endnotePr>
            <w:numFmt w:val="decimal"/>
          </w:endnotePr>
          <w:pgSz w:w="16840" w:h="11907" w:orient="landscape" w:code="9"/>
          <w:pgMar w:top="1134" w:right="1701" w:bottom="1134" w:left="2268" w:header="567" w:footer="567" w:gutter="0"/>
          <w:cols w:space="720"/>
          <w:docGrid w:linePitch="272"/>
        </w:sectPr>
      </w:pPr>
    </w:p>
    <w:p w:rsidR="00E97B2D" w:rsidRPr="00E97B2D" w:rsidRDefault="00E97B2D" w:rsidP="00E97B2D">
      <w:pPr>
        <w:pStyle w:val="HChG"/>
        <w:rPr>
          <w:rFonts w:eastAsiaTheme="minorHAnsi"/>
          <w:lang w:val="en-US"/>
        </w:rPr>
      </w:pPr>
      <w:r w:rsidRPr="00E97B2D">
        <w:rPr>
          <w:rFonts w:eastAsiaTheme="minorHAnsi"/>
          <w:lang w:val="en-US"/>
        </w:rPr>
        <w:lastRenderedPageBreak/>
        <w:t>Annex III</w:t>
      </w:r>
    </w:p>
    <w:p w:rsidR="00E97B2D" w:rsidRPr="00E97B2D" w:rsidRDefault="00E97B2D" w:rsidP="00E97B2D">
      <w:pPr>
        <w:pStyle w:val="HChG"/>
        <w:rPr>
          <w:rFonts w:eastAsiaTheme="minorHAnsi"/>
          <w:lang w:val="en-US"/>
        </w:rPr>
      </w:pPr>
      <w:bookmarkStart w:id="2" w:name="_Hlk511729445"/>
      <w:r>
        <w:rPr>
          <w:rFonts w:eastAsiaTheme="minorHAnsi"/>
          <w:lang w:val="en-US"/>
        </w:rPr>
        <w:tab/>
      </w:r>
      <w:r>
        <w:rPr>
          <w:rFonts w:eastAsiaTheme="minorHAnsi"/>
          <w:lang w:val="en-US"/>
        </w:rPr>
        <w:tab/>
      </w:r>
      <w:r w:rsidRPr="00E97B2D">
        <w:rPr>
          <w:rFonts w:eastAsiaTheme="minorHAnsi"/>
          <w:lang w:val="en-US"/>
        </w:rPr>
        <w:t>Roles and responsibilities for participants in the loading on top operation</w:t>
      </w:r>
    </w:p>
    <w:bookmarkEnd w:id="2"/>
    <w:p w:rsidR="00F618F1" w:rsidRPr="00F618F1" w:rsidRDefault="00F618F1" w:rsidP="00F618F1">
      <w:pPr>
        <w:pStyle w:val="SingleTxtG"/>
        <w:rPr>
          <w:rFonts w:eastAsiaTheme="minorHAnsi"/>
        </w:rPr>
      </w:pPr>
      <w:r>
        <w:rPr>
          <w:rFonts w:eastAsiaTheme="minorHAnsi"/>
        </w:rPr>
        <w:t>1.</w:t>
      </w:r>
      <w:r>
        <w:rPr>
          <w:rFonts w:eastAsiaTheme="minorHAnsi"/>
        </w:rPr>
        <w:tab/>
      </w:r>
      <w:r w:rsidRPr="00F618F1">
        <w:rPr>
          <w:rFonts w:eastAsiaTheme="minorHAnsi"/>
        </w:rPr>
        <w:t xml:space="preserve">The key participants in the operation of loading on top in barges are the </w:t>
      </w:r>
      <w:r w:rsidR="005450F3">
        <w:rPr>
          <w:rFonts w:eastAsiaTheme="minorHAnsi"/>
        </w:rPr>
        <w:t>c</w:t>
      </w:r>
      <w:r w:rsidRPr="00F618F1">
        <w:rPr>
          <w:rFonts w:eastAsiaTheme="minorHAnsi"/>
        </w:rPr>
        <w:t xml:space="preserve">onsignor, </w:t>
      </w:r>
      <w:r w:rsidR="005450F3">
        <w:rPr>
          <w:rFonts w:eastAsiaTheme="minorHAnsi"/>
        </w:rPr>
        <w:t>the f</w:t>
      </w:r>
      <w:r w:rsidRPr="00F618F1">
        <w:rPr>
          <w:rFonts w:eastAsiaTheme="minorHAnsi"/>
        </w:rPr>
        <w:t xml:space="preserve">iller and </w:t>
      </w:r>
      <w:r w:rsidR="005450F3">
        <w:rPr>
          <w:rFonts w:eastAsiaTheme="minorHAnsi"/>
        </w:rPr>
        <w:t xml:space="preserve">the carrier. </w:t>
      </w:r>
      <w:r w:rsidRPr="00F618F1">
        <w:rPr>
          <w:rFonts w:eastAsiaTheme="minorHAnsi"/>
        </w:rPr>
        <w:t>Their relevant responsibilities are described in 1.4.1</w:t>
      </w:r>
      <w:r w:rsidR="005450F3">
        <w:rPr>
          <w:rFonts w:eastAsiaTheme="minorHAnsi"/>
        </w:rPr>
        <w:t>.</w:t>
      </w:r>
    </w:p>
    <w:p w:rsidR="00F618F1" w:rsidRPr="00F618F1" w:rsidRDefault="00F618F1" w:rsidP="00F618F1">
      <w:pPr>
        <w:pStyle w:val="SingleTxtG"/>
        <w:rPr>
          <w:rFonts w:eastAsiaTheme="minorHAnsi"/>
        </w:rPr>
      </w:pPr>
      <w:r>
        <w:rPr>
          <w:rFonts w:eastAsiaTheme="minorHAnsi"/>
        </w:rPr>
        <w:t>2.</w:t>
      </w:r>
      <w:r>
        <w:rPr>
          <w:rFonts w:eastAsiaTheme="minorHAnsi"/>
        </w:rPr>
        <w:tab/>
      </w:r>
      <w:r w:rsidRPr="00F618F1">
        <w:rPr>
          <w:rFonts w:eastAsiaTheme="minorHAnsi"/>
        </w:rPr>
        <w:t>Their responsibilities do not materially change in the event</w:t>
      </w:r>
      <w:r w:rsidR="005450F3">
        <w:rPr>
          <w:rFonts w:eastAsiaTheme="minorHAnsi"/>
        </w:rPr>
        <w:t xml:space="preserve"> of a loading on top operation.</w:t>
      </w:r>
    </w:p>
    <w:p w:rsidR="00F618F1" w:rsidRPr="00F618F1" w:rsidRDefault="00F618F1" w:rsidP="00F618F1">
      <w:pPr>
        <w:pStyle w:val="SingleTxtG"/>
        <w:rPr>
          <w:rFonts w:eastAsiaTheme="minorHAnsi"/>
        </w:rPr>
      </w:pPr>
      <w:r>
        <w:rPr>
          <w:rFonts w:eastAsiaTheme="minorHAnsi"/>
        </w:rPr>
        <w:t>3.</w:t>
      </w:r>
      <w:r>
        <w:rPr>
          <w:rFonts w:eastAsiaTheme="minorHAnsi"/>
        </w:rPr>
        <w:tab/>
      </w:r>
      <w:r w:rsidRPr="00F618F1">
        <w:rPr>
          <w:rFonts w:eastAsiaTheme="minorHAnsi"/>
        </w:rPr>
        <w:t xml:space="preserve">Notwithstanding the above, the consignor, carrier and filler must comply with their other respective obligations in accordance with ADN. </w:t>
      </w:r>
    </w:p>
    <w:p w:rsidR="00F618F1" w:rsidRPr="00F618F1" w:rsidRDefault="00F618F1" w:rsidP="00F618F1">
      <w:pPr>
        <w:pStyle w:val="SingleTxtG"/>
        <w:rPr>
          <w:rFonts w:eastAsiaTheme="minorHAnsi"/>
        </w:rPr>
      </w:pPr>
      <w:r>
        <w:rPr>
          <w:rFonts w:eastAsiaTheme="minorHAnsi"/>
        </w:rPr>
        <w:t>4.</w:t>
      </w:r>
      <w:r>
        <w:rPr>
          <w:rFonts w:eastAsiaTheme="minorHAnsi"/>
        </w:rPr>
        <w:tab/>
      </w:r>
      <w:r w:rsidRPr="00F618F1">
        <w:rPr>
          <w:rFonts w:eastAsiaTheme="minorHAnsi"/>
        </w:rPr>
        <w:t xml:space="preserve">The </w:t>
      </w:r>
      <w:r w:rsidR="005450F3">
        <w:rPr>
          <w:rFonts w:eastAsiaTheme="minorHAnsi"/>
        </w:rPr>
        <w:t>c</w:t>
      </w:r>
      <w:r w:rsidRPr="00F618F1">
        <w:rPr>
          <w:rFonts w:eastAsiaTheme="minorHAnsi"/>
        </w:rPr>
        <w:t>onsignor:</w:t>
      </w:r>
    </w:p>
    <w:tbl>
      <w:tblPr>
        <w:tblStyle w:val="TableGrid2"/>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34"/>
        <w:gridCol w:w="4140"/>
        <w:gridCol w:w="1196"/>
      </w:tblGrid>
      <w:tr w:rsidR="00F618F1" w:rsidRPr="00F618F1" w:rsidTr="00F618F1">
        <w:trPr>
          <w:tblHeader/>
        </w:trPr>
        <w:tc>
          <w:tcPr>
            <w:tcW w:w="2034" w:type="dxa"/>
            <w:tcBorders>
              <w:top w:val="single" w:sz="4" w:space="0" w:color="auto"/>
              <w:bottom w:val="single" w:sz="12" w:space="0" w:color="auto"/>
            </w:tcBorders>
            <w:shd w:val="clear" w:color="auto" w:fill="auto"/>
            <w:vAlign w:val="bottom"/>
          </w:tcPr>
          <w:p w:rsidR="00F618F1" w:rsidRPr="00F618F1" w:rsidRDefault="00F618F1" w:rsidP="00F618F1">
            <w:pPr>
              <w:suppressAutoHyphens w:val="0"/>
              <w:spacing w:before="80" w:after="80" w:line="200" w:lineRule="exact"/>
              <w:ind w:right="113"/>
              <w:rPr>
                <w:rFonts w:ascii="Times New Roman" w:hAnsi="Times New Roman" w:cs="Times New Roman"/>
                <w:i/>
                <w:sz w:val="16"/>
                <w:lang w:val="en-US"/>
              </w:rPr>
            </w:pPr>
            <w:r w:rsidRPr="00F618F1">
              <w:rPr>
                <w:rFonts w:ascii="Times New Roman" w:hAnsi="Times New Roman" w:cs="Times New Roman"/>
                <w:i/>
                <w:sz w:val="16"/>
                <w:lang w:val="en-US"/>
              </w:rPr>
              <w:t xml:space="preserve">For the </w:t>
            </w:r>
            <w:r w:rsidR="005450F3">
              <w:rPr>
                <w:rFonts w:ascii="Times New Roman" w:hAnsi="Times New Roman" w:cs="Times New Roman"/>
                <w:i/>
                <w:sz w:val="16"/>
                <w:lang w:val="en-US"/>
              </w:rPr>
              <w:t>c</w:t>
            </w:r>
            <w:r w:rsidRPr="00F618F1">
              <w:rPr>
                <w:rFonts w:ascii="Times New Roman" w:hAnsi="Times New Roman" w:cs="Times New Roman"/>
                <w:i/>
                <w:sz w:val="16"/>
                <w:lang w:val="en-US"/>
              </w:rPr>
              <w:t>onsignor, it means that he:</w:t>
            </w:r>
          </w:p>
        </w:tc>
        <w:tc>
          <w:tcPr>
            <w:tcW w:w="4140" w:type="dxa"/>
            <w:tcBorders>
              <w:top w:val="single" w:sz="4" w:space="0" w:color="auto"/>
              <w:bottom w:val="single" w:sz="12" w:space="0" w:color="auto"/>
            </w:tcBorders>
            <w:shd w:val="clear" w:color="auto" w:fill="auto"/>
            <w:vAlign w:val="bottom"/>
          </w:tcPr>
          <w:p w:rsidR="00F618F1" w:rsidRPr="00F618F1" w:rsidRDefault="00F618F1" w:rsidP="00F618F1">
            <w:pPr>
              <w:suppressAutoHyphens w:val="0"/>
              <w:spacing w:before="80" w:after="80" w:line="200" w:lineRule="exact"/>
              <w:ind w:right="113"/>
              <w:rPr>
                <w:rFonts w:ascii="Times New Roman" w:hAnsi="Times New Roman" w:cs="Times New Roman"/>
                <w:i/>
                <w:sz w:val="16"/>
                <w:lang w:val="en-US"/>
              </w:rPr>
            </w:pPr>
            <w:r w:rsidRPr="00F618F1">
              <w:rPr>
                <w:rFonts w:ascii="Times New Roman" w:hAnsi="Times New Roman" w:cs="Times New Roman"/>
                <w:i/>
                <w:sz w:val="16"/>
                <w:lang w:val="en-US"/>
              </w:rPr>
              <w:t>Action:</w:t>
            </w:r>
          </w:p>
        </w:tc>
        <w:tc>
          <w:tcPr>
            <w:tcW w:w="1196" w:type="dxa"/>
            <w:tcBorders>
              <w:top w:val="single" w:sz="4" w:space="0" w:color="auto"/>
              <w:bottom w:val="single" w:sz="12" w:space="0" w:color="auto"/>
            </w:tcBorders>
            <w:shd w:val="clear" w:color="auto" w:fill="auto"/>
            <w:vAlign w:val="bottom"/>
          </w:tcPr>
          <w:p w:rsidR="00F618F1" w:rsidRPr="00F618F1" w:rsidRDefault="00F618F1" w:rsidP="00F618F1">
            <w:pPr>
              <w:suppressAutoHyphens w:val="0"/>
              <w:spacing w:before="80" w:after="80" w:line="200" w:lineRule="exact"/>
              <w:ind w:right="113"/>
              <w:rPr>
                <w:rFonts w:ascii="Times New Roman" w:hAnsi="Times New Roman" w:cs="Times New Roman"/>
                <w:i/>
                <w:sz w:val="16"/>
                <w:lang w:val="en-US"/>
              </w:rPr>
            </w:pPr>
            <w:r w:rsidRPr="00F618F1">
              <w:rPr>
                <w:rFonts w:ascii="Times New Roman" w:hAnsi="Times New Roman" w:cs="Times New Roman"/>
                <w:i/>
                <w:sz w:val="16"/>
                <w:lang w:val="en-US"/>
              </w:rPr>
              <w:t>ADN</w:t>
            </w:r>
          </w:p>
        </w:tc>
      </w:tr>
      <w:tr w:rsidR="00F618F1" w:rsidRPr="00F618F1" w:rsidTr="00F618F1">
        <w:tc>
          <w:tcPr>
            <w:tcW w:w="2034" w:type="dxa"/>
            <w:tcBorders>
              <w:top w:val="single" w:sz="12" w:space="0" w:color="auto"/>
            </w:tcBorders>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Ascertain that the dangerous goods are classified and authorized for carriage in accordance with ADN. </w:t>
            </w:r>
          </w:p>
        </w:tc>
        <w:tc>
          <w:tcPr>
            <w:tcW w:w="4140" w:type="dxa"/>
            <w:tcBorders>
              <w:top w:val="single" w:sz="12" w:space="0" w:color="auto"/>
            </w:tcBorders>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Identifies compatible substances and their locations; calculates and classifies the commingled substance</w:t>
            </w:r>
          </w:p>
        </w:tc>
        <w:tc>
          <w:tcPr>
            <w:tcW w:w="1196" w:type="dxa"/>
            <w:tcBorders>
              <w:top w:val="single" w:sz="12" w:space="0" w:color="auto"/>
            </w:tcBorders>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2.1.2; 2.1.3.5.1; 2.1.3.5.2; 2.1.3.5.3; 1.4.2.1.1 (a); 7.2.4.13.1 3rd paragraph</w:t>
            </w:r>
          </w:p>
        </w:tc>
      </w:tr>
      <w:tr w:rsidR="00F618F1" w:rsidRPr="00F618F1" w:rsidTr="00F618F1">
        <w:tc>
          <w:tcPr>
            <w:tcW w:w="2034"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Furnish the carrier with information and data …</w:t>
            </w:r>
          </w:p>
        </w:tc>
        <w:tc>
          <w:tcPr>
            <w:tcW w:w="4140"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Submits a request to the </w:t>
            </w:r>
            <w:r w:rsidR="005450F3">
              <w:rPr>
                <w:rFonts w:ascii="Times New Roman" w:hAnsi="Times New Roman" w:cs="Times New Roman"/>
                <w:sz w:val="20"/>
                <w:lang w:val="en-US"/>
              </w:rPr>
              <w:t>c</w:t>
            </w:r>
            <w:r w:rsidRPr="00F618F1">
              <w:rPr>
                <w:rFonts w:ascii="Times New Roman" w:hAnsi="Times New Roman" w:cs="Times New Roman"/>
                <w:sz w:val="20"/>
                <w:lang w:val="en-US"/>
              </w:rPr>
              <w:t>arrier for a barge to be suitable for all substances to be loaded as well as the final commingled substance, provides the transport document (or the required information in a traceable format) in line with requirements of 5.4 and table C</w:t>
            </w:r>
          </w:p>
        </w:tc>
        <w:tc>
          <w:tcPr>
            <w:tcW w:w="1196"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1.4.2.1.1(b); 5.4.1</w:t>
            </w:r>
          </w:p>
        </w:tc>
      </w:tr>
      <w:tr w:rsidR="00F618F1" w:rsidRPr="00F618F1" w:rsidTr="00F618F1">
        <w:trPr>
          <w:trHeight w:val="692"/>
        </w:trPr>
        <w:tc>
          <w:tcPr>
            <w:tcW w:w="2034"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Use only approved tank-vessels suitable for the carriage of the goods in question; </w:t>
            </w:r>
          </w:p>
        </w:tc>
        <w:tc>
          <w:tcPr>
            <w:tcW w:w="4140"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For each individual substance and the commingled substance, checks the </w:t>
            </w:r>
            <w:r w:rsidR="005450F3">
              <w:rPr>
                <w:rFonts w:ascii="Times New Roman" w:hAnsi="Times New Roman" w:cs="Times New Roman"/>
                <w:sz w:val="20"/>
                <w:lang w:val="en-US"/>
              </w:rPr>
              <w:t>c</w:t>
            </w:r>
            <w:r w:rsidRPr="00F618F1">
              <w:rPr>
                <w:rFonts w:ascii="Times New Roman" w:hAnsi="Times New Roman" w:cs="Times New Roman"/>
                <w:sz w:val="20"/>
                <w:lang w:val="en-US"/>
              </w:rPr>
              <w:t xml:space="preserve">arrier’s barge suitability against a vetting system (i.e. EBIS) or international regulation.  </w:t>
            </w:r>
          </w:p>
        </w:tc>
        <w:tc>
          <w:tcPr>
            <w:tcW w:w="1196"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1.4.2.1.1(c)</w:t>
            </w:r>
          </w:p>
        </w:tc>
      </w:tr>
      <w:tr w:rsidR="00F618F1" w:rsidRPr="00F618F1" w:rsidTr="00F618F1">
        <w:trPr>
          <w:trHeight w:val="692"/>
        </w:trPr>
        <w:tc>
          <w:tcPr>
            <w:tcW w:w="2034"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Furnish the carrier with information and data …</w:t>
            </w:r>
          </w:p>
        </w:tc>
        <w:tc>
          <w:tcPr>
            <w:tcW w:w="4140"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Communicates to the carrier the loading plan, containing information and ADN proper </w:t>
            </w:r>
            <w:r w:rsidR="005450F3">
              <w:rPr>
                <w:rFonts w:ascii="Times New Roman" w:hAnsi="Times New Roman" w:cs="Times New Roman"/>
                <w:sz w:val="20"/>
                <w:lang w:val="en-US"/>
              </w:rPr>
              <w:t>s</w:t>
            </w:r>
            <w:r w:rsidRPr="00F618F1">
              <w:rPr>
                <w:rFonts w:ascii="Times New Roman" w:hAnsi="Times New Roman" w:cs="Times New Roman"/>
                <w:sz w:val="20"/>
                <w:lang w:val="en-US"/>
              </w:rPr>
              <w:t xml:space="preserve">hipping </w:t>
            </w:r>
            <w:r w:rsidR="005450F3">
              <w:rPr>
                <w:rFonts w:ascii="Times New Roman" w:hAnsi="Times New Roman" w:cs="Times New Roman"/>
                <w:sz w:val="20"/>
                <w:lang w:val="en-US"/>
              </w:rPr>
              <w:t>n</w:t>
            </w:r>
            <w:r w:rsidRPr="00F618F1">
              <w:rPr>
                <w:rFonts w:ascii="Times New Roman" w:hAnsi="Times New Roman" w:cs="Times New Roman"/>
                <w:sz w:val="20"/>
                <w:lang w:val="en-US"/>
              </w:rPr>
              <w:t xml:space="preserve">ames per substance and quantity to be loaded </w:t>
            </w:r>
          </w:p>
        </w:tc>
        <w:tc>
          <w:tcPr>
            <w:tcW w:w="1196"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1.4.2.1.1(b)</w:t>
            </w:r>
          </w:p>
        </w:tc>
      </w:tr>
    </w:tbl>
    <w:p w:rsidR="00F618F1" w:rsidRPr="00F618F1" w:rsidRDefault="00F618F1" w:rsidP="00F618F1">
      <w:pPr>
        <w:pStyle w:val="SingleTxtG"/>
        <w:spacing w:before="120"/>
        <w:rPr>
          <w:rFonts w:eastAsiaTheme="minorHAnsi"/>
          <w:lang w:val="en-US"/>
        </w:rPr>
      </w:pPr>
      <w:r>
        <w:rPr>
          <w:rFonts w:eastAsiaTheme="minorHAnsi"/>
          <w:lang w:val="en-US"/>
        </w:rPr>
        <w:t>5.</w:t>
      </w:r>
      <w:r>
        <w:rPr>
          <w:rFonts w:eastAsiaTheme="minorHAnsi"/>
          <w:lang w:val="en-US"/>
        </w:rPr>
        <w:tab/>
      </w:r>
      <w:r w:rsidRPr="00F618F1">
        <w:rPr>
          <w:rFonts w:eastAsiaTheme="minorHAnsi"/>
          <w:lang w:val="en-US"/>
        </w:rPr>
        <w:t xml:space="preserve">The </w:t>
      </w:r>
      <w:r w:rsidR="005450F3">
        <w:rPr>
          <w:rFonts w:eastAsiaTheme="minorHAnsi"/>
          <w:lang w:val="en-US"/>
        </w:rPr>
        <w:t>c</w:t>
      </w:r>
      <w:r w:rsidRPr="00F618F1">
        <w:rPr>
          <w:rFonts w:eastAsiaTheme="minorHAnsi"/>
          <w:lang w:val="en-US"/>
        </w:rPr>
        <w:t>arrier:</w:t>
      </w:r>
    </w:p>
    <w:tbl>
      <w:tblPr>
        <w:tblStyle w:val="TableGrid3"/>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34"/>
        <w:gridCol w:w="4140"/>
        <w:gridCol w:w="1196"/>
      </w:tblGrid>
      <w:tr w:rsidR="00F618F1" w:rsidRPr="00F618F1" w:rsidTr="00F618F1">
        <w:trPr>
          <w:tblHeader/>
        </w:trPr>
        <w:tc>
          <w:tcPr>
            <w:tcW w:w="2034" w:type="dxa"/>
            <w:tcBorders>
              <w:top w:val="single" w:sz="4" w:space="0" w:color="auto"/>
              <w:bottom w:val="single" w:sz="12" w:space="0" w:color="auto"/>
            </w:tcBorders>
            <w:shd w:val="clear" w:color="auto" w:fill="auto"/>
            <w:vAlign w:val="bottom"/>
          </w:tcPr>
          <w:p w:rsidR="00F618F1" w:rsidRPr="00F618F1" w:rsidRDefault="00F618F1" w:rsidP="00F618F1">
            <w:pPr>
              <w:suppressAutoHyphens w:val="0"/>
              <w:spacing w:before="80" w:after="80" w:line="200" w:lineRule="exact"/>
              <w:ind w:right="113"/>
              <w:rPr>
                <w:rFonts w:ascii="Times New Roman" w:hAnsi="Times New Roman" w:cs="Times New Roman"/>
                <w:i/>
                <w:sz w:val="16"/>
                <w:lang w:val="en-US"/>
              </w:rPr>
            </w:pPr>
            <w:r w:rsidRPr="00F618F1">
              <w:rPr>
                <w:rFonts w:ascii="Times New Roman" w:hAnsi="Times New Roman" w:cs="Times New Roman"/>
                <w:i/>
                <w:sz w:val="16"/>
                <w:lang w:val="en-US"/>
              </w:rPr>
              <w:t xml:space="preserve">For the </w:t>
            </w:r>
            <w:r w:rsidR="005450F3">
              <w:rPr>
                <w:rFonts w:ascii="Times New Roman" w:hAnsi="Times New Roman" w:cs="Times New Roman"/>
                <w:i/>
                <w:sz w:val="16"/>
                <w:lang w:val="en-US"/>
              </w:rPr>
              <w:t>c</w:t>
            </w:r>
            <w:r w:rsidRPr="00F618F1">
              <w:rPr>
                <w:rFonts w:ascii="Times New Roman" w:hAnsi="Times New Roman" w:cs="Times New Roman"/>
                <w:i/>
                <w:sz w:val="16"/>
                <w:lang w:val="en-US"/>
              </w:rPr>
              <w:t>arrier, it means that he must:</w:t>
            </w:r>
          </w:p>
        </w:tc>
        <w:tc>
          <w:tcPr>
            <w:tcW w:w="4140" w:type="dxa"/>
            <w:tcBorders>
              <w:top w:val="single" w:sz="4" w:space="0" w:color="auto"/>
              <w:bottom w:val="single" w:sz="12" w:space="0" w:color="auto"/>
            </w:tcBorders>
            <w:shd w:val="clear" w:color="auto" w:fill="auto"/>
            <w:vAlign w:val="bottom"/>
          </w:tcPr>
          <w:p w:rsidR="00F618F1" w:rsidRPr="00F618F1" w:rsidRDefault="00F618F1" w:rsidP="00F618F1">
            <w:pPr>
              <w:suppressAutoHyphens w:val="0"/>
              <w:spacing w:before="80" w:after="80" w:line="200" w:lineRule="exact"/>
              <w:ind w:right="113"/>
              <w:rPr>
                <w:rFonts w:ascii="Times New Roman" w:hAnsi="Times New Roman" w:cs="Times New Roman"/>
                <w:i/>
                <w:sz w:val="16"/>
                <w:lang w:val="en-US"/>
              </w:rPr>
            </w:pPr>
            <w:r w:rsidRPr="00F618F1">
              <w:rPr>
                <w:rFonts w:ascii="Times New Roman" w:hAnsi="Times New Roman" w:cs="Times New Roman"/>
                <w:i/>
                <w:sz w:val="16"/>
                <w:lang w:val="en-US"/>
              </w:rPr>
              <w:t>Action</w:t>
            </w:r>
          </w:p>
        </w:tc>
        <w:tc>
          <w:tcPr>
            <w:tcW w:w="1196" w:type="dxa"/>
            <w:tcBorders>
              <w:top w:val="single" w:sz="4" w:space="0" w:color="auto"/>
              <w:bottom w:val="single" w:sz="12" w:space="0" w:color="auto"/>
            </w:tcBorders>
            <w:shd w:val="clear" w:color="auto" w:fill="auto"/>
            <w:vAlign w:val="bottom"/>
          </w:tcPr>
          <w:p w:rsidR="00F618F1" w:rsidRPr="00F618F1" w:rsidRDefault="00F618F1" w:rsidP="00F618F1">
            <w:pPr>
              <w:suppressAutoHyphens w:val="0"/>
              <w:spacing w:before="80" w:after="80" w:line="200" w:lineRule="exact"/>
              <w:ind w:right="113"/>
              <w:rPr>
                <w:rFonts w:ascii="Times New Roman" w:hAnsi="Times New Roman" w:cs="Times New Roman"/>
                <w:i/>
                <w:sz w:val="16"/>
                <w:lang w:val="en-US"/>
              </w:rPr>
            </w:pPr>
            <w:r w:rsidRPr="00F618F1">
              <w:rPr>
                <w:rFonts w:ascii="Times New Roman" w:hAnsi="Times New Roman" w:cs="Times New Roman"/>
                <w:i/>
                <w:sz w:val="16"/>
                <w:lang w:val="en-US"/>
              </w:rPr>
              <w:t>ADN</w:t>
            </w:r>
          </w:p>
        </w:tc>
      </w:tr>
      <w:tr w:rsidR="00F618F1" w:rsidRPr="00F618F1" w:rsidTr="00F618F1">
        <w:tc>
          <w:tcPr>
            <w:tcW w:w="2034" w:type="dxa"/>
            <w:tcBorders>
              <w:top w:val="single" w:sz="12" w:space="0" w:color="auto"/>
            </w:tcBorders>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Ascertain that the dangerous goods in question are authorized for carriage;</w:t>
            </w:r>
          </w:p>
        </w:tc>
        <w:tc>
          <w:tcPr>
            <w:tcW w:w="4140" w:type="dxa"/>
            <w:tcBorders>
              <w:top w:val="single" w:sz="12" w:space="0" w:color="auto"/>
            </w:tcBorders>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Assign a suitable barge against </w:t>
            </w:r>
            <w:r w:rsidR="005450F3">
              <w:rPr>
                <w:rFonts w:ascii="Times New Roman" w:hAnsi="Times New Roman" w:cs="Times New Roman"/>
                <w:sz w:val="20"/>
                <w:lang w:val="en-US"/>
              </w:rPr>
              <w:t>c</w:t>
            </w:r>
            <w:r w:rsidRPr="00F618F1">
              <w:rPr>
                <w:rFonts w:ascii="Times New Roman" w:hAnsi="Times New Roman" w:cs="Times New Roman"/>
                <w:sz w:val="20"/>
                <w:lang w:val="en-US"/>
              </w:rPr>
              <w:t xml:space="preserve">onsignors request by checking the ADN </w:t>
            </w:r>
            <w:r w:rsidR="005450F3">
              <w:rPr>
                <w:rFonts w:ascii="Times New Roman" w:hAnsi="Times New Roman" w:cs="Times New Roman"/>
                <w:sz w:val="20"/>
                <w:lang w:val="en-US"/>
              </w:rPr>
              <w:t>p</w:t>
            </w:r>
            <w:r w:rsidRPr="00F618F1">
              <w:rPr>
                <w:rFonts w:ascii="Times New Roman" w:hAnsi="Times New Roman" w:cs="Times New Roman"/>
                <w:sz w:val="20"/>
                <w:lang w:val="en-US"/>
              </w:rPr>
              <w:t xml:space="preserve">roper </w:t>
            </w:r>
            <w:r w:rsidR="005450F3">
              <w:rPr>
                <w:rFonts w:ascii="Times New Roman" w:hAnsi="Times New Roman" w:cs="Times New Roman"/>
                <w:sz w:val="20"/>
                <w:lang w:val="en-US"/>
              </w:rPr>
              <w:t>s</w:t>
            </w:r>
            <w:r w:rsidRPr="00F618F1">
              <w:rPr>
                <w:rFonts w:ascii="Times New Roman" w:hAnsi="Times New Roman" w:cs="Times New Roman"/>
                <w:sz w:val="20"/>
                <w:lang w:val="en-US"/>
              </w:rPr>
              <w:t xml:space="preserve">hipping </w:t>
            </w:r>
            <w:r w:rsidR="005450F3">
              <w:rPr>
                <w:rFonts w:ascii="Times New Roman" w:hAnsi="Times New Roman" w:cs="Times New Roman"/>
                <w:sz w:val="20"/>
                <w:lang w:val="en-US"/>
              </w:rPr>
              <w:t>n</w:t>
            </w:r>
            <w:r w:rsidRPr="00F618F1">
              <w:rPr>
                <w:rFonts w:ascii="Times New Roman" w:hAnsi="Times New Roman" w:cs="Times New Roman"/>
                <w:sz w:val="20"/>
                <w:lang w:val="en-US"/>
              </w:rPr>
              <w:t xml:space="preserve">ames to be loaded against the </w:t>
            </w:r>
            <w:r w:rsidR="005450F3">
              <w:rPr>
                <w:rFonts w:ascii="Times New Roman" w:hAnsi="Times New Roman" w:cs="Times New Roman"/>
                <w:sz w:val="20"/>
                <w:lang w:val="en-US"/>
              </w:rPr>
              <w:t>s</w:t>
            </w:r>
            <w:r w:rsidRPr="00F618F1">
              <w:rPr>
                <w:rFonts w:ascii="Times New Roman" w:hAnsi="Times New Roman" w:cs="Times New Roman"/>
                <w:sz w:val="20"/>
                <w:lang w:val="en-US"/>
              </w:rPr>
              <w:t xml:space="preserve">hips </w:t>
            </w:r>
            <w:r w:rsidR="005450F3">
              <w:rPr>
                <w:rFonts w:ascii="Times New Roman" w:hAnsi="Times New Roman" w:cs="Times New Roman"/>
                <w:sz w:val="20"/>
                <w:lang w:val="en-US"/>
              </w:rPr>
              <w:t>s</w:t>
            </w:r>
            <w:r w:rsidRPr="00F618F1">
              <w:rPr>
                <w:rFonts w:ascii="Times New Roman" w:hAnsi="Times New Roman" w:cs="Times New Roman"/>
                <w:sz w:val="20"/>
                <w:lang w:val="en-US"/>
              </w:rPr>
              <w:t>ubstance list of the performing barge</w:t>
            </w:r>
          </w:p>
        </w:tc>
        <w:tc>
          <w:tcPr>
            <w:tcW w:w="1196" w:type="dxa"/>
            <w:tcBorders>
              <w:top w:val="single" w:sz="12" w:space="0" w:color="auto"/>
            </w:tcBorders>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1.4.2.2.1(a); 1.16.1.2.5</w:t>
            </w:r>
          </w:p>
        </w:tc>
      </w:tr>
      <w:tr w:rsidR="00F618F1" w:rsidRPr="00F618F1" w:rsidTr="00F618F1">
        <w:tc>
          <w:tcPr>
            <w:tcW w:w="2034"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Ascertain that all information prescribed in ADN related to the dangerous goods to be </w:t>
            </w:r>
            <w:r w:rsidRPr="00F618F1">
              <w:rPr>
                <w:rFonts w:ascii="Times New Roman" w:hAnsi="Times New Roman" w:cs="Times New Roman"/>
                <w:sz w:val="20"/>
                <w:lang w:val="en-US"/>
              </w:rPr>
              <w:lastRenderedPageBreak/>
              <w:t>carried has been provided by the consignor;</w:t>
            </w:r>
          </w:p>
        </w:tc>
        <w:tc>
          <w:tcPr>
            <w:tcW w:w="4140"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lastRenderedPageBreak/>
              <w:t xml:space="preserve">Verify that all transport documents (or the required information in a traceable format), the loading plan and loading sequence has been received from the </w:t>
            </w:r>
            <w:r w:rsidR="005450F3">
              <w:rPr>
                <w:rFonts w:ascii="Times New Roman" w:hAnsi="Times New Roman" w:cs="Times New Roman"/>
                <w:sz w:val="20"/>
                <w:lang w:val="en-US"/>
              </w:rPr>
              <w:t>c</w:t>
            </w:r>
            <w:r w:rsidRPr="00F618F1">
              <w:rPr>
                <w:rFonts w:ascii="Times New Roman" w:hAnsi="Times New Roman" w:cs="Times New Roman"/>
                <w:sz w:val="20"/>
                <w:lang w:val="en-US"/>
              </w:rPr>
              <w:t xml:space="preserve">onsignor; he receives, </w:t>
            </w:r>
            <w:r w:rsidRPr="00F618F1">
              <w:rPr>
                <w:rFonts w:ascii="Times New Roman" w:hAnsi="Times New Roman" w:cs="Times New Roman"/>
                <w:sz w:val="20"/>
                <w:lang w:val="en-US"/>
              </w:rPr>
              <w:lastRenderedPageBreak/>
              <w:t xml:space="preserve">evaluates, forwards the relevant transport documents (or the required information in a traceable format, loading plan to the Master of the performing barge. </w:t>
            </w:r>
          </w:p>
        </w:tc>
        <w:tc>
          <w:tcPr>
            <w:tcW w:w="1196"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lastRenderedPageBreak/>
              <w:t>1.4.2.2.1(b)</w:t>
            </w:r>
          </w:p>
        </w:tc>
      </w:tr>
      <w:tr w:rsidR="00F618F1" w:rsidRPr="00F618F1" w:rsidTr="00F618F1">
        <w:trPr>
          <w:trHeight w:val="692"/>
        </w:trPr>
        <w:tc>
          <w:tcPr>
            <w:tcW w:w="2034"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Ascertain that the vessel substance list in accordance with 1.16.1.2.5 complies with Table C of chapter 3.2 including the modifications made to it.</w:t>
            </w:r>
          </w:p>
        </w:tc>
        <w:tc>
          <w:tcPr>
            <w:tcW w:w="4140"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Check by visual inspection that the individual components and the commingled mixture as mentioned on the </w:t>
            </w:r>
            <w:r w:rsidR="005450F3">
              <w:rPr>
                <w:rFonts w:ascii="Times New Roman" w:hAnsi="Times New Roman" w:cs="Times New Roman"/>
                <w:sz w:val="20"/>
                <w:lang w:val="en-US"/>
              </w:rPr>
              <w:t>t</w:t>
            </w:r>
            <w:r w:rsidRPr="00F618F1">
              <w:rPr>
                <w:rFonts w:ascii="Times New Roman" w:hAnsi="Times New Roman" w:cs="Times New Roman"/>
                <w:sz w:val="20"/>
                <w:lang w:val="en-US"/>
              </w:rPr>
              <w:t xml:space="preserve">ransport </w:t>
            </w:r>
            <w:r w:rsidR="005450F3">
              <w:rPr>
                <w:rFonts w:ascii="Times New Roman" w:hAnsi="Times New Roman" w:cs="Times New Roman"/>
                <w:sz w:val="20"/>
                <w:lang w:val="en-US"/>
              </w:rPr>
              <w:t>d</w:t>
            </w:r>
            <w:r w:rsidRPr="00F618F1">
              <w:rPr>
                <w:rFonts w:ascii="Times New Roman" w:hAnsi="Times New Roman" w:cs="Times New Roman"/>
                <w:sz w:val="20"/>
                <w:lang w:val="en-US"/>
              </w:rPr>
              <w:t xml:space="preserve">ocument (or the required information in a traceable format) and accompanying documents are on the </w:t>
            </w:r>
            <w:r w:rsidR="005450F3">
              <w:rPr>
                <w:rFonts w:ascii="Times New Roman" w:hAnsi="Times New Roman" w:cs="Times New Roman"/>
                <w:sz w:val="20"/>
                <w:lang w:val="en-US"/>
              </w:rPr>
              <w:t>s</w:t>
            </w:r>
            <w:r w:rsidRPr="00F618F1">
              <w:rPr>
                <w:rFonts w:ascii="Times New Roman" w:hAnsi="Times New Roman" w:cs="Times New Roman"/>
                <w:sz w:val="20"/>
                <w:lang w:val="en-US"/>
              </w:rPr>
              <w:t xml:space="preserve">hips </w:t>
            </w:r>
            <w:r w:rsidR="005450F3">
              <w:rPr>
                <w:rFonts w:ascii="Times New Roman" w:hAnsi="Times New Roman" w:cs="Times New Roman"/>
                <w:sz w:val="20"/>
                <w:lang w:val="en-US"/>
              </w:rPr>
              <w:t>s</w:t>
            </w:r>
            <w:r w:rsidRPr="00F618F1">
              <w:rPr>
                <w:rFonts w:ascii="Times New Roman" w:hAnsi="Times New Roman" w:cs="Times New Roman"/>
                <w:sz w:val="20"/>
                <w:lang w:val="en-US"/>
              </w:rPr>
              <w:t>ubstance list in accordance with 1.16.1.2.5 and that this list complies with Table C of chapter 3.2 including the modifications made to it.</w:t>
            </w:r>
          </w:p>
        </w:tc>
        <w:tc>
          <w:tcPr>
            <w:tcW w:w="1196"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1.4.2.2.1(j)</w:t>
            </w:r>
          </w:p>
        </w:tc>
      </w:tr>
      <w:tr w:rsidR="00F618F1" w:rsidRPr="00F618F1" w:rsidTr="00F618F1">
        <w:trPr>
          <w:trHeight w:val="692"/>
        </w:trPr>
        <w:tc>
          <w:tcPr>
            <w:tcW w:w="2034"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Ascertain that during loading, carriage, unloading and any other handling of the dangerous goods in the holds or cargo tanks, special requirements are complied with.</w:t>
            </w:r>
          </w:p>
        </w:tc>
        <w:tc>
          <w:tcPr>
            <w:tcW w:w="4140"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Must ensure that the specific requirements for each substance and the commingled substance are complied with, perform his obligations under 1.4.2.2 and 8.6.3 jointly with the filler</w:t>
            </w:r>
          </w:p>
        </w:tc>
        <w:tc>
          <w:tcPr>
            <w:tcW w:w="1196"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1.4.2.2.1(i)</w:t>
            </w:r>
          </w:p>
        </w:tc>
      </w:tr>
    </w:tbl>
    <w:p w:rsidR="00F618F1" w:rsidRPr="00F618F1" w:rsidRDefault="00F618F1" w:rsidP="00F618F1">
      <w:pPr>
        <w:pStyle w:val="SingleTxtG"/>
        <w:spacing w:before="120"/>
        <w:rPr>
          <w:rFonts w:eastAsiaTheme="minorHAnsi"/>
          <w:lang w:val="en-US"/>
        </w:rPr>
      </w:pPr>
      <w:r>
        <w:rPr>
          <w:rFonts w:eastAsiaTheme="minorHAnsi"/>
          <w:lang w:val="en-US"/>
        </w:rPr>
        <w:t>6.</w:t>
      </w:r>
      <w:r>
        <w:rPr>
          <w:rFonts w:eastAsiaTheme="minorHAnsi"/>
          <w:lang w:val="en-US"/>
        </w:rPr>
        <w:tab/>
      </w:r>
      <w:r w:rsidRPr="00F618F1">
        <w:rPr>
          <w:rFonts w:eastAsiaTheme="minorHAnsi"/>
          <w:lang w:val="en-US"/>
        </w:rPr>
        <w:t xml:space="preserve">The </w:t>
      </w:r>
      <w:r w:rsidR="005450F3">
        <w:rPr>
          <w:rFonts w:eastAsiaTheme="minorHAnsi"/>
          <w:lang w:val="en-US"/>
        </w:rPr>
        <w:t>f</w:t>
      </w:r>
      <w:r w:rsidRPr="00F618F1">
        <w:rPr>
          <w:rFonts w:eastAsiaTheme="minorHAnsi"/>
          <w:lang w:val="en-US"/>
        </w:rPr>
        <w:t>iller</w:t>
      </w:r>
    </w:p>
    <w:tbl>
      <w:tblPr>
        <w:tblStyle w:val="TableGrid4"/>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54"/>
        <w:gridCol w:w="4183"/>
        <w:gridCol w:w="1133"/>
      </w:tblGrid>
      <w:tr w:rsidR="00F618F1" w:rsidRPr="00F618F1" w:rsidTr="00F618F1">
        <w:trPr>
          <w:tblHeader/>
        </w:trPr>
        <w:tc>
          <w:tcPr>
            <w:tcW w:w="2605" w:type="dxa"/>
            <w:tcBorders>
              <w:top w:val="single" w:sz="4" w:space="0" w:color="auto"/>
              <w:bottom w:val="single" w:sz="12" w:space="0" w:color="auto"/>
            </w:tcBorders>
            <w:shd w:val="clear" w:color="auto" w:fill="auto"/>
            <w:vAlign w:val="bottom"/>
          </w:tcPr>
          <w:p w:rsidR="00F618F1" w:rsidRPr="00F618F1" w:rsidRDefault="00F618F1" w:rsidP="00F618F1">
            <w:pPr>
              <w:suppressAutoHyphens w:val="0"/>
              <w:spacing w:before="80" w:after="80" w:line="200" w:lineRule="exact"/>
              <w:ind w:right="113"/>
              <w:rPr>
                <w:rFonts w:ascii="Times New Roman" w:hAnsi="Times New Roman" w:cs="Times New Roman"/>
                <w:i/>
                <w:sz w:val="16"/>
                <w:lang w:val="en-US"/>
              </w:rPr>
            </w:pPr>
            <w:r w:rsidRPr="00F618F1">
              <w:rPr>
                <w:rFonts w:ascii="Times New Roman" w:hAnsi="Times New Roman" w:cs="Times New Roman"/>
                <w:i/>
                <w:sz w:val="16"/>
                <w:lang w:val="en-US"/>
              </w:rPr>
              <w:t>For the Filler, it means that he:</w:t>
            </w:r>
          </w:p>
        </w:tc>
        <w:tc>
          <w:tcPr>
            <w:tcW w:w="5310" w:type="dxa"/>
            <w:tcBorders>
              <w:top w:val="single" w:sz="4" w:space="0" w:color="auto"/>
              <w:bottom w:val="single" w:sz="12" w:space="0" w:color="auto"/>
            </w:tcBorders>
            <w:shd w:val="clear" w:color="auto" w:fill="auto"/>
            <w:vAlign w:val="bottom"/>
          </w:tcPr>
          <w:p w:rsidR="00F618F1" w:rsidRPr="00F618F1" w:rsidRDefault="00F618F1" w:rsidP="00F618F1">
            <w:pPr>
              <w:suppressAutoHyphens w:val="0"/>
              <w:spacing w:before="80" w:after="80" w:line="200" w:lineRule="exact"/>
              <w:ind w:right="113"/>
              <w:rPr>
                <w:rFonts w:ascii="Times New Roman" w:hAnsi="Times New Roman" w:cs="Times New Roman"/>
                <w:i/>
                <w:sz w:val="16"/>
                <w:lang w:val="en-US"/>
              </w:rPr>
            </w:pPr>
            <w:r w:rsidRPr="00F618F1">
              <w:rPr>
                <w:rFonts w:ascii="Times New Roman" w:hAnsi="Times New Roman" w:cs="Times New Roman"/>
                <w:i/>
                <w:sz w:val="16"/>
                <w:lang w:val="en-US"/>
              </w:rPr>
              <w:t>Action</w:t>
            </w:r>
          </w:p>
        </w:tc>
        <w:tc>
          <w:tcPr>
            <w:tcW w:w="1435" w:type="dxa"/>
            <w:tcBorders>
              <w:top w:val="single" w:sz="4" w:space="0" w:color="auto"/>
              <w:bottom w:val="single" w:sz="12" w:space="0" w:color="auto"/>
            </w:tcBorders>
            <w:shd w:val="clear" w:color="auto" w:fill="auto"/>
            <w:vAlign w:val="bottom"/>
          </w:tcPr>
          <w:p w:rsidR="00F618F1" w:rsidRPr="00F618F1" w:rsidRDefault="00F618F1" w:rsidP="00F618F1">
            <w:pPr>
              <w:suppressAutoHyphens w:val="0"/>
              <w:spacing w:before="80" w:after="80" w:line="200" w:lineRule="exact"/>
              <w:ind w:right="113"/>
              <w:rPr>
                <w:rFonts w:ascii="Times New Roman" w:hAnsi="Times New Roman" w:cs="Times New Roman"/>
                <w:i/>
                <w:sz w:val="16"/>
                <w:lang w:val="en-US"/>
              </w:rPr>
            </w:pPr>
            <w:r w:rsidRPr="00F618F1">
              <w:rPr>
                <w:rFonts w:ascii="Times New Roman" w:hAnsi="Times New Roman" w:cs="Times New Roman"/>
                <w:i/>
                <w:sz w:val="16"/>
                <w:lang w:val="en-US"/>
              </w:rPr>
              <w:t>ADN</w:t>
            </w:r>
          </w:p>
        </w:tc>
      </w:tr>
      <w:tr w:rsidR="00F618F1" w:rsidRPr="00F618F1" w:rsidTr="00F618F1">
        <w:tc>
          <w:tcPr>
            <w:tcW w:w="2605" w:type="dxa"/>
            <w:tcBorders>
              <w:top w:val="single" w:sz="12" w:space="0" w:color="auto"/>
            </w:tcBorders>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Shall complete his section of the checklist referred to in 7.2.4.10 prior to the loading of the cargo tanks</w:t>
            </w:r>
          </w:p>
        </w:tc>
        <w:tc>
          <w:tcPr>
            <w:tcW w:w="5310" w:type="dxa"/>
            <w:tcBorders>
              <w:top w:val="single" w:sz="12" w:space="0" w:color="auto"/>
            </w:tcBorders>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Informs the </w:t>
            </w:r>
            <w:r w:rsidR="005450F3">
              <w:rPr>
                <w:rFonts w:ascii="Times New Roman" w:hAnsi="Times New Roman" w:cs="Times New Roman"/>
                <w:sz w:val="20"/>
                <w:lang w:val="en-US"/>
              </w:rPr>
              <w:t>c</w:t>
            </w:r>
            <w:r w:rsidRPr="00F618F1">
              <w:rPr>
                <w:rFonts w:ascii="Times New Roman" w:hAnsi="Times New Roman" w:cs="Times New Roman"/>
                <w:sz w:val="20"/>
                <w:lang w:val="en-US"/>
              </w:rPr>
              <w:t xml:space="preserve">arrier about the loading agreement, performs his obligations according to 1.4.3.3, 7.2.4.10 and 8.6.3 jointly with the </w:t>
            </w:r>
            <w:r w:rsidR="005450F3">
              <w:rPr>
                <w:rFonts w:ascii="Times New Roman" w:hAnsi="Times New Roman" w:cs="Times New Roman"/>
                <w:sz w:val="20"/>
                <w:lang w:val="en-US"/>
              </w:rPr>
              <w:t>c</w:t>
            </w:r>
            <w:r w:rsidRPr="00F618F1">
              <w:rPr>
                <w:rFonts w:ascii="Times New Roman" w:hAnsi="Times New Roman" w:cs="Times New Roman"/>
                <w:sz w:val="20"/>
                <w:lang w:val="en-US"/>
              </w:rPr>
              <w:t>arrier</w:t>
            </w:r>
          </w:p>
        </w:tc>
        <w:tc>
          <w:tcPr>
            <w:tcW w:w="1435" w:type="dxa"/>
            <w:tcBorders>
              <w:top w:val="single" w:sz="12" w:space="0" w:color="auto"/>
            </w:tcBorders>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1.4.3.3(m) </w:t>
            </w:r>
          </w:p>
        </w:tc>
      </w:tr>
      <w:tr w:rsidR="00F618F1" w:rsidRPr="00F618F1" w:rsidTr="00F618F1">
        <w:tc>
          <w:tcPr>
            <w:tcW w:w="2605"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shall only fill cargo tanks with the dangerous goods accepted in such tanks </w:t>
            </w:r>
          </w:p>
        </w:tc>
        <w:tc>
          <w:tcPr>
            <w:tcW w:w="5310"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Performs his obligations according to 1.4.3.3, 7.2.4.10 and 8.6.3 jointly with the </w:t>
            </w:r>
            <w:r w:rsidR="005450F3">
              <w:rPr>
                <w:rFonts w:ascii="Times New Roman" w:hAnsi="Times New Roman" w:cs="Times New Roman"/>
                <w:sz w:val="20"/>
                <w:lang w:val="en-US"/>
              </w:rPr>
              <w:t>c</w:t>
            </w:r>
            <w:r w:rsidRPr="00F618F1">
              <w:rPr>
                <w:rFonts w:ascii="Times New Roman" w:hAnsi="Times New Roman" w:cs="Times New Roman"/>
                <w:sz w:val="20"/>
                <w:lang w:val="en-US"/>
              </w:rPr>
              <w:t>arrier</w:t>
            </w:r>
          </w:p>
        </w:tc>
        <w:tc>
          <w:tcPr>
            <w:tcW w:w="1435"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1.4.3.3(n)</w:t>
            </w:r>
          </w:p>
        </w:tc>
      </w:tr>
      <w:tr w:rsidR="00F618F1" w:rsidRPr="00F618F1" w:rsidTr="00F618F1">
        <w:tc>
          <w:tcPr>
            <w:tcW w:w="2605"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shall ascertain that, when prescribed in 7.2.4.25.5, there is a flame-arrester in the vapor return piping to protect the vessel against detonations and flame-fronts from the landward side </w:t>
            </w:r>
          </w:p>
        </w:tc>
        <w:tc>
          <w:tcPr>
            <w:tcW w:w="5310"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 xml:space="preserve">Performs his obligations according to 1.4.3.3, 7.2.4.10 and 8.6.3 jointly with the </w:t>
            </w:r>
            <w:r w:rsidR="005450F3">
              <w:rPr>
                <w:rFonts w:ascii="Times New Roman" w:hAnsi="Times New Roman" w:cs="Times New Roman"/>
                <w:sz w:val="20"/>
                <w:lang w:val="en-US"/>
              </w:rPr>
              <w:t>c</w:t>
            </w:r>
            <w:r w:rsidRPr="00F618F1">
              <w:rPr>
                <w:rFonts w:ascii="Times New Roman" w:hAnsi="Times New Roman" w:cs="Times New Roman"/>
                <w:sz w:val="20"/>
                <w:lang w:val="en-US"/>
              </w:rPr>
              <w:t>arrier</w:t>
            </w:r>
          </w:p>
        </w:tc>
        <w:tc>
          <w:tcPr>
            <w:tcW w:w="1435" w:type="dxa"/>
            <w:shd w:val="clear" w:color="auto" w:fill="auto"/>
          </w:tcPr>
          <w:p w:rsidR="00F618F1" w:rsidRPr="00F618F1" w:rsidRDefault="00F618F1" w:rsidP="00F618F1">
            <w:pPr>
              <w:suppressAutoHyphens w:val="0"/>
              <w:spacing w:before="40" w:after="120" w:line="220" w:lineRule="exact"/>
              <w:ind w:right="113"/>
              <w:rPr>
                <w:rFonts w:ascii="Times New Roman" w:hAnsi="Times New Roman" w:cs="Times New Roman"/>
                <w:sz w:val="20"/>
                <w:lang w:val="en-US"/>
              </w:rPr>
            </w:pPr>
            <w:r w:rsidRPr="00F618F1">
              <w:rPr>
                <w:rFonts w:ascii="Times New Roman" w:hAnsi="Times New Roman" w:cs="Times New Roman"/>
                <w:sz w:val="20"/>
                <w:lang w:val="en-US"/>
              </w:rPr>
              <w:t>1.4.3.3(r)</w:t>
            </w:r>
          </w:p>
        </w:tc>
      </w:tr>
    </w:tbl>
    <w:p w:rsidR="008F7849" w:rsidRPr="008F7849" w:rsidRDefault="00F618F1" w:rsidP="008F7849">
      <w:pPr>
        <w:pStyle w:val="HChG"/>
        <w:rPr>
          <w:rFonts w:eastAsiaTheme="minorHAnsi"/>
          <w:lang w:val="en-US"/>
        </w:rPr>
      </w:pPr>
      <w:r>
        <w:rPr>
          <w:rFonts w:eastAsiaTheme="minorHAnsi"/>
          <w:lang w:val="en-US"/>
        </w:rPr>
        <w:br w:type="page"/>
      </w:r>
      <w:r w:rsidR="008F7849" w:rsidRPr="008F7849">
        <w:rPr>
          <w:rFonts w:eastAsiaTheme="minorHAnsi"/>
          <w:lang w:val="en-US"/>
        </w:rPr>
        <w:lastRenderedPageBreak/>
        <w:t>Annex IV</w:t>
      </w:r>
    </w:p>
    <w:p w:rsidR="008F7849" w:rsidRPr="008F7849" w:rsidRDefault="008F7849" w:rsidP="008F7849">
      <w:pPr>
        <w:pStyle w:val="HChG"/>
        <w:rPr>
          <w:rFonts w:eastAsiaTheme="minorHAnsi"/>
          <w:lang w:val="en-US"/>
        </w:rPr>
      </w:pPr>
      <w:bookmarkStart w:id="3" w:name="_Hlk511729701"/>
      <w:r>
        <w:rPr>
          <w:rFonts w:eastAsiaTheme="minorHAnsi"/>
          <w:lang w:val="en-US"/>
        </w:rPr>
        <w:tab/>
      </w:r>
      <w:r>
        <w:rPr>
          <w:rFonts w:eastAsiaTheme="minorHAnsi"/>
          <w:lang w:val="en-US"/>
        </w:rPr>
        <w:tab/>
      </w:r>
      <w:r w:rsidRPr="008F7849">
        <w:rPr>
          <w:rFonts w:eastAsiaTheme="minorHAnsi"/>
          <w:lang w:val="en-US"/>
        </w:rPr>
        <w:t xml:space="preserve">Principles of classification </w:t>
      </w:r>
    </w:p>
    <w:bookmarkEnd w:id="3"/>
    <w:p w:rsidR="008F7849" w:rsidRPr="008F7849" w:rsidRDefault="008F7849" w:rsidP="008F7849">
      <w:pPr>
        <w:pStyle w:val="SingleTxtG"/>
        <w:rPr>
          <w:rFonts w:eastAsiaTheme="minorHAnsi"/>
        </w:rPr>
      </w:pPr>
      <w:r>
        <w:rPr>
          <w:rFonts w:eastAsiaTheme="minorHAnsi"/>
        </w:rPr>
        <w:t>1.</w:t>
      </w:r>
      <w:r>
        <w:rPr>
          <w:rFonts w:eastAsiaTheme="minorHAnsi"/>
        </w:rPr>
        <w:tab/>
      </w:r>
      <w:r w:rsidRPr="008F7849">
        <w:rPr>
          <w:rFonts w:eastAsiaTheme="minorHAnsi"/>
        </w:rPr>
        <w:t>The principles of classification of the commingled substance follows 2.1.2</w:t>
      </w:r>
      <w:r w:rsidR="005450F3">
        <w:rPr>
          <w:rFonts w:eastAsiaTheme="minorHAnsi"/>
        </w:rPr>
        <w:t xml:space="preserve"> and 2.1.3.</w:t>
      </w:r>
      <w:r w:rsidRPr="008F7849">
        <w:rPr>
          <w:rFonts w:eastAsiaTheme="minorHAnsi"/>
        </w:rPr>
        <w:t xml:space="preserve"> </w:t>
      </w:r>
    </w:p>
    <w:p w:rsidR="008F7849" w:rsidRPr="008F7849" w:rsidRDefault="008F7849" w:rsidP="008F7849">
      <w:pPr>
        <w:pStyle w:val="SingleTxtG"/>
        <w:rPr>
          <w:rFonts w:eastAsiaTheme="minorHAnsi"/>
        </w:rPr>
      </w:pPr>
      <w:r>
        <w:rPr>
          <w:rFonts w:eastAsiaTheme="minorHAnsi"/>
        </w:rPr>
        <w:t>2.</w:t>
      </w:r>
      <w:r>
        <w:rPr>
          <w:rFonts w:eastAsiaTheme="minorHAnsi"/>
        </w:rPr>
        <w:tab/>
      </w:r>
      <w:r w:rsidRPr="008F7849">
        <w:rPr>
          <w:rFonts w:eastAsiaTheme="minorHAnsi"/>
        </w:rPr>
        <w:t>The consignor, in line with 1.4.2.2.1 a), is responsible for the correct classification of the commingled substance according to 2.1</w:t>
      </w:r>
      <w:r w:rsidR="005450F3">
        <w:rPr>
          <w:rFonts w:eastAsiaTheme="minorHAnsi"/>
        </w:rPr>
        <w:t>.3.5.1, 2.1.3.5.2 and 2.1.3.5.4.</w:t>
      </w:r>
    </w:p>
    <w:p w:rsidR="008F7849" w:rsidRPr="008F7849" w:rsidRDefault="008F7849" w:rsidP="008F7849">
      <w:pPr>
        <w:pStyle w:val="SingleTxtG"/>
        <w:rPr>
          <w:rFonts w:eastAsiaTheme="minorHAnsi"/>
        </w:rPr>
      </w:pPr>
      <w:r>
        <w:rPr>
          <w:rFonts w:eastAsiaTheme="minorHAnsi"/>
        </w:rPr>
        <w:t>3.</w:t>
      </w:r>
      <w:r>
        <w:rPr>
          <w:rFonts w:eastAsiaTheme="minorHAnsi"/>
        </w:rPr>
        <w:tab/>
      </w:r>
      <w:r w:rsidRPr="008F7849">
        <w:rPr>
          <w:rFonts w:eastAsiaTheme="minorHAnsi"/>
        </w:rPr>
        <w:t>The consignor shall ensure that the blended products are compatible a</w:t>
      </w:r>
      <w:r w:rsidR="005450F3">
        <w:rPr>
          <w:rFonts w:eastAsiaTheme="minorHAnsi"/>
        </w:rPr>
        <w:t>nd do not react with each other.</w:t>
      </w:r>
    </w:p>
    <w:p w:rsidR="008F7849" w:rsidRPr="008F7849" w:rsidRDefault="008F7849" w:rsidP="008F7849">
      <w:pPr>
        <w:pStyle w:val="HChG"/>
        <w:rPr>
          <w:rFonts w:eastAsiaTheme="minorHAnsi"/>
          <w:lang w:val="en-US"/>
        </w:rPr>
      </w:pPr>
      <w:r>
        <w:rPr>
          <w:rFonts w:eastAsiaTheme="minorHAnsi"/>
          <w:lang w:val="en-US"/>
        </w:rPr>
        <w:br w:type="page"/>
      </w:r>
      <w:r w:rsidRPr="008F7849">
        <w:rPr>
          <w:rFonts w:eastAsiaTheme="minorHAnsi"/>
          <w:lang w:val="en-US"/>
        </w:rPr>
        <w:lastRenderedPageBreak/>
        <w:t>Annex V</w:t>
      </w:r>
    </w:p>
    <w:p w:rsidR="008F7849" w:rsidRPr="008F7849" w:rsidRDefault="008F7849" w:rsidP="008F7849">
      <w:pPr>
        <w:pStyle w:val="HChG"/>
        <w:rPr>
          <w:rFonts w:eastAsiaTheme="minorHAnsi"/>
          <w:lang w:val="en-US"/>
        </w:rPr>
      </w:pPr>
      <w:r>
        <w:rPr>
          <w:rFonts w:eastAsiaTheme="minorHAnsi"/>
          <w:lang w:val="en-US"/>
        </w:rPr>
        <w:tab/>
      </w:r>
      <w:r>
        <w:rPr>
          <w:rFonts w:eastAsiaTheme="minorHAnsi"/>
          <w:lang w:val="en-US"/>
        </w:rPr>
        <w:tab/>
      </w:r>
      <w:r w:rsidRPr="008F7849">
        <w:rPr>
          <w:rFonts w:eastAsiaTheme="minorHAnsi"/>
          <w:lang w:val="en-US"/>
        </w:rPr>
        <w:t>Loading on top according to IMO</w:t>
      </w:r>
    </w:p>
    <w:p w:rsidR="00972C69" w:rsidRPr="00972C69" w:rsidRDefault="00972C69" w:rsidP="00972C69">
      <w:pPr>
        <w:pStyle w:val="SingleTxtG"/>
        <w:rPr>
          <w:rFonts w:eastAsiaTheme="minorHAnsi"/>
        </w:rPr>
      </w:pPr>
      <w:r>
        <w:rPr>
          <w:rFonts w:eastAsiaTheme="minorHAnsi"/>
        </w:rPr>
        <w:t>1.</w:t>
      </w:r>
      <w:r>
        <w:rPr>
          <w:rFonts w:eastAsiaTheme="minorHAnsi"/>
        </w:rPr>
        <w:tab/>
      </w:r>
      <w:r w:rsidRPr="00972C69">
        <w:rPr>
          <w:rFonts w:eastAsiaTheme="minorHAnsi"/>
        </w:rPr>
        <w:t>Loading on top in seagoing vessels while in port is regulated under IMO</w:t>
      </w:r>
      <w:r w:rsidRPr="005450F3">
        <w:rPr>
          <w:rFonts w:eastAsiaTheme="minorHAnsi"/>
          <w:sz w:val="18"/>
          <w:szCs w:val="18"/>
          <w:vertAlign w:val="superscript"/>
        </w:rPr>
        <w:footnoteReference w:id="17"/>
      </w:r>
      <w:r w:rsidRPr="00972C69">
        <w:rPr>
          <w:rFonts w:eastAsiaTheme="minorHAnsi"/>
        </w:rPr>
        <w:t xml:space="preserve"> and discussed in the IMO Subcommittee on Bulk Liquids and Gases</w:t>
      </w:r>
      <w:r w:rsidR="005450F3">
        <w:rPr>
          <w:rFonts w:eastAsiaTheme="minorHAnsi"/>
        </w:rPr>
        <w:t>.</w:t>
      </w:r>
    </w:p>
    <w:p w:rsidR="00972C69" w:rsidRPr="00972C69" w:rsidRDefault="00972C69" w:rsidP="00972C69">
      <w:pPr>
        <w:pStyle w:val="SingleTxtG"/>
        <w:rPr>
          <w:rFonts w:eastAsiaTheme="minorHAnsi"/>
        </w:rPr>
      </w:pPr>
      <w:r>
        <w:rPr>
          <w:rFonts w:eastAsiaTheme="minorHAnsi"/>
        </w:rPr>
        <w:t>2.</w:t>
      </w:r>
      <w:r>
        <w:rPr>
          <w:rFonts w:eastAsiaTheme="minorHAnsi"/>
        </w:rPr>
        <w:tab/>
      </w:r>
      <w:r w:rsidRPr="00972C69">
        <w:rPr>
          <w:rFonts w:eastAsiaTheme="minorHAnsi"/>
        </w:rPr>
        <w:t xml:space="preserve">MEPC.1/Circ. 761 gives guidelines for the carriage of blends or petroleum oil and bio-fuels.  </w:t>
      </w:r>
    </w:p>
    <w:p w:rsidR="00972C69" w:rsidRPr="005450F3" w:rsidRDefault="00972C69" w:rsidP="00972C69">
      <w:pPr>
        <w:pStyle w:val="SingleTxtG"/>
        <w:rPr>
          <w:rFonts w:eastAsiaTheme="minorHAnsi"/>
          <w:sz w:val="18"/>
          <w:szCs w:val="18"/>
          <w:vertAlign w:val="superscript"/>
        </w:rPr>
      </w:pPr>
      <w:r>
        <w:rPr>
          <w:rFonts w:eastAsiaTheme="minorHAnsi"/>
        </w:rPr>
        <w:t>3.</w:t>
      </w:r>
      <w:r>
        <w:rPr>
          <w:rFonts w:eastAsiaTheme="minorHAnsi"/>
        </w:rPr>
        <w:tab/>
      </w:r>
      <w:r w:rsidRPr="00972C69">
        <w:rPr>
          <w:rFonts w:eastAsiaTheme="minorHAnsi"/>
        </w:rPr>
        <w:t xml:space="preserve">In April 2016, the Energy Institute published the </w:t>
      </w:r>
      <w:r w:rsidR="005450F3" w:rsidRPr="005450F3">
        <w:rPr>
          <w:rFonts w:eastAsia="Calibri"/>
        </w:rPr>
        <w:t>“</w:t>
      </w:r>
      <w:r w:rsidRPr="00972C69">
        <w:rPr>
          <w:rFonts w:eastAsiaTheme="minorHAnsi"/>
        </w:rPr>
        <w:t>Guidelines for the Blending of Liquid Hydrocarbon cargoes on board tank vessels</w:t>
      </w:r>
      <w:r w:rsidR="005450F3" w:rsidRPr="005450F3">
        <w:rPr>
          <w:rFonts w:eastAsia="Calibri"/>
        </w:rPr>
        <w:t>”</w:t>
      </w:r>
      <w:r w:rsidR="005450F3">
        <w:rPr>
          <w:rFonts w:eastAsiaTheme="minorHAnsi"/>
        </w:rPr>
        <w:t>.</w:t>
      </w:r>
      <w:r w:rsidRPr="00972C69">
        <w:rPr>
          <w:rFonts w:eastAsiaTheme="minorHAnsi"/>
        </w:rPr>
        <w:t xml:space="preserve"> </w:t>
      </w:r>
      <w:r w:rsidR="005450F3">
        <w:rPr>
          <w:rFonts w:eastAsiaTheme="minorHAnsi"/>
        </w:rPr>
        <w:t>T</w:t>
      </w:r>
      <w:r w:rsidRPr="00972C69">
        <w:rPr>
          <w:rFonts w:eastAsiaTheme="minorHAnsi"/>
        </w:rPr>
        <w:t>his publication covers vessels as well as barges.</w:t>
      </w:r>
      <w:r w:rsidRPr="005450F3">
        <w:rPr>
          <w:rFonts w:eastAsiaTheme="minorHAnsi"/>
          <w:sz w:val="18"/>
          <w:szCs w:val="18"/>
          <w:vertAlign w:val="superscript"/>
        </w:rPr>
        <w:footnoteReference w:id="18"/>
      </w:r>
    </w:p>
    <w:p w:rsidR="00972C69" w:rsidRPr="00972C69" w:rsidRDefault="00972C69" w:rsidP="00972C69">
      <w:pPr>
        <w:pStyle w:val="SingleTxtG"/>
        <w:rPr>
          <w:rFonts w:eastAsiaTheme="minorHAnsi"/>
        </w:rPr>
      </w:pPr>
      <w:r>
        <w:rPr>
          <w:rFonts w:eastAsiaTheme="minorHAnsi"/>
        </w:rPr>
        <w:t>4.</w:t>
      </w:r>
      <w:r>
        <w:rPr>
          <w:rFonts w:eastAsiaTheme="minorHAnsi"/>
        </w:rPr>
        <w:tab/>
      </w:r>
      <w:r w:rsidRPr="00972C69">
        <w:rPr>
          <w:rFonts w:eastAsiaTheme="minorHAnsi"/>
        </w:rPr>
        <w:t xml:space="preserve">MSC325(90) states that </w:t>
      </w:r>
      <w:r w:rsidR="00F744A4">
        <w:rPr>
          <w:rFonts w:eastAsiaTheme="minorHAnsi"/>
        </w:rPr>
        <w:t>b</w:t>
      </w:r>
      <w:r w:rsidRPr="00972C69">
        <w:rPr>
          <w:rFonts w:eastAsiaTheme="minorHAnsi"/>
        </w:rPr>
        <w:t xml:space="preserve">lending operations in port are permitted.  Blending is distinct from </w:t>
      </w:r>
      <w:r w:rsidR="005450F3">
        <w:rPr>
          <w:rFonts w:eastAsiaTheme="minorHAnsi"/>
        </w:rPr>
        <w:t>p</w:t>
      </w:r>
      <w:r w:rsidRPr="00972C69">
        <w:rPr>
          <w:rFonts w:eastAsiaTheme="minorHAnsi"/>
        </w:rPr>
        <w:t xml:space="preserve">roducing and </w:t>
      </w:r>
      <w:r w:rsidR="005450F3">
        <w:rPr>
          <w:rFonts w:eastAsiaTheme="minorHAnsi"/>
        </w:rPr>
        <w:t xml:space="preserve">the International Convention for the Safety of Life at Sea </w:t>
      </w:r>
      <w:r w:rsidR="00F744A4">
        <w:rPr>
          <w:rFonts w:eastAsiaTheme="minorHAnsi"/>
        </w:rPr>
        <w:t>(</w:t>
      </w:r>
      <w:r w:rsidRPr="00972C69">
        <w:rPr>
          <w:rFonts w:eastAsiaTheme="minorHAnsi"/>
        </w:rPr>
        <w:t>SOLAS</w:t>
      </w:r>
      <w:r w:rsidR="00F744A4">
        <w:rPr>
          <w:rFonts w:eastAsiaTheme="minorHAnsi"/>
        </w:rPr>
        <w:t>)</w:t>
      </w:r>
      <w:r w:rsidRPr="00972C69">
        <w:rPr>
          <w:rFonts w:eastAsiaTheme="minorHAnsi"/>
        </w:rPr>
        <w:t xml:space="preserve"> defines physical blending as “the process whereby the ship’s cargo pumps and pipelines are used to internally circulate two or more different cargoes with the intent to achieve a cargo </w:t>
      </w:r>
      <w:r w:rsidR="005450F3">
        <w:rPr>
          <w:rFonts w:eastAsiaTheme="minorHAnsi"/>
        </w:rPr>
        <w:t>with a new product designation”.</w:t>
      </w:r>
    </w:p>
    <w:p w:rsidR="00972C69" w:rsidRPr="00972C69" w:rsidRDefault="00972C69" w:rsidP="00972C69">
      <w:pPr>
        <w:pStyle w:val="SingleTxtG"/>
        <w:rPr>
          <w:rFonts w:eastAsiaTheme="minorHAnsi"/>
        </w:rPr>
      </w:pPr>
      <w:r>
        <w:rPr>
          <w:rFonts w:eastAsiaTheme="minorHAnsi"/>
        </w:rPr>
        <w:t>5.</w:t>
      </w:r>
      <w:r>
        <w:rPr>
          <w:rFonts w:eastAsiaTheme="minorHAnsi"/>
        </w:rPr>
        <w:tab/>
      </w:r>
      <w:r w:rsidRPr="00972C69">
        <w:rPr>
          <w:rFonts w:eastAsiaTheme="minorHAnsi"/>
        </w:rPr>
        <w:t>SOLAS defines production processes as “any deliberate operation whereby a chemical reaction between a ship’s cargo and any other s</w:t>
      </w:r>
      <w:r w:rsidR="005450F3">
        <w:rPr>
          <w:rFonts w:eastAsiaTheme="minorHAnsi"/>
        </w:rPr>
        <w:t>ubstance or cargo takes place” .</w:t>
      </w:r>
    </w:p>
    <w:p w:rsidR="00972C69" w:rsidRPr="00972C69" w:rsidRDefault="00972C69" w:rsidP="00972C69">
      <w:pPr>
        <w:pStyle w:val="HChG"/>
        <w:rPr>
          <w:rFonts w:eastAsiaTheme="minorHAnsi"/>
        </w:rPr>
      </w:pPr>
      <w:r>
        <w:rPr>
          <w:rFonts w:eastAsiaTheme="minorHAnsi"/>
        </w:rPr>
        <w:br w:type="page"/>
      </w:r>
      <w:r w:rsidRPr="00972C69">
        <w:rPr>
          <w:rFonts w:eastAsiaTheme="minorHAnsi"/>
        </w:rPr>
        <w:lastRenderedPageBreak/>
        <w:t>Annex VI</w:t>
      </w:r>
    </w:p>
    <w:p w:rsidR="00972C69" w:rsidRPr="00972C69" w:rsidRDefault="00972C69" w:rsidP="00972C69">
      <w:pPr>
        <w:pStyle w:val="HChG"/>
        <w:rPr>
          <w:rFonts w:eastAsiaTheme="minorHAnsi"/>
        </w:rPr>
      </w:pPr>
      <w:r>
        <w:rPr>
          <w:rFonts w:eastAsiaTheme="minorHAnsi"/>
        </w:rPr>
        <w:tab/>
      </w:r>
      <w:r>
        <w:rPr>
          <w:rFonts w:eastAsiaTheme="minorHAnsi"/>
        </w:rPr>
        <w:tab/>
      </w:r>
      <w:r w:rsidRPr="00972C69">
        <w:rPr>
          <w:rFonts w:eastAsiaTheme="minorHAnsi"/>
        </w:rPr>
        <w:t xml:space="preserve">Inherent safety advantages and public benefits </w:t>
      </w:r>
    </w:p>
    <w:p w:rsidR="00972C69" w:rsidRPr="00972C69" w:rsidRDefault="00972C69" w:rsidP="00E411FA">
      <w:pPr>
        <w:pStyle w:val="H23G"/>
        <w:rPr>
          <w:rFonts w:eastAsiaTheme="minorHAnsi"/>
        </w:rPr>
      </w:pPr>
      <w:r>
        <w:rPr>
          <w:rFonts w:eastAsiaTheme="minorHAnsi"/>
        </w:rPr>
        <w:tab/>
      </w:r>
      <w:r>
        <w:rPr>
          <w:rFonts w:eastAsiaTheme="minorHAnsi"/>
        </w:rPr>
        <w:tab/>
      </w:r>
      <w:r w:rsidRPr="00972C69">
        <w:rPr>
          <w:rFonts w:eastAsiaTheme="minorHAnsi"/>
        </w:rPr>
        <w:t>Public benefit: improved safety on inland waterways and near loading installations: loading on top means less barges means less movements means safer operation</w:t>
      </w:r>
    </w:p>
    <w:p w:rsidR="00972C69" w:rsidRPr="00972C69" w:rsidRDefault="00972C69" w:rsidP="00972C69">
      <w:pPr>
        <w:pStyle w:val="SingleTxtG"/>
        <w:rPr>
          <w:rFonts w:eastAsiaTheme="minorHAnsi"/>
        </w:rPr>
      </w:pPr>
      <w:r>
        <w:rPr>
          <w:rFonts w:eastAsiaTheme="minorHAnsi"/>
        </w:rPr>
        <w:t>1.</w:t>
      </w:r>
      <w:r>
        <w:rPr>
          <w:rFonts w:eastAsiaTheme="minorHAnsi"/>
        </w:rPr>
        <w:tab/>
      </w:r>
      <w:r w:rsidRPr="00972C69">
        <w:rPr>
          <w:rFonts w:eastAsiaTheme="minorHAnsi"/>
        </w:rPr>
        <w:t>According to FETSA, the average barge jetty occupancy in the Amsterdam-Rotterdam</w:t>
      </w:r>
      <w:r w:rsidR="005450F3">
        <w:rPr>
          <w:rFonts w:eastAsiaTheme="minorHAnsi"/>
        </w:rPr>
        <w:t>-Antwerp range</w:t>
      </w:r>
      <w:r w:rsidRPr="00972C69">
        <w:rPr>
          <w:rFonts w:eastAsiaTheme="minorHAnsi"/>
        </w:rPr>
        <w:t xml:space="preserve"> currently amounts to an approximate 55-75%; a number above 65% indicates a loading installation is congested</w:t>
      </w:r>
      <w:r w:rsidR="005450F3">
        <w:rPr>
          <w:rFonts w:eastAsiaTheme="minorHAnsi"/>
        </w:rPr>
        <w:t>.</w:t>
      </w:r>
    </w:p>
    <w:p w:rsidR="00972C69" w:rsidRPr="00972C69" w:rsidRDefault="00972C69" w:rsidP="00972C69">
      <w:pPr>
        <w:pStyle w:val="SingleTxtG"/>
        <w:rPr>
          <w:rFonts w:eastAsiaTheme="minorHAnsi"/>
        </w:rPr>
      </w:pPr>
      <w:r>
        <w:rPr>
          <w:rFonts w:eastAsiaTheme="minorHAnsi"/>
        </w:rPr>
        <w:t>2.</w:t>
      </w:r>
      <w:r>
        <w:rPr>
          <w:rFonts w:eastAsiaTheme="minorHAnsi"/>
        </w:rPr>
        <w:tab/>
      </w:r>
      <w:r w:rsidRPr="00972C69">
        <w:rPr>
          <w:rFonts w:eastAsiaTheme="minorHAnsi"/>
        </w:rPr>
        <w:t>Jetty occupancy</w:t>
      </w:r>
      <w:r w:rsidR="00E411FA">
        <w:rPr>
          <w:rFonts w:eastAsiaTheme="minorHAnsi"/>
        </w:rPr>
        <w:t xml:space="preserve"> follows the market volatility.</w:t>
      </w:r>
      <w:r w:rsidRPr="00972C69">
        <w:rPr>
          <w:rFonts w:eastAsiaTheme="minorHAnsi"/>
        </w:rPr>
        <w:t xml:space="preserve"> If a market is very volatile, trade activity increases and as a result barge traffic and activities at loading/discharge facility increase</w:t>
      </w:r>
      <w:r w:rsidR="005450F3">
        <w:rPr>
          <w:rFonts w:eastAsiaTheme="minorHAnsi"/>
        </w:rPr>
        <w:t>.</w:t>
      </w:r>
    </w:p>
    <w:p w:rsidR="00972C69" w:rsidRPr="00972C69" w:rsidRDefault="00972C69" w:rsidP="00972C69">
      <w:pPr>
        <w:pStyle w:val="SingleTxtG"/>
        <w:rPr>
          <w:rFonts w:eastAsiaTheme="minorHAnsi"/>
        </w:rPr>
      </w:pPr>
      <w:r>
        <w:rPr>
          <w:rFonts w:eastAsiaTheme="minorHAnsi"/>
        </w:rPr>
        <w:t>3.</w:t>
      </w:r>
      <w:r>
        <w:rPr>
          <w:rFonts w:eastAsiaTheme="minorHAnsi"/>
        </w:rPr>
        <w:tab/>
      </w:r>
      <w:r w:rsidRPr="00972C69">
        <w:rPr>
          <w:rFonts w:eastAsiaTheme="minorHAnsi"/>
        </w:rPr>
        <w:t>Barges are often queued and waiting to be loaded; while they are waiting they must find a lay-by berth and in (the vicinity of) densely populated areas in North West Europe, these lay-by berths can be hours away from the loading installations; traffic to and from these lay-by berths add to the CO</w:t>
      </w:r>
      <w:r w:rsidRPr="005450F3">
        <w:rPr>
          <w:rFonts w:eastAsiaTheme="minorHAnsi"/>
          <w:vertAlign w:val="subscript"/>
        </w:rPr>
        <w:t>2</w:t>
      </w:r>
      <w:r w:rsidRPr="00972C69">
        <w:rPr>
          <w:rFonts w:eastAsiaTheme="minorHAnsi"/>
        </w:rPr>
        <w:t xml:space="preserve"> footprint</w:t>
      </w:r>
      <w:r w:rsidR="005450F3">
        <w:rPr>
          <w:rFonts w:eastAsiaTheme="minorHAnsi"/>
        </w:rPr>
        <w:t>.</w:t>
      </w:r>
    </w:p>
    <w:p w:rsidR="00972C69" w:rsidRPr="00972C69" w:rsidRDefault="00972C69" w:rsidP="00972C69">
      <w:pPr>
        <w:pStyle w:val="SingleTxtG"/>
        <w:rPr>
          <w:rFonts w:eastAsiaTheme="minorHAnsi"/>
        </w:rPr>
      </w:pPr>
      <w:r>
        <w:rPr>
          <w:rFonts w:eastAsiaTheme="minorHAnsi"/>
        </w:rPr>
        <w:t>4.</w:t>
      </w:r>
      <w:r>
        <w:rPr>
          <w:rFonts w:eastAsiaTheme="minorHAnsi"/>
        </w:rPr>
        <w:tab/>
      </w:r>
      <w:r w:rsidRPr="00972C69">
        <w:rPr>
          <w:rFonts w:eastAsiaTheme="minorHAnsi"/>
        </w:rPr>
        <w:t>Barges moving to and departing from lay-by berth create additional ((un)mooring) movements and add to the conge</w:t>
      </w:r>
      <w:r w:rsidR="00E411FA">
        <w:rPr>
          <w:rFonts w:eastAsiaTheme="minorHAnsi"/>
        </w:rPr>
        <w:t xml:space="preserve">stion on our inland waterways. </w:t>
      </w:r>
      <w:r w:rsidRPr="00972C69">
        <w:rPr>
          <w:rFonts w:eastAsiaTheme="minorHAnsi"/>
        </w:rPr>
        <w:t xml:space="preserve">While mooring and unmooring should always follow the relevant </w:t>
      </w:r>
      <w:r w:rsidR="005450F3">
        <w:rPr>
          <w:rFonts w:eastAsiaTheme="minorHAnsi"/>
        </w:rPr>
        <w:t>paragraphs</w:t>
      </w:r>
      <w:r w:rsidRPr="00972C69">
        <w:rPr>
          <w:rFonts w:eastAsiaTheme="minorHAnsi"/>
        </w:rPr>
        <w:t xml:space="preserve"> in ADN (such as 7.2.5.3; 7.2.5.4 and 1.1.4.6), it should be recognized that less (barge) movement reduces operational risk.</w:t>
      </w:r>
    </w:p>
    <w:p w:rsidR="00972C69" w:rsidRPr="00972C69" w:rsidRDefault="00972C69" w:rsidP="00972C69">
      <w:pPr>
        <w:pStyle w:val="SingleTxtG"/>
        <w:rPr>
          <w:rFonts w:eastAsiaTheme="minorHAnsi"/>
        </w:rPr>
      </w:pPr>
      <w:r>
        <w:rPr>
          <w:rFonts w:eastAsiaTheme="minorHAnsi"/>
        </w:rPr>
        <w:t>5.</w:t>
      </w:r>
      <w:r>
        <w:rPr>
          <w:rFonts w:eastAsiaTheme="minorHAnsi"/>
        </w:rPr>
        <w:tab/>
      </w:r>
      <w:r w:rsidRPr="00972C69">
        <w:rPr>
          <w:rFonts w:eastAsiaTheme="minorHAnsi"/>
        </w:rPr>
        <w:t>Loading on top in barges significantly reduces barge traffic in our already very busy ports and our inland water ways; reduces queues at loading installations and subsequent mooring/unmooring activities and is therefore a safer operation.</w:t>
      </w:r>
    </w:p>
    <w:p w:rsidR="00972C69" w:rsidRPr="00972C69" w:rsidRDefault="00972C69" w:rsidP="00E411FA">
      <w:pPr>
        <w:pStyle w:val="H23G"/>
        <w:rPr>
          <w:rFonts w:eastAsiaTheme="minorHAnsi"/>
        </w:rPr>
      </w:pPr>
      <w:r>
        <w:rPr>
          <w:rFonts w:eastAsiaTheme="minorHAnsi"/>
        </w:rPr>
        <w:tab/>
      </w:r>
      <w:r>
        <w:rPr>
          <w:rFonts w:eastAsiaTheme="minorHAnsi"/>
        </w:rPr>
        <w:tab/>
      </w:r>
      <w:r w:rsidR="00D62200" w:rsidRPr="00972C69">
        <w:rPr>
          <w:rFonts w:eastAsiaTheme="minorHAnsi"/>
        </w:rPr>
        <w:t>Public benefit</w:t>
      </w:r>
      <w:r w:rsidRPr="00972C69">
        <w:rPr>
          <w:rFonts w:eastAsiaTheme="minorHAnsi"/>
        </w:rPr>
        <w:t xml:space="preserve">: </w:t>
      </w:r>
      <w:r w:rsidR="00D62200">
        <w:rPr>
          <w:rFonts w:eastAsiaTheme="minorHAnsi"/>
        </w:rPr>
        <w:t>g</w:t>
      </w:r>
      <w:r w:rsidRPr="00972C69">
        <w:rPr>
          <w:rFonts w:eastAsiaTheme="minorHAnsi"/>
        </w:rPr>
        <w:t xml:space="preserve">lobal impact: contribution to GHG effect and </w:t>
      </w:r>
      <w:r w:rsidR="005450F3">
        <w:rPr>
          <w:rFonts w:eastAsiaTheme="minorHAnsi"/>
        </w:rPr>
        <w:t>g</w:t>
      </w:r>
      <w:r w:rsidRPr="00972C69">
        <w:rPr>
          <w:rFonts w:eastAsiaTheme="minorHAnsi"/>
        </w:rPr>
        <w:t xml:space="preserve">lobal </w:t>
      </w:r>
      <w:r w:rsidR="005450F3">
        <w:rPr>
          <w:rFonts w:eastAsiaTheme="minorHAnsi"/>
        </w:rPr>
        <w:t>w</w:t>
      </w:r>
      <w:r w:rsidRPr="00972C69">
        <w:rPr>
          <w:rFonts w:eastAsiaTheme="minorHAnsi"/>
        </w:rPr>
        <w:t xml:space="preserve">arming, </w:t>
      </w:r>
      <w:r w:rsidR="005450F3">
        <w:rPr>
          <w:rFonts w:eastAsiaTheme="minorHAnsi"/>
        </w:rPr>
        <w:t>c</w:t>
      </w:r>
      <w:r w:rsidRPr="00972C69">
        <w:rPr>
          <w:rFonts w:eastAsiaTheme="minorHAnsi"/>
        </w:rPr>
        <w:t xml:space="preserve">limate </w:t>
      </w:r>
      <w:r w:rsidR="005450F3">
        <w:rPr>
          <w:rFonts w:eastAsiaTheme="minorHAnsi"/>
        </w:rPr>
        <w:t>c</w:t>
      </w:r>
      <w:r w:rsidRPr="00972C69">
        <w:rPr>
          <w:rFonts w:eastAsiaTheme="minorHAnsi"/>
        </w:rPr>
        <w:t xml:space="preserve">hange, such as direct effects of global temperature increase.  </w:t>
      </w:r>
      <w:r w:rsidR="00D62200" w:rsidRPr="00972C69">
        <w:rPr>
          <w:rFonts w:eastAsiaTheme="minorHAnsi"/>
        </w:rPr>
        <w:t>significant reduction of greenhouse gas</w:t>
      </w:r>
      <w:r w:rsidRPr="00972C69">
        <w:rPr>
          <w:rFonts w:eastAsiaTheme="minorHAnsi"/>
        </w:rPr>
        <w:t xml:space="preserve"> (GHG) </w:t>
      </w:r>
      <w:r w:rsidR="00D62200" w:rsidRPr="00972C69">
        <w:rPr>
          <w:rFonts w:eastAsiaTheme="minorHAnsi"/>
        </w:rPr>
        <w:t>emissions</w:t>
      </w:r>
    </w:p>
    <w:p w:rsidR="00972C69" w:rsidRPr="00972C69" w:rsidRDefault="00972C69" w:rsidP="00972C69">
      <w:pPr>
        <w:pStyle w:val="SingleTxtG"/>
        <w:rPr>
          <w:rFonts w:eastAsiaTheme="minorHAnsi"/>
        </w:rPr>
      </w:pPr>
      <w:r>
        <w:rPr>
          <w:rFonts w:eastAsiaTheme="minorHAnsi"/>
        </w:rPr>
        <w:t>6.</w:t>
      </w:r>
      <w:r>
        <w:rPr>
          <w:rFonts w:eastAsiaTheme="minorHAnsi"/>
        </w:rPr>
        <w:tab/>
      </w:r>
      <w:r w:rsidRPr="00972C69">
        <w:rPr>
          <w:rFonts w:eastAsiaTheme="minorHAnsi"/>
        </w:rPr>
        <w:t>(“CO</w:t>
      </w:r>
      <w:r w:rsidRPr="00F744A4">
        <w:rPr>
          <w:rFonts w:eastAsiaTheme="minorHAnsi"/>
          <w:vertAlign w:val="subscript"/>
        </w:rPr>
        <w:t>2</w:t>
      </w:r>
      <w:r w:rsidRPr="00972C69">
        <w:rPr>
          <w:rFonts w:eastAsiaTheme="minorHAnsi"/>
        </w:rPr>
        <w:t>/CH</w:t>
      </w:r>
      <w:r w:rsidRPr="00F744A4">
        <w:rPr>
          <w:rFonts w:eastAsiaTheme="minorHAnsi"/>
          <w:vertAlign w:val="subscript"/>
        </w:rPr>
        <w:t>4</w:t>
      </w:r>
      <w:r w:rsidRPr="00972C69">
        <w:rPr>
          <w:rFonts w:eastAsiaTheme="minorHAnsi"/>
        </w:rPr>
        <w:t>: “CO</w:t>
      </w:r>
      <w:r w:rsidRPr="00F744A4">
        <w:rPr>
          <w:rFonts w:eastAsiaTheme="minorHAnsi"/>
          <w:vertAlign w:val="subscript"/>
        </w:rPr>
        <w:t>2</w:t>
      </w:r>
      <w:r w:rsidRPr="00972C69">
        <w:rPr>
          <w:rFonts w:eastAsiaTheme="minorHAnsi"/>
        </w:rPr>
        <w:t xml:space="preserve"> – increase of anthropogenic CO</w:t>
      </w:r>
      <w:r w:rsidRPr="00F744A4">
        <w:rPr>
          <w:rFonts w:eastAsiaTheme="minorHAnsi"/>
          <w:vertAlign w:val="subscript"/>
        </w:rPr>
        <w:t>2</w:t>
      </w:r>
      <w:r w:rsidRPr="00972C69">
        <w:rPr>
          <w:rFonts w:eastAsiaTheme="minorHAnsi"/>
        </w:rPr>
        <w:t xml:space="preserve"> to the atmosphere with consequential contribution to Greenhouse Gas effect and Global Warming. Climate Change, amongst other direct effects of global temperature increase. CH</w:t>
      </w:r>
      <w:r w:rsidRPr="00F744A4">
        <w:rPr>
          <w:rFonts w:eastAsiaTheme="minorHAnsi"/>
          <w:vertAlign w:val="subscript"/>
        </w:rPr>
        <w:t>4</w:t>
      </w:r>
      <w:r w:rsidRPr="00972C69">
        <w:rPr>
          <w:rFonts w:eastAsiaTheme="minorHAnsi"/>
        </w:rPr>
        <w:t xml:space="preserve"> – the same effects of CO</w:t>
      </w:r>
      <w:r w:rsidRPr="00F744A4">
        <w:rPr>
          <w:rFonts w:eastAsiaTheme="minorHAnsi"/>
          <w:vertAlign w:val="subscript"/>
        </w:rPr>
        <w:t>2</w:t>
      </w:r>
      <w:r w:rsidRPr="00972C69">
        <w:rPr>
          <w:rFonts w:eastAsiaTheme="minorHAnsi"/>
        </w:rPr>
        <w:t>, but with a Greenhouse Gas Potential 25 time higher than CO</w:t>
      </w:r>
      <w:r w:rsidRPr="00F744A4">
        <w:rPr>
          <w:rFonts w:eastAsiaTheme="minorHAnsi"/>
          <w:vertAlign w:val="subscript"/>
        </w:rPr>
        <w:t>2</w:t>
      </w:r>
      <w:r w:rsidRPr="00972C69">
        <w:rPr>
          <w:rFonts w:eastAsiaTheme="minorHAnsi"/>
        </w:rPr>
        <w:t xml:space="preserve"> </w:t>
      </w:r>
      <w:r w:rsidR="00E411FA">
        <w:rPr>
          <w:rFonts w:eastAsiaTheme="minorHAnsi"/>
        </w:rPr>
        <w:t>over 100 yrs.</w:t>
      </w:r>
      <w:r w:rsidR="005450F3" w:rsidRPr="005450F3">
        <w:rPr>
          <w:rFonts w:eastAsia="Calibri"/>
        </w:rPr>
        <w:t>”</w:t>
      </w:r>
      <w:r w:rsidRPr="00972C69">
        <w:rPr>
          <w:rFonts w:eastAsiaTheme="minorHAnsi"/>
        </w:rPr>
        <w:t xml:space="preserve"> </w:t>
      </w:r>
      <w:r w:rsidRPr="00E411FA">
        <w:rPr>
          <w:rFonts w:eastAsiaTheme="minorHAnsi"/>
          <w:sz w:val="18"/>
          <w:szCs w:val="18"/>
          <w:vertAlign w:val="superscript"/>
        </w:rPr>
        <w:footnoteReference w:id="19"/>
      </w:r>
    </w:p>
    <w:p w:rsidR="00972C69" w:rsidRPr="00972C69" w:rsidRDefault="00E411FA" w:rsidP="00E411FA">
      <w:pPr>
        <w:pStyle w:val="H23G"/>
        <w:rPr>
          <w:rFonts w:eastAsiaTheme="minorHAnsi"/>
        </w:rPr>
      </w:pPr>
      <w:r>
        <w:rPr>
          <w:rFonts w:eastAsiaTheme="minorHAnsi"/>
        </w:rPr>
        <w:tab/>
      </w:r>
      <w:r>
        <w:rPr>
          <w:rFonts w:eastAsiaTheme="minorHAnsi"/>
        </w:rPr>
        <w:tab/>
      </w:r>
      <w:r w:rsidR="00D62200">
        <w:rPr>
          <w:rFonts w:eastAsiaTheme="minorHAnsi"/>
        </w:rPr>
        <w:t>P</w:t>
      </w:r>
      <w:r w:rsidR="00D62200" w:rsidRPr="00972C69">
        <w:rPr>
          <w:rFonts w:eastAsiaTheme="minorHAnsi"/>
        </w:rPr>
        <w:t xml:space="preserve">ublic benefit – local / regional impact: significant reduction of air pollution: </w:t>
      </w:r>
    </w:p>
    <w:p w:rsidR="00972C69" w:rsidRPr="00972C69" w:rsidRDefault="00E411FA" w:rsidP="00972C69">
      <w:pPr>
        <w:pStyle w:val="SingleTxtG"/>
        <w:rPr>
          <w:rFonts w:eastAsiaTheme="minorHAnsi"/>
        </w:rPr>
      </w:pPr>
      <w:r>
        <w:rPr>
          <w:rFonts w:eastAsiaTheme="minorHAnsi"/>
        </w:rPr>
        <w:t>7.</w:t>
      </w:r>
      <w:r>
        <w:rPr>
          <w:rFonts w:eastAsiaTheme="minorHAnsi"/>
        </w:rPr>
        <w:tab/>
      </w:r>
      <w:r w:rsidR="00972C69" w:rsidRPr="00972C69">
        <w:rPr>
          <w:rFonts w:eastAsiaTheme="minorHAnsi"/>
        </w:rPr>
        <w:t>(“SOx - Local/regional impact. SO</w:t>
      </w:r>
      <w:r w:rsidR="00972C69" w:rsidRPr="00F744A4">
        <w:rPr>
          <w:rFonts w:eastAsiaTheme="minorHAnsi"/>
          <w:vertAlign w:val="subscript"/>
        </w:rPr>
        <w:t>2</w:t>
      </w:r>
      <w:r w:rsidR="00972C69" w:rsidRPr="00972C69">
        <w:rPr>
          <w:rFonts w:eastAsiaTheme="minorHAnsi"/>
        </w:rPr>
        <w:t xml:space="preserve"> contributes to acid deposition which, in turn, affects the quality of soils and water. SOx are known as precursors for Particulate Matter formation. NOx – reacts with ammonia to form nitric acid vapour and related particles that can penetrate deeply into sensitive lung tissue and damage it, causing premature death in extreme cases. From the reaction with Volatile Organic Compounds (VOC), in the presence of sunlight, Ozone can cause adverse effects such as damage to lung tissue and reduction in lung function mostly in susceptible populations (children, elderly, and asthmatics). Ozone </w:t>
      </w:r>
      <w:r w:rsidR="00972C69" w:rsidRPr="00972C69">
        <w:rPr>
          <w:rFonts w:eastAsiaTheme="minorHAnsi"/>
        </w:rPr>
        <w:lastRenderedPageBreak/>
        <w:t>can be transported by wind currents and cause health impacts far from the original sources.”</w:t>
      </w:r>
      <w:r w:rsidR="00972C69" w:rsidRPr="00E411FA">
        <w:rPr>
          <w:rFonts w:eastAsiaTheme="minorHAnsi"/>
          <w:sz w:val="18"/>
          <w:szCs w:val="18"/>
          <w:vertAlign w:val="superscript"/>
        </w:rPr>
        <w:footnoteReference w:id="20"/>
      </w:r>
    </w:p>
    <w:p w:rsidR="00972C69" w:rsidRPr="00972C69" w:rsidRDefault="00E411FA" w:rsidP="00972C69">
      <w:pPr>
        <w:pStyle w:val="SingleTxtG"/>
        <w:rPr>
          <w:rFonts w:eastAsiaTheme="minorHAnsi"/>
        </w:rPr>
      </w:pPr>
      <w:r>
        <w:rPr>
          <w:rFonts w:eastAsiaTheme="minorHAnsi"/>
        </w:rPr>
        <w:t>8.</w:t>
      </w:r>
      <w:r>
        <w:rPr>
          <w:rFonts w:eastAsiaTheme="minorHAnsi"/>
        </w:rPr>
        <w:tab/>
      </w:r>
      <w:r w:rsidR="00972C69" w:rsidRPr="00972C69">
        <w:rPr>
          <w:rFonts w:eastAsiaTheme="minorHAnsi"/>
        </w:rPr>
        <w:t xml:space="preserve">However, it should be noted that there is uncertainty on the calculation of emissions from transport, as published by </w:t>
      </w:r>
      <w:r w:rsidR="005450F3">
        <w:rPr>
          <w:rFonts w:eastAsiaTheme="minorHAnsi"/>
        </w:rPr>
        <w:t>the Netherlands Organization for applied scientific research (</w:t>
      </w:r>
      <w:r w:rsidR="00972C69" w:rsidRPr="00972C69">
        <w:rPr>
          <w:rFonts w:eastAsiaTheme="minorHAnsi"/>
        </w:rPr>
        <w:t>TNO</w:t>
      </w:r>
      <w:r w:rsidR="005450F3">
        <w:rPr>
          <w:rFonts w:eastAsiaTheme="minorHAnsi"/>
        </w:rPr>
        <w:t>)</w:t>
      </w:r>
      <w:r w:rsidR="00972C69" w:rsidRPr="00972C69">
        <w:rPr>
          <w:rFonts w:eastAsiaTheme="minorHAnsi"/>
        </w:rPr>
        <w:t xml:space="preserve"> on August 7, 2017. </w:t>
      </w:r>
      <w:r w:rsidR="00972C69" w:rsidRPr="00E411FA">
        <w:rPr>
          <w:rFonts w:eastAsiaTheme="minorHAnsi"/>
          <w:sz w:val="18"/>
          <w:szCs w:val="18"/>
          <w:vertAlign w:val="superscript"/>
        </w:rPr>
        <w:footnoteReference w:id="21"/>
      </w:r>
    </w:p>
    <w:p w:rsidR="00972C69" w:rsidRPr="00972C69" w:rsidRDefault="00E411FA" w:rsidP="00E411FA">
      <w:pPr>
        <w:pStyle w:val="H23G"/>
        <w:rPr>
          <w:rFonts w:eastAsiaTheme="minorHAnsi"/>
        </w:rPr>
      </w:pPr>
      <w:r>
        <w:rPr>
          <w:rFonts w:eastAsiaTheme="minorHAnsi"/>
        </w:rPr>
        <w:tab/>
      </w:r>
      <w:r>
        <w:rPr>
          <w:rFonts w:eastAsiaTheme="minorHAnsi"/>
        </w:rPr>
        <w:tab/>
      </w:r>
      <w:r w:rsidR="00D62200" w:rsidRPr="00972C69">
        <w:rPr>
          <w:rFonts w:eastAsiaTheme="minorHAnsi"/>
        </w:rPr>
        <w:t>Substantial</w:t>
      </w:r>
      <w:r w:rsidR="00972C69" w:rsidRPr="00972C69">
        <w:rPr>
          <w:rFonts w:eastAsiaTheme="minorHAnsi"/>
        </w:rPr>
        <w:t xml:space="preserve"> NOx, SOx, </w:t>
      </w:r>
      <w:r w:rsidR="00D62200" w:rsidRPr="00972C69">
        <w:rPr>
          <w:rFonts w:eastAsiaTheme="minorHAnsi"/>
        </w:rPr>
        <w:t>particulate matter (</w:t>
      </w:r>
      <w:r w:rsidR="00D62200">
        <w:rPr>
          <w:rFonts w:eastAsiaTheme="minorHAnsi"/>
        </w:rPr>
        <w:t>PM</w:t>
      </w:r>
      <w:r w:rsidR="00D62200" w:rsidRPr="00972C69">
        <w:rPr>
          <w:rFonts w:eastAsiaTheme="minorHAnsi"/>
        </w:rPr>
        <w:t>) reduction already achieved: carrying industry made greener</w:t>
      </w:r>
      <w:r w:rsidR="00972C69" w:rsidRPr="00972C69">
        <w:rPr>
          <w:rFonts w:eastAsiaTheme="minorHAnsi"/>
        </w:rPr>
        <w:t>.</w:t>
      </w:r>
    </w:p>
    <w:p w:rsidR="00972C69" w:rsidRPr="00972C69" w:rsidRDefault="00E411FA" w:rsidP="00972C69">
      <w:pPr>
        <w:pStyle w:val="SingleTxtG"/>
        <w:rPr>
          <w:rFonts w:eastAsiaTheme="minorHAnsi"/>
        </w:rPr>
      </w:pPr>
      <w:r>
        <w:rPr>
          <w:rFonts w:eastAsiaTheme="minorHAnsi"/>
        </w:rPr>
        <w:t>9.</w:t>
      </w:r>
      <w:r>
        <w:rPr>
          <w:rFonts w:eastAsiaTheme="minorHAnsi"/>
        </w:rPr>
        <w:tab/>
      </w:r>
      <w:r w:rsidR="00972C69" w:rsidRPr="00972C69">
        <w:rPr>
          <w:rFonts w:eastAsiaTheme="minorHAnsi"/>
        </w:rPr>
        <w:t xml:space="preserve">In line with our industry’s responsible behavior, and by loading on top, we help achieve substantial reduction of air emissions. </w:t>
      </w:r>
    </w:p>
    <w:p w:rsidR="00972C69" w:rsidRPr="00972C69" w:rsidRDefault="00E411FA" w:rsidP="00972C69">
      <w:pPr>
        <w:pStyle w:val="SingleTxtG"/>
        <w:rPr>
          <w:rFonts w:eastAsiaTheme="minorHAnsi"/>
        </w:rPr>
      </w:pPr>
      <w:r>
        <w:rPr>
          <w:rFonts w:eastAsiaTheme="minorHAnsi"/>
        </w:rPr>
        <w:t>10.</w:t>
      </w:r>
      <w:r>
        <w:rPr>
          <w:rFonts w:eastAsiaTheme="minorHAnsi"/>
        </w:rPr>
        <w:tab/>
      </w:r>
      <w:r w:rsidR="005450F3" w:rsidRPr="00972C69">
        <w:rPr>
          <w:rFonts w:eastAsiaTheme="minorHAnsi"/>
        </w:rPr>
        <w:t>Shore optimization and inherent safety advantages</w:t>
      </w:r>
      <w:r w:rsidR="000A794A">
        <w:rPr>
          <w:rFonts w:eastAsiaTheme="minorHAnsi"/>
        </w:rPr>
        <w:t>:</w:t>
      </w:r>
      <w:r w:rsidR="005450F3" w:rsidRPr="00972C69">
        <w:rPr>
          <w:rFonts w:eastAsiaTheme="minorHAnsi"/>
        </w:rPr>
        <w:t xml:space="preserve"> </w:t>
      </w:r>
    </w:p>
    <w:p w:rsidR="00972C69" w:rsidRPr="00972C69" w:rsidRDefault="00E411FA" w:rsidP="00E411FA">
      <w:pPr>
        <w:pStyle w:val="SingleTxtG"/>
        <w:ind w:firstLine="567"/>
        <w:rPr>
          <w:rFonts w:eastAsiaTheme="minorHAnsi"/>
        </w:rPr>
      </w:pPr>
      <w:r>
        <w:rPr>
          <w:rFonts w:eastAsiaTheme="minorHAnsi"/>
        </w:rPr>
        <w:t>(a)</w:t>
      </w:r>
      <w:r>
        <w:rPr>
          <w:rFonts w:eastAsiaTheme="minorHAnsi"/>
        </w:rPr>
        <w:tab/>
      </w:r>
      <w:r w:rsidR="00972C69" w:rsidRPr="00972C69">
        <w:rPr>
          <w:rFonts w:eastAsiaTheme="minorHAnsi"/>
        </w:rPr>
        <w:t xml:space="preserve">Different </w:t>
      </w:r>
      <w:r w:rsidR="000A794A">
        <w:rPr>
          <w:rFonts w:eastAsiaTheme="minorHAnsi"/>
        </w:rPr>
        <w:t>t</w:t>
      </w:r>
      <w:r w:rsidR="00972C69" w:rsidRPr="00972C69">
        <w:rPr>
          <w:rFonts w:eastAsiaTheme="minorHAnsi"/>
        </w:rPr>
        <w:t xml:space="preserve">erminals have different products; not all products are conveniently located on </w:t>
      </w:r>
      <w:r w:rsidR="000A794A">
        <w:rPr>
          <w:rFonts w:eastAsiaTheme="minorHAnsi"/>
        </w:rPr>
        <w:t>one</w:t>
      </w:r>
      <w:r w:rsidR="00972C69" w:rsidRPr="00972C69">
        <w:rPr>
          <w:rFonts w:eastAsiaTheme="minorHAnsi"/>
        </w:rPr>
        <w:t xml:space="preserve"> site</w:t>
      </w:r>
      <w:r w:rsidR="000A794A">
        <w:rPr>
          <w:rFonts w:eastAsiaTheme="minorHAnsi"/>
        </w:rPr>
        <w:t>;</w:t>
      </w:r>
      <w:r w:rsidR="00972C69" w:rsidRPr="00972C69">
        <w:rPr>
          <w:rFonts w:eastAsiaTheme="minorHAnsi"/>
        </w:rPr>
        <w:t xml:space="preserve"> </w:t>
      </w:r>
    </w:p>
    <w:p w:rsidR="00972C69" w:rsidRPr="00972C69" w:rsidRDefault="00E411FA" w:rsidP="00E411FA">
      <w:pPr>
        <w:pStyle w:val="SingleTxtG"/>
        <w:ind w:firstLine="567"/>
        <w:rPr>
          <w:rFonts w:eastAsiaTheme="minorHAnsi"/>
        </w:rPr>
      </w:pPr>
      <w:r>
        <w:rPr>
          <w:rFonts w:eastAsiaTheme="minorHAnsi"/>
        </w:rPr>
        <w:t>(b)</w:t>
      </w:r>
      <w:r>
        <w:rPr>
          <w:rFonts w:eastAsiaTheme="minorHAnsi"/>
        </w:rPr>
        <w:tab/>
      </w:r>
      <w:r w:rsidR="00972C69" w:rsidRPr="00972C69">
        <w:rPr>
          <w:rFonts w:eastAsiaTheme="minorHAnsi"/>
        </w:rPr>
        <w:t>Different refineries produce different products, depending on the refinery’s feed and set-up</w:t>
      </w:r>
      <w:r w:rsidR="000A794A">
        <w:rPr>
          <w:rFonts w:eastAsiaTheme="minorHAnsi"/>
        </w:rPr>
        <w:t>;</w:t>
      </w:r>
    </w:p>
    <w:p w:rsidR="00972C69" w:rsidRPr="00972C69" w:rsidRDefault="00E411FA" w:rsidP="00E411FA">
      <w:pPr>
        <w:pStyle w:val="SingleTxtG"/>
        <w:ind w:firstLine="567"/>
        <w:rPr>
          <w:rFonts w:eastAsiaTheme="minorHAnsi"/>
        </w:rPr>
      </w:pPr>
      <w:r>
        <w:rPr>
          <w:rFonts w:eastAsiaTheme="minorHAnsi"/>
        </w:rPr>
        <w:t>(c)</w:t>
      </w:r>
      <w:r>
        <w:rPr>
          <w:rFonts w:eastAsiaTheme="minorHAnsi"/>
        </w:rPr>
        <w:tab/>
      </w:r>
      <w:r w:rsidR="00972C69" w:rsidRPr="00972C69">
        <w:rPr>
          <w:rFonts w:eastAsiaTheme="minorHAnsi"/>
        </w:rPr>
        <w:t xml:space="preserve">Most barges have less capacity than a shore tank.  </w:t>
      </w:r>
    </w:p>
    <w:p w:rsidR="00E411FA" w:rsidRDefault="00E411FA" w:rsidP="00E411FA">
      <w:pPr>
        <w:pStyle w:val="HChG"/>
        <w:rPr>
          <w:rFonts w:eastAsiaTheme="minorHAnsi"/>
          <w:lang w:val="en-US"/>
        </w:rPr>
      </w:pPr>
      <w:r>
        <w:rPr>
          <w:rFonts w:eastAsiaTheme="minorHAnsi"/>
        </w:rPr>
        <w:br w:type="page"/>
      </w:r>
      <w:bookmarkStart w:id="4" w:name="_Hlk515612603"/>
      <w:r w:rsidRPr="00E411FA">
        <w:rPr>
          <w:rFonts w:eastAsiaTheme="minorHAnsi"/>
          <w:lang w:val="en-US"/>
        </w:rPr>
        <w:lastRenderedPageBreak/>
        <w:t>Annex VII</w:t>
      </w:r>
    </w:p>
    <w:p w:rsidR="00E411FA" w:rsidRPr="00E411FA" w:rsidRDefault="00E411FA" w:rsidP="00E411FA">
      <w:pPr>
        <w:pStyle w:val="HChG"/>
        <w:rPr>
          <w:rFonts w:eastAsiaTheme="minorHAnsi"/>
          <w:lang w:val="en-US"/>
        </w:rPr>
      </w:pPr>
      <w:r>
        <w:rPr>
          <w:rFonts w:eastAsiaTheme="minorHAnsi"/>
          <w:lang w:val="en-US"/>
        </w:rPr>
        <w:tab/>
      </w:r>
      <w:r>
        <w:rPr>
          <w:rFonts w:eastAsiaTheme="minorHAnsi"/>
          <w:lang w:val="en-US"/>
        </w:rPr>
        <w:tab/>
      </w:r>
      <w:r w:rsidRPr="00E411FA">
        <w:rPr>
          <w:rFonts w:eastAsiaTheme="minorHAnsi"/>
          <w:lang w:val="en-US"/>
        </w:rPr>
        <w:t>Conclusion</w:t>
      </w:r>
      <w:bookmarkEnd w:id="4"/>
    </w:p>
    <w:p w:rsidR="00E411FA" w:rsidRPr="00E411FA" w:rsidRDefault="00E411FA" w:rsidP="00E411FA">
      <w:pPr>
        <w:pStyle w:val="SingleTxtG"/>
        <w:rPr>
          <w:rFonts w:eastAsiaTheme="minorHAnsi"/>
        </w:rPr>
      </w:pPr>
      <w:r>
        <w:rPr>
          <w:rFonts w:eastAsiaTheme="minorHAnsi"/>
        </w:rPr>
        <w:t>1.</w:t>
      </w:r>
      <w:r>
        <w:rPr>
          <w:rFonts w:eastAsiaTheme="minorHAnsi"/>
        </w:rPr>
        <w:tab/>
      </w:r>
      <w:r w:rsidRPr="00E411FA">
        <w:rPr>
          <w:rFonts w:eastAsiaTheme="minorHAnsi"/>
        </w:rPr>
        <w:t>Loading on top in barges, under strict and clear cond</w:t>
      </w:r>
      <w:r w:rsidR="000A794A">
        <w:rPr>
          <w:rFonts w:eastAsiaTheme="minorHAnsi"/>
        </w:rPr>
        <w:t>itions, can be regulated in ADN.</w:t>
      </w:r>
    </w:p>
    <w:p w:rsidR="00E411FA" w:rsidRPr="00E411FA" w:rsidRDefault="00E411FA" w:rsidP="00E411FA">
      <w:pPr>
        <w:pStyle w:val="SingleTxtG"/>
        <w:rPr>
          <w:rFonts w:eastAsiaTheme="minorHAnsi"/>
        </w:rPr>
      </w:pPr>
      <w:r>
        <w:rPr>
          <w:rFonts w:eastAsiaTheme="minorHAnsi"/>
        </w:rPr>
        <w:t>2.</w:t>
      </w:r>
      <w:r>
        <w:rPr>
          <w:rFonts w:eastAsiaTheme="minorHAnsi"/>
        </w:rPr>
        <w:tab/>
      </w:r>
      <w:r w:rsidRPr="00E411FA">
        <w:rPr>
          <w:rFonts w:eastAsiaTheme="minorHAnsi"/>
        </w:rPr>
        <w:t xml:space="preserve">Loading on top is not to be confused with blending, production, formulating nor manufacturing, as referred to in Annex V. </w:t>
      </w:r>
    </w:p>
    <w:p w:rsidR="00E411FA" w:rsidRPr="00E411FA" w:rsidRDefault="00E411FA" w:rsidP="00E411FA">
      <w:pPr>
        <w:pStyle w:val="SingleTxtG"/>
        <w:rPr>
          <w:rFonts w:eastAsiaTheme="minorHAnsi"/>
        </w:rPr>
      </w:pPr>
      <w:r>
        <w:rPr>
          <w:rFonts w:eastAsiaTheme="minorHAnsi"/>
        </w:rPr>
        <w:t>3.</w:t>
      </w:r>
      <w:r>
        <w:rPr>
          <w:rFonts w:eastAsiaTheme="minorHAnsi"/>
        </w:rPr>
        <w:tab/>
      </w:r>
      <w:r w:rsidRPr="00E411FA">
        <w:rPr>
          <w:rFonts w:eastAsiaTheme="minorHAnsi"/>
        </w:rPr>
        <w:t>The operation must be transpare</w:t>
      </w:r>
      <w:r w:rsidR="000A794A">
        <w:rPr>
          <w:rFonts w:eastAsiaTheme="minorHAnsi"/>
        </w:rPr>
        <w:t xml:space="preserve">nt, traceable and enforceable. </w:t>
      </w:r>
    </w:p>
    <w:p w:rsidR="00E411FA" w:rsidRDefault="00E411FA" w:rsidP="00E411FA">
      <w:pPr>
        <w:pStyle w:val="HChG"/>
        <w:rPr>
          <w:rFonts w:eastAsiaTheme="minorHAnsi"/>
          <w:lang w:val="en-US"/>
        </w:rPr>
      </w:pPr>
      <w:r>
        <w:rPr>
          <w:rFonts w:eastAsiaTheme="minorHAnsi"/>
        </w:rPr>
        <w:br w:type="page"/>
      </w:r>
      <w:bookmarkStart w:id="5" w:name="_Hlk515613132"/>
      <w:r>
        <w:rPr>
          <w:rFonts w:eastAsiaTheme="minorHAnsi"/>
          <w:lang w:val="en-US"/>
        </w:rPr>
        <w:lastRenderedPageBreak/>
        <w:t>Appendix</w:t>
      </w:r>
    </w:p>
    <w:p w:rsidR="00E411FA" w:rsidRPr="00E411FA" w:rsidRDefault="00E411FA" w:rsidP="00E411FA">
      <w:pPr>
        <w:pStyle w:val="HChG"/>
        <w:rPr>
          <w:rFonts w:eastAsiaTheme="minorHAnsi"/>
          <w:lang w:val="en-US"/>
        </w:rPr>
      </w:pPr>
      <w:r>
        <w:rPr>
          <w:rFonts w:eastAsiaTheme="minorHAnsi"/>
          <w:lang w:val="en-US"/>
        </w:rPr>
        <w:tab/>
      </w:r>
      <w:r>
        <w:rPr>
          <w:rFonts w:eastAsiaTheme="minorHAnsi"/>
          <w:lang w:val="en-US"/>
        </w:rPr>
        <w:tab/>
      </w:r>
      <w:r w:rsidRPr="00E411FA">
        <w:rPr>
          <w:rFonts w:eastAsiaTheme="minorHAnsi"/>
          <w:lang w:val="en-US"/>
        </w:rPr>
        <w:t xml:space="preserve">Letter of support from the association of </w:t>
      </w:r>
      <w:r>
        <w:rPr>
          <w:rFonts w:eastAsiaTheme="minorHAnsi"/>
          <w:lang w:val="en-US"/>
        </w:rPr>
        <w:t>D</w:t>
      </w:r>
      <w:r w:rsidRPr="00E411FA">
        <w:rPr>
          <w:rFonts w:eastAsiaTheme="minorHAnsi"/>
          <w:lang w:val="en-US"/>
        </w:rPr>
        <w:t>utch seaports</w:t>
      </w:r>
    </w:p>
    <w:bookmarkEnd w:id="5"/>
    <w:p w:rsidR="00E97B2D" w:rsidRPr="00972C69" w:rsidRDefault="004D1C6E" w:rsidP="00E411FA">
      <w:pPr>
        <w:pStyle w:val="SingleTxtG"/>
        <w:ind w:left="426"/>
        <w:rPr>
          <w:rFonts w:eastAsiaTheme="minorHAnsi"/>
        </w:rPr>
      </w:pPr>
      <w:r>
        <w:rPr>
          <w:rFonts w:cs="Calibri"/>
          <w:noProof/>
        </w:rPr>
        <w:pict>
          <v:shape id="Afbeelding 1" o:spid="_x0000_i1027" type="#_x0000_t75" style="width:430.95pt;height:554.5pt;visibility:visible;mso-wrap-style:square">
            <v:imagedata r:id="rId21" o:title=""/>
          </v:shape>
        </w:pict>
      </w:r>
    </w:p>
    <w:p w:rsidR="00E97B2D" w:rsidRPr="00364307" w:rsidRDefault="004D1C6E" w:rsidP="00E411FA">
      <w:pPr>
        <w:pStyle w:val="SingleTxtG"/>
        <w:ind w:left="567"/>
        <w:rPr>
          <w:rFonts w:eastAsiaTheme="minorHAnsi"/>
          <w:lang w:val="en-US"/>
        </w:rPr>
      </w:pPr>
      <w:r>
        <w:rPr>
          <w:rFonts w:cs="Calibri"/>
          <w:noProof/>
        </w:rPr>
        <w:lastRenderedPageBreak/>
        <w:pict>
          <v:shape id="Afbeelding 3" o:spid="_x0000_i1028" type="#_x0000_t75" style="width:437.9pt;height:257.9pt;visibility:visible;mso-wrap-style:square">
            <v:imagedata r:id="rId22" o:title=""/>
          </v:shape>
        </w:pict>
      </w:r>
    </w:p>
    <w:p w:rsidR="000F2AA3" w:rsidRPr="003134DF" w:rsidRDefault="000F2AA3" w:rsidP="003F06D7">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241754">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131" w:rsidRDefault="00585131"/>
  </w:endnote>
  <w:endnote w:type="continuationSeparator" w:id="0">
    <w:p w:rsidR="00585131" w:rsidRDefault="00585131"/>
  </w:endnote>
  <w:endnote w:type="continuationNotice" w:id="1">
    <w:p w:rsidR="00585131" w:rsidRDefault="00585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Default="00585131">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E43F09">
      <w:rPr>
        <w:b/>
        <w:noProof/>
        <w:sz w:val="18"/>
      </w:rPr>
      <w:t>2</w:t>
    </w:r>
    <w:r w:rsidRPr="00AA48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Default="00585131" w:rsidP="00241754">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E43F09">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BD684A" w:rsidRDefault="00585131" w:rsidP="00BD68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Default="005851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Default="00585131">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E43F09">
      <w:rPr>
        <w:b/>
        <w:noProof/>
        <w:sz w:val="18"/>
      </w:rPr>
      <w:t>18</w:t>
    </w:r>
    <w:r w:rsidRPr="00AA480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BD684A" w:rsidRDefault="00585131" w:rsidP="00BD684A">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E43F09">
      <w:rPr>
        <w:b/>
        <w:noProof/>
        <w:sz w:val="18"/>
      </w:rPr>
      <w:t>17</w:t>
    </w:r>
    <w:r w:rsidRPr="00AA480B">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Default="00585131" w:rsidP="00BD684A">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747CA8">
      <w:rPr>
        <w:b/>
        <w:noProof/>
        <w:sz w:val="18"/>
      </w:rPr>
      <w:t>10</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131" w:rsidRDefault="00585131">
      <w:pPr>
        <w:tabs>
          <w:tab w:val="right" w:pos="2155"/>
        </w:tabs>
        <w:spacing w:after="80"/>
        <w:ind w:left="680"/>
        <w:rPr>
          <w:u w:val="single"/>
        </w:rPr>
      </w:pPr>
      <w:r>
        <w:rPr>
          <w:u w:val="single"/>
        </w:rPr>
        <w:tab/>
      </w:r>
    </w:p>
  </w:footnote>
  <w:footnote w:type="continuationSeparator" w:id="0">
    <w:p w:rsidR="00585131" w:rsidRDefault="00585131">
      <w:pPr>
        <w:tabs>
          <w:tab w:val="left" w:pos="2155"/>
        </w:tabs>
        <w:spacing w:after="80"/>
        <w:ind w:left="680"/>
        <w:rPr>
          <w:u w:val="single"/>
        </w:rPr>
      </w:pPr>
      <w:r>
        <w:rPr>
          <w:u w:val="single"/>
        </w:rPr>
        <w:tab/>
      </w:r>
    </w:p>
  </w:footnote>
  <w:footnote w:type="continuationNotice" w:id="1">
    <w:p w:rsidR="00585131" w:rsidRDefault="00585131"/>
  </w:footnote>
  <w:footnote w:id="2">
    <w:p w:rsidR="00585131" w:rsidRPr="003A7D20" w:rsidRDefault="00585131" w:rsidP="00D53053">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Pr>
          <w:lang w:val="en-US"/>
        </w:rPr>
        <w:t>39</w:t>
      </w:r>
      <w:r w:rsidRPr="003A7D20">
        <w:rPr>
          <w:lang w:val="en-US"/>
        </w:rPr>
        <w:t>.</w:t>
      </w:r>
    </w:p>
  </w:footnote>
  <w:footnote w:id="3">
    <w:p w:rsidR="00585131" w:rsidRPr="003A7D20" w:rsidRDefault="00585131" w:rsidP="00ED5F4B">
      <w:pPr>
        <w:pStyle w:val="FootnoteText"/>
        <w:rPr>
          <w:lang w:val="en-US"/>
        </w:rPr>
      </w:pPr>
      <w:r>
        <w:rPr>
          <w:lang w:val="en-US"/>
        </w:rPr>
        <w:tab/>
      </w:r>
      <w:r w:rsidRPr="005D4EB0">
        <w:rPr>
          <w:rStyle w:val="FootnoteReference"/>
          <w:sz w:val="20"/>
          <w:lang w:val="en-US"/>
        </w:rPr>
        <w:t>**</w:t>
      </w:r>
      <w:r w:rsidRPr="003A7D20">
        <w:rPr>
          <w:lang w:val="en-US"/>
        </w:rPr>
        <w:tab/>
        <w:t>In accordance with the programme of work of the Inl</w:t>
      </w:r>
      <w:r>
        <w:rPr>
          <w:lang w:val="en-US"/>
        </w:rPr>
        <w:t>and Transport Committee for 2018-2019</w:t>
      </w:r>
      <w:r w:rsidRPr="003A7D20">
        <w:rPr>
          <w:lang w:val="en-US"/>
        </w:rPr>
        <w:t xml:space="preserve"> (</w:t>
      </w:r>
      <w:r w:rsidRPr="00ED5F4B">
        <w:rPr>
          <w:lang w:val="fr-CH"/>
        </w:rPr>
        <w:t>ECE/TRANS/2018/21/Add.1, cluster 9.3</w:t>
      </w:r>
      <w:r w:rsidRPr="003A7D20">
        <w:rPr>
          <w:lang w:val="en-US"/>
        </w:rPr>
        <w:t>).</w:t>
      </w:r>
    </w:p>
  </w:footnote>
  <w:footnote w:id="4">
    <w:p w:rsidR="00585131" w:rsidRDefault="00585131" w:rsidP="00A035F0">
      <w:pPr>
        <w:pStyle w:val="FootnoteText"/>
      </w:pPr>
      <w:r>
        <w:tab/>
      </w:r>
      <w:r>
        <w:rPr>
          <w:rStyle w:val="FootnoteReference"/>
        </w:rPr>
        <w:footnoteRef/>
      </w:r>
      <w:r>
        <w:t xml:space="preserve"> </w:t>
      </w:r>
      <w:r>
        <w:tab/>
      </w:r>
      <w:r w:rsidRPr="00A035F0">
        <w:t>UNECE White paper on Efficient and Sustainable Inland Water Transport in Europe, http://www.unece.org/fileadmin/DAM/trans/main/sc3/publications/WhitePaper_Inland_Water_Transport_2011e.pdf</w:t>
      </w:r>
    </w:p>
  </w:footnote>
  <w:footnote w:id="5">
    <w:p w:rsidR="00585131" w:rsidRPr="006B144F" w:rsidRDefault="00585131" w:rsidP="00A035F0">
      <w:pPr>
        <w:pStyle w:val="FootnoteText"/>
      </w:pPr>
      <w:r>
        <w:tab/>
      </w:r>
      <w:r w:rsidRPr="00C23191">
        <w:rPr>
          <w:rStyle w:val="FootnoteReference"/>
          <w:iCs/>
          <w:szCs w:val="18"/>
        </w:rPr>
        <w:footnoteRef/>
      </w:r>
      <w:r w:rsidRPr="00C23191">
        <w:rPr>
          <w:iCs/>
          <w:sz w:val="20"/>
          <w:szCs w:val="22"/>
        </w:rPr>
        <w:t xml:space="preserve"> </w:t>
      </w:r>
      <w:r>
        <w:tab/>
      </w:r>
      <w:r w:rsidRPr="00A035F0">
        <w:t>p.54, items 185-186 of the white paper</w:t>
      </w:r>
    </w:p>
  </w:footnote>
  <w:footnote w:id="6">
    <w:p w:rsidR="00585131" w:rsidRPr="006B144F" w:rsidRDefault="00585131" w:rsidP="00241754">
      <w:pPr>
        <w:pStyle w:val="FootnoteText"/>
      </w:pPr>
      <w:r>
        <w:tab/>
      </w:r>
      <w:r w:rsidRPr="006B144F">
        <w:rPr>
          <w:rStyle w:val="FootnoteReference"/>
        </w:rPr>
        <w:footnoteRef/>
      </w:r>
      <w:r w:rsidRPr="006B144F">
        <w:t xml:space="preserve"> </w:t>
      </w:r>
      <w:r>
        <w:tab/>
        <w:t>p</w:t>
      </w:r>
      <w:r w:rsidRPr="006B144F">
        <w:t>.</w:t>
      </w:r>
      <w:r>
        <w:t>55 item</w:t>
      </w:r>
      <w:r w:rsidRPr="006B144F">
        <w:t xml:space="preserve"> 192</w:t>
      </w:r>
      <w:r>
        <w:t xml:space="preserve"> and </w:t>
      </w:r>
      <w:r w:rsidRPr="006B144F">
        <w:t>p</w:t>
      </w:r>
      <w:r>
        <w:t>.</w:t>
      </w:r>
      <w:r w:rsidRPr="006B144F">
        <w:t>56 item 196 of the white paper</w:t>
      </w:r>
    </w:p>
  </w:footnote>
  <w:footnote w:id="7">
    <w:p w:rsidR="00585131" w:rsidRDefault="00585131" w:rsidP="00241754">
      <w:pPr>
        <w:pStyle w:val="FootnoteText"/>
      </w:pPr>
      <w:r>
        <w:tab/>
      </w:r>
      <w:r>
        <w:rPr>
          <w:rStyle w:val="FootnoteReference"/>
        </w:rPr>
        <w:footnoteRef/>
      </w:r>
      <w:r>
        <w:t xml:space="preserve"> </w:t>
      </w:r>
      <w:r>
        <w:tab/>
      </w:r>
      <w:r w:rsidRPr="006B144F">
        <w:t>p</w:t>
      </w:r>
      <w:r w:rsidRPr="00A035F0">
        <w:t>.57, under c) of the white paper</w:t>
      </w:r>
    </w:p>
  </w:footnote>
  <w:footnote w:id="8">
    <w:p w:rsidR="00585131" w:rsidRDefault="00585131" w:rsidP="00241754">
      <w:pPr>
        <w:pStyle w:val="FootnoteText"/>
      </w:pPr>
      <w:r>
        <w:tab/>
      </w:r>
      <w:r>
        <w:rPr>
          <w:rStyle w:val="FootnoteReference"/>
        </w:rPr>
        <w:footnoteRef/>
      </w:r>
      <w:r>
        <w:t xml:space="preserve"> </w:t>
      </w:r>
      <w:r>
        <w:tab/>
      </w:r>
      <w:r w:rsidRPr="006B144F">
        <w:t>p</w:t>
      </w:r>
      <w:r w:rsidRPr="00A035F0">
        <w:t>.56-57 item 198 d) of the white paper</w:t>
      </w:r>
    </w:p>
  </w:footnote>
  <w:footnote w:id="9">
    <w:p w:rsidR="00585131" w:rsidRPr="00241754" w:rsidRDefault="00585131" w:rsidP="00241754">
      <w:pPr>
        <w:pStyle w:val="FootnoteText"/>
      </w:pPr>
      <w:r>
        <w:tab/>
      </w:r>
      <w:r>
        <w:rPr>
          <w:rStyle w:val="FootnoteReference"/>
        </w:rPr>
        <w:footnoteRef/>
      </w:r>
      <w:r>
        <w:tab/>
        <w:t xml:space="preserve"> </w:t>
      </w:r>
      <w:hyperlink r:id="rId1" w:history="1">
        <w:r w:rsidRPr="00241754">
          <w:t>ECE/TRANS/SC.3/189</w:t>
        </w:r>
      </w:hyperlink>
      <w:r w:rsidRPr="00241754">
        <w:t xml:space="preserve"> as published on https://www.unece.org/fileadmin/DAM/trans/doc/2017/sc3wp3/ECE-TRANS-SC3-WP3-2017-inf_09e.pdf</w:t>
      </w:r>
    </w:p>
  </w:footnote>
  <w:footnote w:id="10">
    <w:p w:rsidR="00585131" w:rsidRPr="006B144F" w:rsidRDefault="00585131" w:rsidP="00241754">
      <w:pPr>
        <w:pStyle w:val="FootnoteText"/>
      </w:pPr>
      <w:r>
        <w:tab/>
      </w:r>
      <w:r>
        <w:rPr>
          <w:rStyle w:val="FootnoteReference"/>
        </w:rPr>
        <w:footnoteRef/>
      </w:r>
      <w:r>
        <w:t xml:space="preserve"> </w:t>
      </w:r>
      <w:r>
        <w:tab/>
        <w:t xml:space="preserve">ECE/TRANS/SC.3/189; </w:t>
      </w:r>
      <w:r w:rsidRPr="006B144F">
        <w:t>p</w:t>
      </w:r>
      <w:r>
        <w:t>. 2-3, Item 10</w:t>
      </w:r>
    </w:p>
  </w:footnote>
  <w:footnote w:id="11">
    <w:p w:rsidR="00585131" w:rsidRPr="00943654" w:rsidRDefault="00585131" w:rsidP="00C23191">
      <w:pPr>
        <w:pStyle w:val="FootnoteText"/>
      </w:pPr>
      <w:r>
        <w:tab/>
      </w:r>
      <w:r>
        <w:rPr>
          <w:rStyle w:val="FootnoteReference"/>
        </w:rPr>
        <w:footnoteRef/>
      </w:r>
      <w:r>
        <w:t xml:space="preserve"> </w:t>
      </w:r>
      <w:r>
        <w:tab/>
      </w:r>
      <w:r w:rsidRPr="002009D6">
        <w:t xml:space="preserve">Directive 2009/28/EC </w:t>
      </w:r>
      <w:r>
        <w:rPr>
          <w:lang w:val="fr-CH"/>
        </w:rPr>
        <w:t>o</w:t>
      </w:r>
      <w:r w:rsidRPr="002009D6">
        <w:t xml:space="preserve">f </w:t>
      </w:r>
      <w:r>
        <w:rPr>
          <w:lang w:val="fr-CH"/>
        </w:rPr>
        <w:t>t</w:t>
      </w:r>
      <w:r w:rsidRPr="002009D6">
        <w:t xml:space="preserve">he European Parliament </w:t>
      </w:r>
      <w:r>
        <w:rPr>
          <w:lang w:val="fr-CH"/>
        </w:rPr>
        <w:t>a</w:t>
      </w:r>
      <w:r w:rsidRPr="002009D6">
        <w:t xml:space="preserve">nd </w:t>
      </w:r>
      <w:r>
        <w:rPr>
          <w:lang w:val="fr-CH"/>
        </w:rPr>
        <w:t>o</w:t>
      </w:r>
      <w:r w:rsidRPr="002009D6">
        <w:t xml:space="preserve">f </w:t>
      </w:r>
      <w:r>
        <w:rPr>
          <w:lang w:val="fr-CH"/>
        </w:rPr>
        <w:t>t</w:t>
      </w:r>
      <w:r w:rsidRPr="002009D6">
        <w:t>he Council of 23 April 2009 on the promotion of the use of energy from renewable sources and amending and subsequently repealing Directives 2001/77/EC and 2003/30/EC</w:t>
      </w:r>
      <w:r>
        <w:t>;</w:t>
      </w:r>
    </w:p>
  </w:footnote>
  <w:footnote w:id="12">
    <w:p w:rsidR="00585131" w:rsidRPr="00F744A4" w:rsidRDefault="00585131" w:rsidP="00C23191">
      <w:pPr>
        <w:pStyle w:val="FootnoteText"/>
        <w:widowControl w:val="0"/>
        <w:tabs>
          <w:tab w:val="clear" w:pos="1021"/>
          <w:tab w:val="right" w:pos="1020"/>
        </w:tabs>
        <w:rPr>
          <w:lang w:val="fr-CH"/>
        </w:rPr>
      </w:pPr>
      <w:r>
        <w:tab/>
      </w:r>
      <w:r>
        <w:rPr>
          <w:rStyle w:val="FootnoteReference"/>
        </w:rPr>
        <w:footnoteRef/>
      </w:r>
      <w:r>
        <w:tab/>
      </w:r>
      <w:r w:rsidRPr="00F744A4">
        <w:rPr>
          <w:lang w:val="en-GB"/>
        </w:rPr>
        <w:t>Directive 2009/30/EC of the European Parliament and of the Council of 23 April 2009 amending Directive 98/70/EC</w:t>
      </w:r>
      <w:r w:rsidRPr="00F744A4">
        <w:t xml:space="preserve"> </w:t>
      </w:r>
      <w:r w:rsidR="00F744A4" w:rsidRPr="00F744A4">
        <w:t>as regards the specification of petrol, diesel and gas-oil and introducing a mechanism to monitor and reduce greenhouse gas emissions and amending Council Directive 1999/32/EC as regards the specification of fuel used by inland waterway vessels and repealing Directive 93/12/EEC</w:t>
      </w:r>
      <w:r w:rsidR="00F744A4">
        <w:rPr>
          <w:lang w:val="fr-CH"/>
        </w:rPr>
        <w:t>.</w:t>
      </w:r>
    </w:p>
  </w:footnote>
  <w:footnote w:id="13">
    <w:p w:rsidR="00585131" w:rsidRPr="00962A6F" w:rsidRDefault="00585131" w:rsidP="00364307">
      <w:pPr>
        <w:pStyle w:val="FootnoteText"/>
      </w:pPr>
      <w:r>
        <w:tab/>
      </w:r>
      <w:r>
        <w:rPr>
          <w:rStyle w:val="FootnoteReference"/>
        </w:rPr>
        <w:footnoteRef/>
      </w:r>
      <w:r>
        <w:t xml:space="preserve"> </w:t>
      </w:r>
      <w:r>
        <w:tab/>
        <w:t xml:space="preserve">ECE/TRANS/WP.15/AC.2/2017/44 as submitted by FETSA with the support of Fuels Europe, EBU and ESO, under I., subsection C. </w:t>
      </w:r>
    </w:p>
  </w:footnote>
  <w:footnote w:id="14">
    <w:p w:rsidR="00585131" w:rsidRPr="00C06DDE" w:rsidRDefault="00585131" w:rsidP="00364307">
      <w:pPr>
        <w:pStyle w:val="FootnoteText"/>
      </w:pPr>
      <w:r>
        <w:tab/>
      </w:r>
      <w:r>
        <w:rPr>
          <w:rStyle w:val="FootnoteReference"/>
        </w:rPr>
        <w:footnoteRef/>
      </w:r>
      <w:r>
        <w:t xml:space="preserve"> </w:t>
      </w:r>
      <w:r>
        <w:tab/>
      </w:r>
      <w:r>
        <w:rPr>
          <w:lang w:val="fr-CH"/>
        </w:rPr>
        <w:t xml:space="preserve">Informal document </w:t>
      </w:r>
      <w:r w:rsidRPr="00C06DDE">
        <w:t>WP.15/AC.2/32/INF.9</w:t>
      </w:r>
      <w:r>
        <w:rPr>
          <w:lang w:val="fr-CH"/>
        </w:rPr>
        <w:t xml:space="preserve"> of the </w:t>
      </w:r>
      <w:r w:rsidRPr="00F744A4">
        <w:rPr>
          <w:lang w:val="en-GB"/>
        </w:rPr>
        <w:t>thirty</w:t>
      </w:r>
      <w:r>
        <w:rPr>
          <w:lang w:val="fr-CH"/>
        </w:rPr>
        <w:t>-second</w:t>
      </w:r>
      <w:r w:rsidRPr="00C06DDE">
        <w:t xml:space="preserve"> dated January 2, 2018, report of the first meeting of the informal working group loading on top in barges, Rotterdam November 21</w:t>
      </w:r>
      <w:r w:rsidRPr="00C06DDE">
        <w:rPr>
          <w:vertAlign w:val="superscript"/>
        </w:rPr>
        <w:t>st</w:t>
      </w:r>
      <w:r>
        <w:t>, 2017.</w:t>
      </w:r>
    </w:p>
  </w:footnote>
  <w:footnote w:id="15">
    <w:p w:rsidR="00585131" w:rsidRPr="00364307" w:rsidRDefault="00585131" w:rsidP="00364307">
      <w:pPr>
        <w:pStyle w:val="FootnoteText"/>
      </w:pPr>
      <w:r>
        <w:tab/>
      </w:r>
      <w:r>
        <w:rPr>
          <w:rStyle w:val="FootnoteReference"/>
        </w:rPr>
        <w:footnoteRef/>
      </w:r>
      <w:r>
        <w:t xml:space="preserve"> </w:t>
      </w:r>
      <w:r>
        <w:tab/>
      </w:r>
      <w:hyperlink r:id="rId2" w:history="1">
        <w:r w:rsidRPr="00364307">
          <w:t>http://www.cdni-iwt.org/wp-content/uploads/2017/03/Art_5.01en.pdf</w:t>
        </w:r>
      </w:hyperlink>
      <w:r w:rsidRPr="00364307">
        <w:t>, Article 5.01 as amended by resolution 2016-I-5</w:t>
      </w:r>
    </w:p>
  </w:footnote>
  <w:footnote w:id="16">
    <w:p w:rsidR="00585131" w:rsidRDefault="00585131" w:rsidP="00E97B2D">
      <w:pPr>
        <w:pStyle w:val="FootnoteText"/>
      </w:pPr>
      <w:r>
        <w:tab/>
      </w:r>
      <w:r>
        <w:rPr>
          <w:rStyle w:val="FootnoteReference"/>
        </w:rPr>
        <w:footnoteRef/>
      </w:r>
      <w:r>
        <w:t xml:space="preserve"> </w:t>
      </w:r>
      <w:r>
        <w:tab/>
      </w:r>
      <w:r w:rsidRPr="002009D6">
        <w:t xml:space="preserve">Directive 2009/28/EC </w:t>
      </w:r>
      <w:r>
        <w:rPr>
          <w:lang w:val="fr-CH"/>
        </w:rPr>
        <w:t>o</w:t>
      </w:r>
      <w:r w:rsidRPr="002009D6">
        <w:t xml:space="preserve">f </w:t>
      </w:r>
      <w:r>
        <w:rPr>
          <w:lang w:val="fr-CH"/>
        </w:rPr>
        <w:t>t</w:t>
      </w:r>
      <w:r w:rsidRPr="002009D6">
        <w:t xml:space="preserve">he European Parliament </w:t>
      </w:r>
      <w:r>
        <w:rPr>
          <w:lang w:val="fr-CH"/>
        </w:rPr>
        <w:t>a</w:t>
      </w:r>
      <w:r w:rsidRPr="002009D6">
        <w:t xml:space="preserve">nd </w:t>
      </w:r>
      <w:r>
        <w:rPr>
          <w:lang w:val="fr-CH"/>
        </w:rPr>
        <w:t>o</w:t>
      </w:r>
      <w:r w:rsidRPr="002009D6">
        <w:t xml:space="preserve">f </w:t>
      </w:r>
      <w:r>
        <w:rPr>
          <w:lang w:val="fr-CH"/>
        </w:rPr>
        <w:t>t</w:t>
      </w:r>
      <w:r w:rsidRPr="002009D6">
        <w:t>he Council of 23 April 2009 on the promotion of the use of energy from renewable sources and amending and subsequently repealing Directives 2001/77/EC and 2003/30/EC</w:t>
      </w:r>
    </w:p>
  </w:footnote>
  <w:footnote w:id="17">
    <w:p w:rsidR="00585131" w:rsidRPr="002F3BC6" w:rsidRDefault="00585131" w:rsidP="00972C69">
      <w:pPr>
        <w:pStyle w:val="FootnoteText"/>
      </w:pPr>
      <w:r>
        <w:tab/>
      </w:r>
      <w:r w:rsidRPr="00972C69">
        <w:rPr>
          <w:rStyle w:val="FootnoteReference"/>
          <w:iCs/>
          <w:szCs w:val="18"/>
        </w:rPr>
        <w:footnoteRef/>
      </w:r>
      <w:r w:rsidRPr="00972C69">
        <w:rPr>
          <w:iCs/>
          <w:szCs w:val="18"/>
        </w:rPr>
        <w:t xml:space="preserve"> </w:t>
      </w:r>
      <w:r>
        <w:tab/>
      </w:r>
      <w:r w:rsidRPr="002F3BC6">
        <w:t>Publication BLG15/3 - Item 6.2 – Blending on Board, IMO, November 2, 2010.</w:t>
      </w:r>
    </w:p>
  </w:footnote>
  <w:footnote w:id="18">
    <w:p w:rsidR="00585131" w:rsidRDefault="00585131" w:rsidP="005450F3">
      <w:pPr>
        <w:pStyle w:val="FootnoteText"/>
      </w:pPr>
      <w:r>
        <w:rPr>
          <w:rFonts w:cs="Calibri Light"/>
        </w:rPr>
        <w:tab/>
      </w:r>
      <w:r w:rsidRPr="00972C69">
        <w:rPr>
          <w:rStyle w:val="FootnoteReference"/>
          <w:rFonts w:ascii="Calibri Light" w:hAnsi="Calibri Light" w:cs="Calibri Light"/>
        </w:rPr>
        <w:footnoteRef/>
      </w:r>
      <w:r w:rsidRPr="00972C69">
        <w:rPr>
          <w:rFonts w:cs="Calibri Light"/>
        </w:rPr>
        <w:t xml:space="preserve"> </w:t>
      </w:r>
      <w:r>
        <w:rPr>
          <w:rFonts w:cs="Calibri Light"/>
        </w:rPr>
        <w:tab/>
      </w:r>
      <w:r w:rsidRPr="00972C69">
        <w:t>HM 66. Guidelines for the blending of liquid hydrocarbon cargoes on board tank vessels</w:t>
      </w:r>
      <w:r w:rsidR="005450F3">
        <w:t>, Energy Institute, April 2016.</w:t>
      </w:r>
    </w:p>
  </w:footnote>
  <w:footnote w:id="19">
    <w:p w:rsidR="00585131" w:rsidRPr="00212E7A" w:rsidRDefault="00585131" w:rsidP="00E411FA">
      <w:pPr>
        <w:pStyle w:val="FootnoteText"/>
      </w:pPr>
      <w:r>
        <w:tab/>
      </w:r>
      <w:r>
        <w:rPr>
          <w:rStyle w:val="FootnoteReference"/>
        </w:rPr>
        <w:footnoteRef/>
      </w:r>
      <w:r>
        <w:t xml:space="preserve"> </w:t>
      </w:r>
      <w:r>
        <w:tab/>
      </w:r>
      <w:r w:rsidRPr="00212E7A">
        <w:t>European Maritime Safety Agency (EMSA) Publication http://www.emsa.europa.eu/main/air-pollution/download/4499/1709/23.html</w:t>
      </w:r>
    </w:p>
  </w:footnote>
  <w:footnote w:id="20">
    <w:p w:rsidR="00585131" w:rsidRDefault="00585131" w:rsidP="00E411FA">
      <w:pPr>
        <w:pStyle w:val="FootnoteText"/>
      </w:pPr>
      <w:r>
        <w:tab/>
      </w:r>
      <w:r>
        <w:rPr>
          <w:rStyle w:val="FootnoteReference"/>
        </w:rPr>
        <w:footnoteRef/>
      </w:r>
      <w:r>
        <w:t xml:space="preserve"> </w:t>
      </w:r>
      <w:r>
        <w:tab/>
      </w:r>
      <w:r w:rsidRPr="00212E7A">
        <w:t>European Maritime Safety Agency (EMSA) Publication http://www.emsa.europa.eu/main/air-pollution/download/4499/1709/23.html</w:t>
      </w:r>
    </w:p>
  </w:footnote>
  <w:footnote w:id="21">
    <w:p w:rsidR="00585131" w:rsidRPr="00E411FA" w:rsidRDefault="00585131" w:rsidP="00E411FA">
      <w:pPr>
        <w:pStyle w:val="FootnoteText"/>
      </w:pPr>
      <w:r>
        <w:tab/>
      </w:r>
      <w:r>
        <w:rPr>
          <w:rStyle w:val="FootnoteReference"/>
        </w:rPr>
        <w:footnoteRef/>
      </w:r>
      <w:r>
        <w:t xml:space="preserve"> </w:t>
      </w:r>
      <w:r>
        <w:tab/>
      </w:r>
      <w:r w:rsidRPr="00CF52FE">
        <w:t xml:space="preserve">TNO Report 2017 R10854 – uncertainty </w:t>
      </w:r>
      <w:r>
        <w:t>o</w:t>
      </w:r>
      <w:r w:rsidRPr="00CF52FE">
        <w:t>f the NOx, Sox, NH3, PM10, PM2.5, EC2.5 and NMVOC emiss</w:t>
      </w:r>
      <w:r>
        <w:t>i</w:t>
      </w:r>
      <w:r w:rsidRPr="00CF52FE">
        <w:t>ons from transport, August 7, 2017 sponsored by RIVM.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3B35B1" w:rsidRDefault="00585131" w:rsidP="00446B79">
    <w:pPr>
      <w:pBdr>
        <w:bottom w:val="single" w:sz="4" w:space="1" w:color="auto"/>
      </w:pBdr>
      <w:rPr>
        <w:b/>
      </w:rPr>
    </w:pPr>
    <w:r>
      <w:rPr>
        <w:b/>
      </w:rPr>
      <w:t>ECE/TRANS/WP.15/AC.2/2018/39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241754" w:rsidRDefault="00585131" w:rsidP="00241754">
    <w:pPr>
      <w:pBdr>
        <w:bottom w:val="single" w:sz="4" w:space="1" w:color="auto"/>
      </w:pBdr>
      <w:jc w:val="right"/>
      <w:rPr>
        <w:b/>
      </w:rPr>
    </w:pPr>
    <w:r>
      <w:rPr>
        <w:b/>
      </w:rPr>
      <w:t>ECE/TRANS/WP.15/AC.2/2018/39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F4048C" w:rsidRDefault="00585131" w:rsidP="00D53053">
    <w:pPr>
      <w:pStyle w:val="Header"/>
      <w:pBdr>
        <w:bottom w:val="none" w:sz="0" w:space="0" w:color="auto"/>
      </w:pBdr>
      <w:jc w:val="right"/>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BD684A" w:rsidRDefault="00585131" w:rsidP="00BD684A">
    <w:r>
      <w:rPr>
        <w:noProof/>
      </w:rPr>
      <w:pict>
        <v:shapetype id="_x0000_t202" coordsize="21600,21600" o:spt="202" path="m,l,21600r21600,l21600,xe">
          <v:stroke joinstyle="miter"/>
          <v:path gradientshapeok="t" o:connecttype="rect"/>
        </v:shapetype>
        <v:shape id="_x0000_s15362" type="#_x0000_t202" style="position:absolute;margin-left:-34pt;margin-top:0;width:17.55pt;height:481.9pt;z-index:251659264;mso-wrap-style:square;mso-position-horizontal:absolute;mso-position-horizontal-relative:margin;mso-position-vertical:absolute;mso-position-vertical-relative:margin" stroked="f">
          <v:textbox style="layout-flow:vertical" inset="0,0,0,0">
            <w:txbxContent>
              <w:p w:rsidR="00585131" w:rsidRDefault="00585131" w:rsidP="00BD684A">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E43F09">
                  <w:rPr>
                    <w:b/>
                    <w:noProof/>
                    <w:sz w:val="18"/>
                  </w:rPr>
                  <w:t>9</w:t>
                </w:r>
                <w:r w:rsidRPr="00AA480B">
                  <w:rPr>
                    <w:b/>
                    <w:sz w:val="18"/>
                  </w:rPr>
                  <w:fldChar w:fldCharType="end"/>
                </w:r>
              </w:p>
              <w:p w:rsidR="00585131" w:rsidRDefault="00585131"/>
            </w:txbxContent>
          </v:textbox>
          <w10:wrap anchorx="margin" anchory="margin"/>
        </v:shape>
      </w:pict>
    </w:r>
    <w:r>
      <w:rPr>
        <w:noProof/>
      </w:rPr>
      <w:pict>
        <v:shape id="_x0000_s15361" type="#_x0000_t202" style="position:absolute;margin-left:771pt;margin-top:0;width:17pt;height:481.9pt;z-index:251658240;mso-wrap-style:square;mso-position-horizontal:absolute;mso-position-horizontal-relative:page;mso-position-vertical:absolute;mso-position-vertical-relative:margin" stroked="f">
          <v:textbox style="layout-flow:vertical" inset="0,0,0,0">
            <w:txbxContent>
              <w:p w:rsidR="00585131" w:rsidRPr="00241754" w:rsidRDefault="00585131" w:rsidP="00BD684A">
                <w:pPr>
                  <w:pBdr>
                    <w:bottom w:val="single" w:sz="4" w:space="1" w:color="auto"/>
                  </w:pBdr>
                  <w:jc w:val="right"/>
                  <w:rPr>
                    <w:b/>
                  </w:rPr>
                </w:pPr>
                <w:r>
                  <w:rPr>
                    <w:b/>
                  </w:rPr>
                  <w:t>ECE/TRANS/WP.15/AC.2/2018/39</w:t>
                </w:r>
              </w:p>
              <w:p w:rsidR="00585131" w:rsidRDefault="00585131"/>
            </w:txbxContent>
          </v:textbox>
          <w10:wrap anchorx="page"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F4048C" w:rsidRDefault="00585131" w:rsidP="00D53053">
    <w:pPr>
      <w:pStyle w:val="Header"/>
      <w:pBdr>
        <w:bottom w:val="none" w:sz="0" w:space="0" w:color="auto"/>
      </w:pBdr>
      <w:jc w:val="right"/>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3B35B1" w:rsidRDefault="00585131" w:rsidP="00446B79">
    <w:pPr>
      <w:pBdr>
        <w:bottom w:val="single" w:sz="4" w:space="1" w:color="auto"/>
      </w:pBdr>
      <w:rPr>
        <w:b/>
      </w:rPr>
    </w:pPr>
    <w:r>
      <w:rPr>
        <w:b/>
      </w:rPr>
      <w:t>ECE/TRANS/WP.15/AC.2/2018/39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BD684A" w:rsidRDefault="00585131" w:rsidP="00BD684A">
    <w:pPr>
      <w:pBdr>
        <w:bottom w:val="single" w:sz="4" w:space="1" w:color="auto"/>
      </w:pBdr>
      <w:jc w:val="right"/>
      <w:rPr>
        <w:b/>
      </w:rPr>
    </w:pPr>
    <w:r>
      <w:rPr>
        <w:b/>
      </w:rPr>
      <w:t>ECE/TRANS/WP.15/AC.2/2018/39</w:t>
    </w:r>
    <w:r>
      <w:rPr>
        <w:noProof/>
      </w:rPr>
      <w:pict>
        <v:shapetype id="_x0000_t202" coordsize="21600,21600" o:spt="202" path="m,l,21600r21600,l21600,xe">
          <v:stroke joinstyle="miter"/>
          <v:path gradientshapeok="t" o:connecttype="rect"/>
        </v:shapetype>
        <v:shape id="_x0000_s15363" type="#_x0000_t202" style="position:absolute;left:0;text-align:left;margin-left:771pt;margin-top:0;width:17pt;height:481.9pt;z-index:251661312;mso-wrap-style:square;mso-position-horizontal:absolute;mso-position-horizontal-relative:page;mso-position-vertical:absolute;mso-position-vertical-relative:margin" stroked="f">
          <v:textbox style="layout-flow:vertical" inset="0,0,0,0">
            <w:txbxContent>
              <w:p w:rsidR="00585131" w:rsidRPr="00241754" w:rsidRDefault="00585131" w:rsidP="00BD684A">
                <w:pPr>
                  <w:pBdr>
                    <w:bottom w:val="single" w:sz="4" w:space="1" w:color="auto"/>
                  </w:pBdr>
                  <w:jc w:val="right"/>
                  <w:rPr>
                    <w:b/>
                  </w:rPr>
                </w:pPr>
                <w:r>
                  <w:rPr>
                    <w:b/>
                  </w:rPr>
                  <w:t>ECE/TRANS/WP.15/AC.2/2018/39</w:t>
                </w:r>
              </w:p>
              <w:p w:rsidR="00585131" w:rsidRDefault="00585131"/>
            </w:txbxContent>
          </v:textbox>
          <w10:wrap anchorx="page"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3B35B1" w:rsidRDefault="00585131" w:rsidP="00BD684A">
    <w:pPr>
      <w:pBdr>
        <w:bottom w:val="single" w:sz="4" w:space="1" w:color="auto"/>
      </w:pBdr>
      <w:rPr>
        <w:b/>
      </w:rPr>
    </w:pPr>
    <w:r>
      <w:rPr>
        <w:b/>
      </w:rPr>
      <w:t>ECE/TRANS/WP.15/AC.2/2018/39</w:t>
    </w:r>
  </w:p>
  <w:p w:rsidR="00585131" w:rsidRPr="00F4048C" w:rsidRDefault="00585131"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06A529D2"/>
    <w:multiLevelType w:val="hybridMultilevel"/>
    <w:tmpl w:val="2604C568"/>
    <w:lvl w:ilvl="0" w:tplc="B8B0C898">
      <w:start w:val="16"/>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F7314"/>
    <w:multiLevelType w:val="hybridMultilevel"/>
    <w:tmpl w:val="79ECC9EA"/>
    <w:lvl w:ilvl="0" w:tplc="8EF0FC3C">
      <w:start w:val="1"/>
      <w:numFmt w:val="upperRoman"/>
      <w:lvlText w:val="%1."/>
      <w:lvlJc w:val="right"/>
      <w:pPr>
        <w:ind w:left="720" w:hanging="360"/>
      </w:pPr>
      <w:rPr>
        <w:sz w:val="28"/>
        <w:szCs w:val="28"/>
      </w:rPr>
    </w:lvl>
    <w:lvl w:ilvl="1" w:tplc="BBEE33C8">
      <w:start w:val="1"/>
      <w:numFmt w:val="decimal"/>
      <w:lvlText w:val="%2."/>
      <w:lvlJc w:val="left"/>
      <w:pPr>
        <w:ind w:left="1440" w:hanging="360"/>
      </w:pPr>
      <w:rPr>
        <w:rFonts w:asciiTheme="minorHAnsi" w:eastAsiaTheme="minorHAnsi" w:hAnsiTheme="minorHAnsi" w:cstheme="minorBidi"/>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7"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2FEF0EA6"/>
    <w:multiLevelType w:val="hybridMultilevel"/>
    <w:tmpl w:val="A968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7191C"/>
    <w:multiLevelType w:val="hybridMultilevel"/>
    <w:tmpl w:val="254A0D26"/>
    <w:lvl w:ilvl="0" w:tplc="48F0AC80">
      <w:numFmt w:val="bullet"/>
      <w:lvlText w:val="-"/>
      <w:lvlJc w:val="left"/>
      <w:pPr>
        <w:ind w:left="468" w:hanging="360"/>
      </w:pPr>
      <w:rPr>
        <w:rFonts w:ascii="Arial" w:eastAsia="Calibri" w:hAnsi="Arial" w:cs="Arial" w:hint="default"/>
      </w:rPr>
    </w:lvl>
    <w:lvl w:ilvl="1" w:tplc="08090003">
      <w:start w:val="1"/>
      <w:numFmt w:val="bullet"/>
      <w:lvlText w:val="o"/>
      <w:lvlJc w:val="left"/>
      <w:pPr>
        <w:ind w:left="1188" w:hanging="360"/>
      </w:pPr>
      <w:rPr>
        <w:rFonts w:ascii="Courier New" w:hAnsi="Courier New" w:cs="Courier New" w:hint="default"/>
      </w:rPr>
    </w:lvl>
    <w:lvl w:ilvl="2" w:tplc="08090005">
      <w:start w:val="1"/>
      <w:numFmt w:val="bullet"/>
      <w:lvlText w:val=""/>
      <w:lvlJc w:val="left"/>
      <w:pPr>
        <w:ind w:left="1908" w:hanging="360"/>
      </w:pPr>
      <w:rPr>
        <w:rFonts w:ascii="Wingdings" w:hAnsi="Wingdings" w:hint="default"/>
      </w:rPr>
    </w:lvl>
    <w:lvl w:ilvl="3" w:tplc="08090001">
      <w:start w:val="1"/>
      <w:numFmt w:val="bullet"/>
      <w:lvlText w:val=""/>
      <w:lvlJc w:val="left"/>
      <w:pPr>
        <w:ind w:left="2628" w:hanging="360"/>
      </w:pPr>
      <w:rPr>
        <w:rFonts w:ascii="Symbol" w:hAnsi="Symbol" w:hint="default"/>
      </w:rPr>
    </w:lvl>
    <w:lvl w:ilvl="4" w:tplc="08090003">
      <w:start w:val="1"/>
      <w:numFmt w:val="bullet"/>
      <w:lvlText w:val="o"/>
      <w:lvlJc w:val="left"/>
      <w:pPr>
        <w:ind w:left="3348" w:hanging="360"/>
      </w:pPr>
      <w:rPr>
        <w:rFonts w:ascii="Courier New" w:hAnsi="Courier New" w:cs="Courier New" w:hint="default"/>
      </w:rPr>
    </w:lvl>
    <w:lvl w:ilvl="5" w:tplc="08090005">
      <w:start w:val="1"/>
      <w:numFmt w:val="bullet"/>
      <w:lvlText w:val=""/>
      <w:lvlJc w:val="left"/>
      <w:pPr>
        <w:ind w:left="4068" w:hanging="360"/>
      </w:pPr>
      <w:rPr>
        <w:rFonts w:ascii="Wingdings" w:hAnsi="Wingdings" w:hint="default"/>
      </w:rPr>
    </w:lvl>
    <w:lvl w:ilvl="6" w:tplc="08090001">
      <w:start w:val="1"/>
      <w:numFmt w:val="bullet"/>
      <w:lvlText w:val=""/>
      <w:lvlJc w:val="left"/>
      <w:pPr>
        <w:ind w:left="4788" w:hanging="360"/>
      </w:pPr>
      <w:rPr>
        <w:rFonts w:ascii="Symbol" w:hAnsi="Symbol" w:hint="default"/>
      </w:rPr>
    </w:lvl>
    <w:lvl w:ilvl="7" w:tplc="08090003">
      <w:start w:val="1"/>
      <w:numFmt w:val="bullet"/>
      <w:lvlText w:val="o"/>
      <w:lvlJc w:val="left"/>
      <w:pPr>
        <w:ind w:left="5508" w:hanging="360"/>
      </w:pPr>
      <w:rPr>
        <w:rFonts w:ascii="Courier New" w:hAnsi="Courier New" w:cs="Courier New" w:hint="default"/>
      </w:rPr>
    </w:lvl>
    <w:lvl w:ilvl="8" w:tplc="08090005">
      <w:start w:val="1"/>
      <w:numFmt w:val="bullet"/>
      <w:lvlText w:val=""/>
      <w:lvlJc w:val="left"/>
      <w:pPr>
        <w:ind w:left="6228" w:hanging="360"/>
      </w:pPr>
      <w:rPr>
        <w:rFonts w:ascii="Wingdings" w:hAnsi="Wingdings" w:hint="default"/>
      </w:rPr>
    </w:lvl>
  </w:abstractNum>
  <w:abstractNum w:abstractNumId="27"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9"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15"/>
  </w:num>
  <w:num w:numId="15">
    <w:abstractNumId w:val="23"/>
  </w:num>
  <w:num w:numId="16">
    <w:abstractNumId w:val="25"/>
  </w:num>
  <w:num w:numId="17">
    <w:abstractNumId w:val="14"/>
  </w:num>
  <w:num w:numId="18">
    <w:abstractNumId w:val="27"/>
  </w:num>
  <w:num w:numId="19">
    <w:abstractNumId w:val="24"/>
  </w:num>
  <w:num w:numId="20">
    <w:abstractNumId w:val="17"/>
  </w:num>
  <w:num w:numId="21">
    <w:abstractNumId w:val="29"/>
  </w:num>
  <w:num w:numId="22">
    <w:abstractNumId w:val="28"/>
  </w:num>
  <w:num w:numId="23">
    <w:abstractNumId w:val="16"/>
  </w:num>
  <w:num w:numId="24">
    <w:abstractNumId w:val="11"/>
  </w:num>
  <w:num w:numId="25">
    <w:abstractNumId w:val="19"/>
  </w:num>
  <w:num w:numId="26">
    <w:abstractNumId w:val="20"/>
  </w:num>
  <w:num w:numId="27">
    <w:abstractNumId w:val="26"/>
  </w:num>
  <w:num w:numId="28">
    <w:abstractNumId w:val="13"/>
  </w:num>
  <w:num w:numId="29">
    <w:abstractNumId w:val="21"/>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6"/>
    <o:shapelayout v:ext="edit">
      <o:idmap v:ext="edit" data="15"/>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FBA"/>
    <w:rsid w:val="00004B7A"/>
    <w:rsid w:val="00022219"/>
    <w:rsid w:val="000240B8"/>
    <w:rsid w:val="00024EAF"/>
    <w:rsid w:val="00026199"/>
    <w:rsid w:val="00032BCA"/>
    <w:rsid w:val="000401CE"/>
    <w:rsid w:val="00045D1E"/>
    <w:rsid w:val="00045D37"/>
    <w:rsid w:val="00045FDE"/>
    <w:rsid w:val="0005091C"/>
    <w:rsid w:val="000517E2"/>
    <w:rsid w:val="000532C7"/>
    <w:rsid w:val="00057106"/>
    <w:rsid w:val="0006413B"/>
    <w:rsid w:val="00073D8C"/>
    <w:rsid w:val="0007416F"/>
    <w:rsid w:val="0007517C"/>
    <w:rsid w:val="000755B2"/>
    <w:rsid w:val="00093541"/>
    <w:rsid w:val="00094E2E"/>
    <w:rsid w:val="0009700B"/>
    <w:rsid w:val="000A794A"/>
    <w:rsid w:val="000B337A"/>
    <w:rsid w:val="000B6D84"/>
    <w:rsid w:val="000C09D0"/>
    <w:rsid w:val="000C242E"/>
    <w:rsid w:val="000C2965"/>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7CAB"/>
    <w:rsid w:val="00151529"/>
    <w:rsid w:val="00151B62"/>
    <w:rsid w:val="00157446"/>
    <w:rsid w:val="00160290"/>
    <w:rsid w:val="0016094E"/>
    <w:rsid w:val="00167350"/>
    <w:rsid w:val="00167467"/>
    <w:rsid w:val="0017140D"/>
    <w:rsid w:val="0018416D"/>
    <w:rsid w:val="0018765D"/>
    <w:rsid w:val="001A136F"/>
    <w:rsid w:val="001A4F70"/>
    <w:rsid w:val="001A752B"/>
    <w:rsid w:val="001B080A"/>
    <w:rsid w:val="001B1E4B"/>
    <w:rsid w:val="001E1210"/>
    <w:rsid w:val="001E2770"/>
    <w:rsid w:val="001F2C99"/>
    <w:rsid w:val="001F6A92"/>
    <w:rsid w:val="00202FBB"/>
    <w:rsid w:val="00210044"/>
    <w:rsid w:val="00213C99"/>
    <w:rsid w:val="00214B71"/>
    <w:rsid w:val="0022283B"/>
    <w:rsid w:val="00224AF3"/>
    <w:rsid w:val="00241754"/>
    <w:rsid w:val="0025084A"/>
    <w:rsid w:val="00253571"/>
    <w:rsid w:val="002542E3"/>
    <w:rsid w:val="00255A0D"/>
    <w:rsid w:val="002671C7"/>
    <w:rsid w:val="0028541C"/>
    <w:rsid w:val="002928A3"/>
    <w:rsid w:val="0029755E"/>
    <w:rsid w:val="002A244A"/>
    <w:rsid w:val="002A6C9F"/>
    <w:rsid w:val="002A7FB7"/>
    <w:rsid w:val="002D0E68"/>
    <w:rsid w:val="002D1871"/>
    <w:rsid w:val="002D39F0"/>
    <w:rsid w:val="002D7FFD"/>
    <w:rsid w:val="002E1BB5"/>
    <w:rsid w:val="002E68A0"/>
    <w:rsid w:val="002E6C4A"/>
    <w:rsid w:val="002F7D50"/>
    <w:rsid w:val="00300684"/>
    <w:rsid w:val="00300A81"/>
    <w:rsid w:val="00302A0A"/>
    <w:rsid w:val="003134DF"/>
    <w:rsid w:val="00317A61"/>
    <w:rsid w:val="00337276"/>
    <w:rsid w:val="00340F33"/>
    <w:rsid w:val="0034439A"/>
    <w:rsid w:val="00344697"/>
    <w:rsid w:val="0034563C"/>
    <w:rsid w:val="00347589"/>
    <w:rsid w:val="00364307"/>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06D7"/>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1C6E"/>
    <w:rsid w:val="004D4787"/>
    <w:rsid w:val="004E4C77"/>
    <w:rsid w:val="004E4CC3"/>
    <w:rsid w:val="005055CC"/>
    <w:rsid w:val="00507B1C"/>
    <w:rsid w:val="0051398E"/>
    <w:rsid w:val="0052066C"/>
    <w:rsid w:val="005235DD"/>
    <w:rsid w:val="00526A9D"/>
    <w:rsid w:val="00526CCA"/>
    <w:rsid w:val="005343C9"/>
    <w:rsid w:val="00537B62"/>
    <w:rsid w:val="00541A11"/>
    <w:rsid w:val="005428F0"/>
    <w:rsid w:val="0054379F"/>
    <w:rsid w:val="00543E0A"/>
    <w:rsid w:val="005450F3"/>
    <w:rsid w:val="005553BB"/>
    <w:rsid w:val="00561D65"/>
    <w:rsid w:val="005658CD"/>
    <w:rsid w:val="00572236"/>
    <w:rsid w:val="00573F2E"/>
    <w:rsid w:val="00577F31"/>
    <w:rsid w:val="005827CD"/>
    <w:rsid w:val="005833CB"/>
    <w:rsid w:val="0058438D"/>
    <w:rsid w:val="00585131"/>
    <w:rsid w:val="00594F5A"/>
    <w:rsid w:val="005A7ECB"/>
    <w:rsid w:val="005B16DC"/>
    <w:rsid w:val="005B3EFE"/>
    <w:rsid w:val="005B54FA"/>
    <w:rsid w:val="005C0819"/>
    <w:rsid w:val="005C467F"/>
    <w:rsid w:val="005C67EE"/>
    <w:rsid w:val="005C77E7"/>
    <w:rsid w:val="005D1935"/>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34F20"/>
    <w:rsid w:val="007455D9"/>
    <w:rsid w:val="00747CA8"/>
    <w:rsid w:val="007503D0"/>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3577"/>
    <w:rsid w:val="007A5C35"/>
    <w:rsid w:val="007A63E9"/>
    <w:rsid w:val="007B46C5"/>
    <w:rsid w:val="007B799C"/>
    <w:rsid w:val="007C2E8E"/>
    <w:rsid w:val="007C5E57"/>
    <w:rsid w:val="007C6011"/>
    <w:rsid w:val="007D1368"/>
    <w:rsid w:val="007F0D64"/>
    <w:rsid w:val="0080168B"/>
    <w:rsid w:val="008059A3"/>
    <w:rsid w:val="00806A75"/>
    <w:rsid w:val="0081106B"/>
    <w:rsid w:val="00813543"/>
    <w:rsid w:val="00817A1C"/>
    <w:rsid w:val="00820A23"/>
    <w:rsid w:val="00830C13"/>
    <w:rsid w:val="00831E12"/>
    <w:rsid w:val="00835F82"/>
    <w:rsid w:val="00845127"/>
    <w:rsid w:val="0085389B"/>
    <w:rsid w:val="00856A9B"/>
    <w:rsid w:val="008573BC"/>
    <w:rsid w:val="008610F7"/>
    <w:rsid w:val="008644F5"/>
    <w:rsid w:val="00867AAE"/>
    <w:rsid w:val="00874E4D"/>
    <w:rsid w:val="008757A0"/>
    <w:rsid w:val="00876716"/>
    <w:rsid w:val="00877E7D"/>
    <w:rsid w:val="00877F95"/>
    <w:rsid w:val="00882429"/>
    <w:rsid w:val="00890A0F"/>
    <w:rsid w:val="00890A31"/>
    <w:rsid w:val="00891507"/>
    <w:rsid w:val="00891D8D"/>
    <w:rsid w:val="008B670D"/>
    <w:rsid w:val="008C446A"/>
    <w:rsid w:val="008C4C09"/>
    <w:rsid w:val="008D5D3B"/>
    <w:rsid w:val="008D693C"/>
    <w:rsid w:val="008D7A1F"/>
    <w:rsid w:val="008E03F7"/>
    <w:rsid w:val="008E4272"/>
    <w:rsid w:val="008E4A57"/>
    <w:rsid w:val="008E6B15"/>
    <w:rsid w:val="008F7849"/>
    <w:rsid w:val="00904294"/>
    <w:rsid w:val="00906FB6"/>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72C69"/>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35F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E1969"/>
    <w:rsid w:val="00AE1C51"/>
    <w:rsid w:val="00AE7FB5"/>
    <w:rsid w:val="00AF095F"/>
    <w:rsid w:val="00AF13B2"/>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5796"/>
    <w:rsid w:val="00B82511"/>
    <w:rsid w:val="00B92A07"/>
    <w:rsid w:val="00B92EB7"/>
    <w:rsid w:val="00BA1B8B"/>
    <w:rsid w:val="00BA212B"/>
    <w:rsid w:val="00BB0811"/>
    <w:rsid w:val="00BB347B"/>
    <w:rsid w:val="00BB3862"/>
    <w:rsid w:val="00BB41B0"/>
    <w:rsid w:val="00BB7A08"/>
    <w:rsid w:val="00BC1694"/>
    <w:rsid w:val="00BD684A"/>
    <w:rsid w:val="00BE4121"/>
    <w:rsid w:val="00C00921"/>
    <w:rsid w:val="00C030EB"/>
    <w:rsid w:val="00C05474"/>
    <w:rsid w:val="00C12963"/>
    <w:rsid w:val="00C16712"/>
    <w:rsid w:val="00C23191"/>
    <w:rsid w:val="00C339A0"/>
    <w:rsid w:val="00C33A25"/>
    <w:rsid w:val="00C36C0A"/>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6DFB"/>
    <w:rsid w:val="00D11D6E"/>
    <w:rsid w:val="00D20433"/>
    <w:rsid w:val="00D2091B"/>
    <w:rsid w:val="00D21631"/>
    <w:rsid w:val="00D21A03"/>
    <w:rsid w:val="00D41080"/>
    <w:rsid w:val="00D42E3A"/>
    <w:rsid w:val="00D53053"/>
    <w:rsid w:val="00D53C6B"/>
    <w:rsid w:val="00D56FD2"/>
    <w:rsid w:val="00D60487"/>
    <w:rsid w:val="00D61720"/>
    <w:rsid w:val="00D62200"/>
    <w:rsid w:val="00D66C42"/>
    <w:rsid w:val="00D71354"/>
    <w:rsid w:val="00D854B5"/>
    <w:rsid w:val="00D85503"/>
    <w:rsid w:val="00D8691E"/>
    <w:rsid w:val="00D86CD5"/>
    <w:rsid w:val="00D9326B"/>
    <w:rsid w:val="00D956D9"/>
    <w:rsid w:val="00DA53FF"/>
    <w:rsid w:val="00DC1FB4"/>
    <w:rsid w:val="00DE0024"/>
    <w:rsid w:val="00DE024B"/>
    <w:rsid w:val="00DE4089"/>
    <w:rsid w:val="00DF2DC6"/>
    <w:rsid w:val="00DF410F"/>
    <w:rsid w:val="00E07BD6"/>
    <w:rsid w:val="00E16C6E"/>
    <w:rsid w:val="00E230BE"/>
    <w:rsid w:val="00E30A67"/>
    <w:rsid w:val="00E31D5D"/>
    <w:rsid w:val="00E351E4"/>
    <w:rsid w:val="00E411FA"/>
    <w:rsid w:val="00E41801"/>
    <w:rsid w:val="00E434E2"/>
    <w:rsid w:val="00E43F09"/>
    <w:rsid w:val="00E463FB"/>
    <w:rsid w:val="00E53672"/>
    <w:rsid w:val="00E54DA3"/>
    <w:rsid w:val="00E565A4"/>
    <w:rsid w:val="00E6137E"/>
    <w:rsid w:val="00E7429E"/>
    <w:rsid w:val="00E742AA"/>
    <w:rsid w:val="00E80222"/>
    <w:rsid w:val="00E866D6"/>
    <w:rsid w:val="00E97B2D"/>
    <w:rsid w:val="00EA28B7"/>
    <w:rsid w:val="00EA6020"/>
    <w:rsid w:val="00EB0FEA"/>
    <w:rsid w:val="00EB13A1"/>
    <w:rsid w:val="00EB1EE8"/>
    <w:rsid w:val="00EB4128"/>
    <w:rsid w:val="00EB4E6A"/>
    <w:rsid w:val="00EC23E6"/>
    <w:rsid w:val="00EC3683"/>
    <w:rsid w:val="00ED44FE"/>
    <w:rsid w:val="00ED5F4B"/>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618F1"/>
    <w:rsid w:val="00F711AA"/>
    <w:rsid w:val="00F714AB"/>
    <w:rsid w:val="00F729F8"/>
    <w:rsid w:val="00F744A4"/>
    <w:rsid w:val="00F75D32"/>
    <w:rsid w:val="00F84B81"/>
    <w:rsid w:val="00FA58F8"/>
    <w:rsid w:val="00FB06D8"/>
    <w:rsid w:val="00FC321C"/>
    <w:rsid w:val="00FC6D5D"/>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6"/>
    <o:shapelayout v:ext="edit">
      <o:idmap v:ext="edit" data="1"/>
    </o:shapelayout>
  </w:shapeDefaults>
  <w:decimalSymbol w:val="."/>
  <w:listSeparator w:val=","/>
  <w14:docId w14:val="6D447BDA"/>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table" w:customStyle="1" w:styleId="TableGrid1">
    <w:name w:val="Table Grid1"/>
    <w:basedOn w:val="TableNormal"/>
    <w:next w:val="TableGrid"/>
    <w:uiPriority w:val="39"/>
    <w:rsid w:val="00734F20"/>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35F0"/>
    <w:rPr>
      <w:color w:val="808080"/>
      <w:shd w:val="clear" w:color="auto" w:fill="E6E6E6"/>
    </w:rPr>
  </w:style>
  <w:style w:type="paragraph" w:styleId="ListParagraph">
    <w:name w:val="List Paragraph"/>
    <w:basedOn w:val="Normal"/>
    <w:uiPriority w:val="34"/>
    <w:qFormat/>
    <w:rsid w:val="00E97B2D"/>
    <w:pPr>
      <w:suppressAutoHyphens w:val="0"/>
      <w:spacing w:after="200" w:line="276" w:lineRule="auto"/>
      <w:ind w:left="720"/>
      <w:contextualSpacing/>
    </w:pPr>
    <w:rPr>
      <w:rFonts w:ascii="Calibri" w:eastAsia="Calibri" w:hAnsi="Calibri" w:cs="Arial"/>
      <w:sz w:val="22"/>
      <w:szCs w:val="22"/>
      <w:lang w:val="en-US"/>
    </w:rPr>
  </w:style>
  <w:style w:type="table" w:customStyle="1" w:styleId="TableGrid2">
    <w:name w:val="Table Grid2"/>
    <w:basedOn w:val="TableNormal"/>
    <w:next w:val="TableGrid"/>
    <w:uiPriority w:val="39"/>
    <w:rsid w:val="00F618F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618F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18F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s://www.unece.org/fileadmin/DAM/trans/doc/2017/sc3wp3/ECE-TRANS-SC3-WP3-2017-inf_09e.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nece.org/fileadmin/DAM/trans/main/sc3/publications/WhitePaper_Inland_Water_Transport_2011e.pdf"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dni-iwt.org/wp-content/uploads/2017/03/Art_5.01en.pdf" TargetMode="External"/><Relationship Id="rId1" Type="http://schemas.openxmlformats.org/officeDocument/2006/relationships/hyperlink" Target="https://www.unece.org/fileadmin/DAM/trans/doc/2017/sc3wp3/ECE-TRANS-SC3-WP3-2017-inf_0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35FD-1B4D-426A-8BC2-8DC28BA8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3695</Words>
  <Characters>21067</Characters>
  <Application>Microsoft Office Word</Application>
  <DocSecurity>0</DocSecurity>
  <Lines>175</Lines>
  <Paragraphs>49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ECE-ADN-45 eng</cp:lastModifiedBy>
  <cp:revision>16</cp:revision>
  <cp:lastPrinted>2017-11-01T11:14:00Z</cp:lastPrinted>
  <dcterms:created xsi:type="dcterms:W3CDTF">2018-06-05T14:49:00Z</dcterms:created>
  <dcterms:modified xsi:type="dcterms:W3CDTF">2018-06-12T09:37:00Z</dcterms:modified>
</cp:coreProperties>
</file>